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3BC0" w14:textId="77777777" w:rsidR="00F14F9B" w:rsidRDefault="00F14F9B" w:rsidP="00F14F9B">
      <w:pPr>
        <w:pBdr>
          <w:top w:val="single" w:sz="4" w:space="17" w:color="auto"/>
          <w:left w:val="single" w:sz="4" w:space="4" w:color="auto"/>
          <w:bottom w:val="single" w:sz="4" w:space="13" w:color="auto"/>
          <w:right w:val="single" w:sz="4" w:space="4" w:color="auto"/>
          <w:between w:val="single" w:sz="4" w:space="1" w:color="auto"/>
        </w:pBdr>
        <w:suppressAutoHyphens/>
        <w:spacing w:before="200" w:after="200"/>
        <w:jc w:val="center"/>
        <w:rPr>
          <w:rFonts w:ascii="Arial" w:eastAsia="Calibri" w:hAnsi="Arial" w:cs="Arial"/>
          <w:sz w:val="40"/>
          <w:szCs w:val="40"/>
          <w:lang w:eastAsia="ar-SA"/>
        </w:rPr>
      </w:pPr>
      <w:r>
        <w:rPr>
          <w:rFonts w:ascii="Arial" w:eastAsia="Calibri" w:hAnsi="Arial" w:cs="Arial"/>
          <w:b/>
          <w:bCs/>
          <w:sz w:val="40"/>
          <w:szCs w:val="40"/>
          <w:lang w:eastAsia="ar-SA"/>
        </w:rPr>
        <w:t>DIPLÔME SUPÉRIEUR DE COMPTABILITÉ ET DE GESTION</w:t>
      </w:r>
    </w:p>
    <w:p w14:paraId="0AD6FC63" w14:textId="77777777" w:rsidR="00F14F9B" w:rsidRDefault="00F14F9B" w:rsidP="00F14F9B">
      <w:pPr>
        <w:rPr>
          <w:rFonts w:ascii="Arial" w:eastAsia="Times" w:hAnsi="Arial" w:cs="Arial"/>
        </w:rPr>
      </w:pPr>
    </w:p>
    <w:p w14:paraId="749D07F3" w14:textId="77777777" w:rsidR="00F14F9B" w:rsidRDefault="00F14F9B" w:rsidP="00F14F9B">
      <w:pPr>
        <w:rPr>
          <w:rFonts w:ascii="Arial" w:hAnsi="Arial" w:cs="Arial"/>
          <w:sz w:val="22"/>
        </w:rPr>
      </w:pPr>
    </w:p>
    <w:p w14:paraId="4746F900" w14:textId="77777777" w:rsidR="00F14F9B" w:rsidRDefault="00F14F9B" w:rsidP="00F14F9B">
      <w:pPr>
        <w:rPr>
          <w:rFonts w:ascii="Arial" w:hAnsi="Arial" w:cs="Arial"/>
          <w:b/>
          <w:bCs/>
          <w:sz w:val="28"/>
        </w:rPr>
      </w:pPr>
    </w:p>
    <w:p w14:paraId="08CB5B6E" w14:textId="77777777" w:rsidR="00F14F9B" w:rsidRDefault="00F14F9B" w:rsidP="00F14F9B">
      <w:pPr>
        <w:rPr>
          <w:rFonts w:ascii="Arial" w:hAnsi="Arial" w:cs="Arial"/>
          <w:b/>
          <w:bCs/>
          <w:sz w:val="28"/>
        </w:rPr>
      </w:pPr>
    </w:p>
    <w:p w14:paraId="7C7F4A0C" w14:textId="77777777" w:rsidR="00F14F9B" w:rsidRDefault="00F14F9B" w:rsidP="00F14F9B">
      <w:pPr>
        <w:rPr>
          <w:rFonts w:ascii="Arial" w:hAnsi="Arial" w:cs="Arial"/>
          <w:b/>
          <w:bCs/>
          <w:sz w:val="28"/>
        </w:rPr>
      </w:pPr>
    </w:p>
    <w:p w14:paraId="3A48AC51" w14:textId="4C120A69" w:rsidR="00F14F9B" w:rsidRDefault="00F14F9B" w:rsidP="00F14F9B">
      <w:pPr>
        <w:pStyle w:val="Titre3"/>
        <w:spacing w:line="240" w:lineRule="auto"/>
        <w:rPr>
          <w:rFonts w:ascii="Arial" w:hAnsi="Arial" w:cs="Arial"/>
          <w:sz w:val="40"/>
          <w:szCs w:val="40"/>
        </w:rPr>
      </w:pPr>
      <w:r>
        <w:rPr>
          <w:rFonts w:ascii="Arial" w:hAnsi="Arial" w:cs="Arial"/>
          <w:sz w:val="40"/>
          <w:szCs w:val="40"/>
        </w:rPr>
        <w:t>UE</w:t>
      </w:r>
      <w:r>
        <w:rPr>
          <w:rFonts w:ascii="Arial" w:hAnsi="Arial" w:cs="Arial"/>
          <w:sz w:val="40"/>
          <w:szCs w:val="40"/>
        </w:rPr>
        <w:t>2</w:t>
      </w:r>
      <w:r>
        <w:rPr>
          <w:rFonts w:ascii="Arial" w:hAnsi="Arial" w:cs="Arial"/>
          <w:sz w:val="40"/>
          <w:szCs w:val="40"/>
        </w:rPr>
        <w:t xml:space="preserve"> – </w:t>
      </w:r>
      <w:r>
        <w:rPr>
          <w:rFonts w:ascii="Arial" w:hAnsi="Arial" w:cs="Arial"/>
          <w:sz w:val="40"/>
          <w:szCs w:val="40"/>
        </w:rPr>
        <w:t>FINANCE</w:t>
      </w:r>
    </w:p>
    <w:p w14:paraId="11075FF1" w14:textId="77777777" w:rsidR="00F14F9B" w:rsidRDefault="00F14F9B" w:rsidP="00F14F9B">
      <w:pPr>
        <w:pStyle w:val="Titre1"/>
        <w:rPr>
          <w:rFonts w:ascii="Arial" w:hAnsi="Arial" w:cs="Arial"/>
          <w:sz w:val="48"/>
          <w:szCs w:val="48"/>
        </w:rPr>
      </w:pPr>
    </w:p>
    <w:p w14:paraId="62F86316" w14:textId="77777777" w:rsidR="00F14F9B" w:rsidRDefault="00F14F9B" w:rsidP="00F14F9B">
      <w:pPr>
        <w:rPr>
          <w:rFonts w:ascii="Arial" w:eastAsia="Arial Unicode MS" w:hAnsi="Arial" w:cs="Arial"/>
          <w:sz w:val="48"/>
        </w:rPr>
      </w:pPr>
    </w:p>
    <w:p w14:paraId="6DFE2838" w14:textId="77777777" w:rsidR="00F14F9B" w:rsidRDefault="00F14F9B" w:rsidP="00F14F9B">
      <w:pPr>
        <w:pStyle w:val="Titre"/>
        <w:rPr>
          <w:rFonts w:ascii="Arial" w:hAnsi="Arial" w:cs="Arial"/>
          <w:b/>
          <w:bCs/>
          <w:caps/>
          <w:sz w:val="36"/>
          <w:szCs w:val="36"/>
        </w:rPr>
      </w:pPr>
      <w:r>
        <w:rPr>
          <w:rFonts w:ascii="Arial" w:hAnsi="Arial" w:cs="Arial"/>
          <w:b/>
          <w:bCs/>
          <w:caps/>
          <w:sz w:val="36"/>
          <w:szCs w:val="36"/>
        </w:rPr>
        <w:t>SESSION 2022</w:t>
      </w:r>
    </w:p>
    <w:p w14:paraId="4A59D565" w14:textId="77777777" w:rsidR="00F14F9B" w:rsidRDefault="00F14F9B" w:rsidP="00F14F9B">
      <w:pPr>
        <w:jc w:val="center"/>
        <w:rPr>
          <w:rFonts w:ascii="Arial" w:hAnsi="Arial" w:cs="Arial"/>
          <w:sz w:val="48"/>
        </w:rPr>
      </w:pPr>
    </w:p>
    <w:p w14:paraId="735C50A4" w14:textId="77777777" w:rsidR="00F14F9B" w:rsidRDefault="00F14F9B" w:rsidP="00F14F9B">
      <w:pPr>
        <w:jc w:val="center"/>
        <w:rPr>
          <w:rFonts w:ascii="Arial" w:hAnsi="Arial" w:cs="Arial"/>
          <w:b/>
          <w:sz w:val="48"/>
        </w:rPr>
      </w:pPr>
    </w:p>
    <w:p w14:paraId="378E9253" w14:textId="77777777" w:rsidR="00F14F9B" w:rsidRDefault="00F14F9B" w:rsidP="00F14F9B">
      <w:pPr>
        <w:jc w:val="center"/>
        <w:rPr>
          <w:rFonts w:ascii="Arial" w:hAnsi="Arial" w:cs="Arial"/>
          <w:b/>
          <w:sz w:val="48"/>
        </w:rPr>
      </w:pPr>
    </w:p>
    <w:p w14:paraId="73903F9C" w14:textId="77777777" w:rsidR="00F14F9B" w:rsidRDefault="00F14F9B" w:rsidP="00F14F9B">
      <w:pPr>
        <w:rPr>
          <w:rFonts w:ascii="Arial" w:eastAsia="Arial Unicode MS" w:hAnsi="Arial" w:cs="Arial"/>
          <w:sz w:val="48"/>
        </w:rPr>
      </w:pPr>
    </w:p>
    <w:p w14:paraId="7FE52C1E" w14:textId="77869DFD" w:rsidR="00F14F9B" w:rsidRDefault="00F14F9B" w:rsidP="00F14F9B">
      <w:pPr>
        <w:pStyle w:val="Titre2"/>
        <w:jc w:val="center"/>
        <w:rPr>
          <w:rFonts w:ascii="Arial" w:hAnsi="Arial" w:cs="Arial"/>
          <w:b/>
        </w:rPr>
      </w:pPr>
      <w:r>
        <w:rPr>
          <w:rFonts w:ascii="Arial" w:hAnsi="Arial" w:cs="Arial"/>
          <w:b/>
        </w:rPr>
        <w:t xml:space="preserve">Durée de l'épreuve : </w:t>
      </w:r>
      <w:r>
        <w:rPr>
          <w:rFonts w:ascii="Arial" w:hAnsi="Arial" w:cs="Arial"/>
          <w:b/>
        </w:rPr>
        <w:t>3</w:t>
      </w:r>
      <w:r>
        <w:rPr>
          <w:rFonts w:ascii="Arial" w:hAnsi="Arial" w:cs="Arial"/>
          <w:b/>
        </w:rPr>
        <w:t xml:space="preserve"> heures</w:t>
      </w:r>
      <w:r>
        <w:rPr>
          <w:rFonts w:ascii="Arial" w:hAnsi="Arial" w:cs="Arial"/>
          <w:b/>
        </w:rPr>
        <w:tab/>
      </w:r>
      <w:r>
        <w:rPr>
          <w:rFonts w:ascii="Arial" w:hAnsi="Arial" w:cs="Arial"/>
          <w:b/>
        </w:rPr>
        <w:tab/>
        <w:t>Coefficient : 1</w:t>
      </w:r>
    </w:p>
    <w:p w14:paraId="15DA8332" w14:textId="77777777" w:rsidR="00F14F9B" w:rsidRDefault="00F14F9B" w:rsidP="00F14F9B">
      <w:pPr>
        <w:rPr>
          <w:rFonts w:ascii="Arial" w:hAnsi="Arial" w:cs="Arial"/>
        </w:rPr>
      </w:pPr>
    </w:p>
    <w:p w14:paraId="7AE7D839" w14:textId="77777777" w:rsidR="00F14F9B" w:rsidRDefault="00F14F9B" w:rsidP="00F14F9B">
      <w:pPr>
        <w:rPr>
          <w:rFonts w:ascii="Arial" w:hAnsi="Arial" w:cs="Arial"/>
          <w:sz w:val="20"/>
          <w:szCs w:val="20"/>
        </w:rPr>
      </w:pPr>
      <w:r>
        <w:rPr>
          <w:rFonts w:ascii="Arial" w:hAnsi="Arial" w:cs="Arial"/>
        </w:rPr>
        <w:br w:type="page"/>
      </w:r>
    </w:p>
    <w:p w14:paraId="7809F3DE" w14:textId="596988E0" w:rsidR="00F14F9B" w:rsidRPr="00F14F9B" w:rsidRDefault="00F14F9B" w:rsidP="00F14F9B">
      <w:pPr>
        <w:pStyle w:val="Titre3"/>
        <w:spacing w:line="240" w:lineRule="auto"/>
        <w:rPr>
          <w:rFonts w:ascii="Arial" w:hAnsi="Arial" w:cs="Arial"/>
          <w:sz w:val="24"/>
          <w:szCs w:val="24"/>
        </w:rPr>
      </w:pPr>
      <w:r w:rsidRPr="00F14F9B">
        <w:rPr>
          <w:rFonts w:ascii="Arial" w:hAnsi="Arial" w:cs="Arial"/>
          <w:sz w:val="24"/>
          <w:szCs w:val="24"/>
        </w:rPr>
        <w:lastRenderedPageBreak/>
        <w:t>UE</w:t>
      </w:r>
      <w:r w:rsidRPr="00F14F9B">
        <w:rPr>
          <w:rFonts w:ascii="Arial" w:hAnsi="Arial" w:cs="Arial"/>
          <w:sz w:val="24"/>
          <w:szCs w:val="24"/>
        </w:rPr>
        <w:t>2</w:t>
      </w:r>
      <w:r w:rsidRPr="00F14F9B">
        <w:rPr>
          <w:rFonts w:ascii="Arial" w:hAnsi="Arial" w:cs="Arial"/>
          <w:sz w:val="24"/>
          <w:szCs w:val="24"/>
        </w:rPr>
        <w:t xml:space="preserve"> – </w:t>
      </w:r>
      <w:r w:rsidRPr="00F14F9B">
        <w:rPr>
          <w:rFonts w:ascii="Arial" w:hAnsi="Arial" w:cs="Arial"/>
          <w:sz w:val="24"/>
          <w:szCs w:val="24"/>
        </w:rPr>
        <w:t>FINANCE</w:t>
      </w:r>
    </w:p>
    <w:p w14:paraId="30DD8FC0" w14:textId="4A635FF9" w:rsidR="00F14F9B" w:rsidRPr="00F14F9B" w:rsidRDefault="00F14F9B" w:rsidP="00F14F9B">
      <w:pPr>
        <w:pBdr>
          <w:bottom w:val="single" w:sz="6" w:space="1" w:color="auto"/>
        </w:pBdr>
        <w:tabs>
          <w:tab w:val="left" w:pos="8340"/>
        </w:tabs>
        <w:spacing w:before="60"/>
        <w:jc w:val="center"/>
        <w:rPr>
          <w:rFonts w:ascii="Arial" w:hAnsi="Arial" w:cs="Arial"/>
          <w:b/>
        </w:rPr>
      </w:pPr>
      <w:r w:rsidRPr="00F14F9B">
        <w:rPr>
          <w:rFonts w:ascii="Arial" w:hAnsi="Arial" w:cs="Arial"/>
          <w:b/>
        </w:rPr>
        <w:t xml:space="preserve">Durée de l’épreuve : </w:t>
      </w:r>
      <w:r w:rsidRPr="00F14F9B">
        <w:rPr>
          <w:rFonts w:ascii="Arial" w:hAnsi="Arial" w:cs="Arial"/>
          <w:b/>
        </w:rPr>
        <w:t>3</w:t>
      </w:r>
      <w:r w:rsidRPr="00F14F9B">
        <w:rPr>
          <w:rFonts w:ascii="Arial" w:hAnsi="Arial" w:cs="Arial"/>
          <w:b/>
        </w:rPr>
        <w:t xml:space="preserve"> heures – coefficient : 1</w:t>
      </w:r>
    </w:p>
    <w:p w14:paraId="3EE07538" w14:textId="77777777" w:rsidR="00F14F9B" w:rsidRPr="00E70755" w:rsidRDefault="00F14F9B" w:rsidP="00F14F9B">
      <w:pPr>
        <w:pBdr>
          <w:bottom w:val="single" w:sz="6" w:space="1" w:color="auto"/>
        </w:pBdr>
        <w:tabs>
          <w:tab w:val="left" w:pos="8340"/>
        </w:tabs>
        <w:spacing w:before="60"/>
        <w:jc w:val="center"/>
        <w:rPr>
          <w:rFonts w:ascii="Arial" w:hAnsi="Arial" w:cs="Arial"/>
          <w:sz w:val="22"/>
        </w:rPr>
      </w:pPr>
    </w:p>
    <w:p w14:paraId="5FEF7C6A" w14:textId="77777777" w:rsidR="00D44AA2" w:rsidRDefault="00D44AA2" w:rsidP="00450DC9">
      <w:pPr>
        <w:rPr>
          <w:rFonts w:ascii="Arial" w:hAnsi="Arial" w:cs="Arial"/>
          <w:sz w:val="22"/>
          <w:szCs w:val="22"/>
        </w:rPr>
      </w:pPr>
    </w:p>
    <w:p w14:paraId="25F03307" w14:textId="564C896F" w:rsidR="00DE7058" w:rsidRPr="00D44AA2" w:rsidRDefault="00DE7058" w:rsidP="00450DC9">
      <w:pPr>
        <w:rPr>
          <w:rFonts w:ascii="Arial" w:hAnsi="Arial" w:cs="Arial"/>
          <w:sz w:val="22"/>
          <w:szCs w:val="22"/>
        </w:rPr>
      </w:pPr>
      <w:r w:rsidRPr="00D44AA2">
        <w:rPr>
          <w:rFonts w:ascii="Arial" w:hAnsi="Arial" w:cs="Arial"/>
          <w:sz w:val="22"/>
          <w:szCs w:val="22"/>
        </w:rPr>
        <w:t>Document autorisé :</w:t>
      </w:r>
      <w:r w:rsidR="00EF1E9C" w:rsidRPr="00D44AA2">
        <w:rPr>
          <w:rFonts w:ascii="Arial" w:hAnsi="Arial" w:cs="Arial"/>
          <w:sz w:val="22"/>
          <w:szCs w:val="22"/>
        </w:rPr>
        <w:t xml:space="preserve"> </w:t>
      </w:r>
      <w:r w:rsidR="00C40AFF">
        <w:rPr>
          <w:rFonts w:ascii="Arial" w:hAnsi="Arial" w:cs="Arial"/>
          <w:b/>
          <w:bCs/>
          <w:sz w:val="22"/>
          <w:szCs w:val="22"/>
        </w:rPr>
        <w:t>a</w:t>
      </w:r>
      <w:r w:rsidRPr="00D44AA2">
        <w:rPr>
          <w:rFonts w:ascii="Arial" w:hAnsi="Arial" w:cs="Arial"/>
          <w:b/>
          <w:bCs/>
          <w:sz w:val="22"/>
          <w:szCs w:val="22"/>
        </w:rPr>
        <w:t xml:space="preserve">ucun </w:t>
      </w:r>
    </w:p>
    <w:p w14:paraId="0AE24825" w14:textId="77777777" w:rsidR="00DE7058" w:rsidRPr="00D44AA2" w:rsidRDefault="00DE7058" w:rsidP="00EF1E9C">
      <w:pPr>
        <w:pStyle w:val="Titre"/>
        <w:ind w:firstLine="284"/>
        <w:jc w:val="both"/>
        <w:rPr>
          <w:rFonts w:ascii="Arial" w:hAnsi="Arial" w:cs="Arial"/>
          <w:b/>
          <w:bCs/>
          <w:sz w:val="10"/>
          <w:szCs w:val="10"/>
        </w:rPr>
      </w:pPr>
    </w:p>
    <w:p w14:paraId="25F67A8D" w14:textId="77777777" w:rsidR="00D126ED" w:rsidRPr="00D44AA2" w:rsidRDefault="00DE7058" w:rsidP="00EF1E9C">
      <w:pPr>
        <w:pStyle w:val="Titre"/>
        <w:jc w:val="both"/>
        <w:rPr>
          <w:rFonts w:ascii="Arial" w:hAnsi="Arial" w:cs="Arial"/>
          <w:b/>
          <w:sz w:val="22"/>
          <w:szCs w:val="22"/>
        </w:rPr>
      </w:pPr>
      <w:r w:rsidRPr="00D44AA2">
        <w:rPr>
          <w:rFonts w:ascii="Arial" w:hAnsi="Arial" w:cs="Arial"/>
          <w:sz w:val="22"/>
          <w:szCs w:val="22"/>
        </w:rPr>
        <w:t>Matériel autorisé :</w:t>
      </w:r>
      <w:r w:rsidR="00413BE3" w:rsidRPr="00D44AA2">
        <w:rPr>
          <w:rFonts w:ascii="Arial" w:hAnsi="Arial" w:cs="Arial"/>
          <w:sz w:val="22"/>
          <w:szCs w:val="22"/>
        </w:rPr>
        <w:t xml:space="preserve"> </w:t>
      </w:r>
      <w:r w:rsidR="00B422A4" w:rsidRPr="00D44AA2">
        <w:rPr>
          <w:rFonts w:ascii="Arial" w:hAnsi="Arial" w:cs="Arial"/>
          <w:b/>
          <w:sz w:val="22"/>
          <w:szCs w:val="22"/>
        </w:rPr>
        <w:t>aucun</w:t>
      </w:r>
      <w:r w:rsidR="00413BE3" w:rsidRPr="00D44AA2">
        <w:rPr>
          <w:rFonts w:ascii="Arial" w:hAnsi="Arial" w:cs="Arial"/>
          <w:sz w:val="22"/>
          <w:szCs w:val="22"/>
        </w:rPr>
        <w:t>.</w:t>
      </w:r>
    </w:p>
    <w:p w14:paraId="7BC83528" w14:textId="77777777" w:rsidR="00DE7058" w:rsidRPr="00D44AA2" w:rsidRDefault="00DE7058" w:rsidP="00EF1E9C">
      <w:pPr>
        <w:pStyle w:val="Titre"/>
        <w:jc w:val="both"/>
        <w:rPr>
          <w:rFonts w:ascii="Arial" w:hAnsi="Arial" w:cs="Arial"/>
          <w:b/>
          <w:bCs/>
          <w:sz w:val="10"/>
          <w:szCs w:val="10"/>
        </w:rPr>
      </w:pPr>
    </w:p>
    <w:p w14:paraId="4AAC39BD" w14:textId="2BD4BE60" w:rsidR="00DE7058" w:rsidRPr="00D44AA2" w:rsidRDefault="00DE7058" w:rsidP="00EF1E9C">
      <w:pPr>
        <w:pStyle w:val="Titre"/>
        <w:jc w:val="both"/>
        <w:rPr>
          <w:rFonts w:ascii="Arial" w:hAnsi="Arial" w:cs="Arial"/>
          <w:sz w:val="22"/>
          <w:szCs w:val="22"/>
        </w:rPr>
      </w:pPr>
      <w:r w:rsidRPr="00D44AA2">
        <w:rPr>
          <w:rFonts w:ascii="Arial" w:hAnsi="Arial" w:cs="Arial"/>
          <w:sz w:val="22"/>
          <w:szCs w:val="22"/>
        </w:rPr>
        <w:t>Document remis au candidat :</w:t>
      </w:r>
      <w:r w:rsidR="00EF1E9C" w:rsidRPr="00D44AA2">
        <w:rPr>
          <w:rFonts w:ascii="Arial" w:hAnsi="Arial" w:cs="Arial"/>
          <w:sz w:val="22"/>
          <w:szCs w:val="22"/>
        </w:rPr>
        <w:t xml:space="preserve"> </w:t>
      </w:r>
      <w:r w:rsidR="00C40AFF">
        <w:rPr>
          <w:rFonts w:ascii="Arial" w:hAnsi="Arial" w:cs="Arial"/>
          <w:b/>
          <w:bCs/>
          <w:sz w:val="22"/>
          <w:szCs w:val="22"/>
        </w:rPr>
        <w:t>l</w:t>
      </w:r>
      <w:r w:rsidRPr="00D44AA2">
        <w:rPr>
          <w:rFonts w:ascii="Arial" w:hAnsi="Arial" w:cs="Arial"/>
          <w:b/>
          <w:bCs/>
          <w:sz w:val="22"/>
          <w:szCs w:val="22"/>
        </w:rPr>
        <w:t xml:space="preserve">e sujet comporte </w:t>
      </w:r>
      <w:r w:rsidR="00F14F9B">
        <w:rPr>
          <w:rFonts w:ascii="Arial" w:hAnsi="Arial" w:cs="Arial"/>
          <w:b/>
          <w:bCs/>
          <w:sz w:val="22"/>
          <w:szCs w:val="22"/>
        </w:rPr>
        <w:t>7</w:t>
      </w:r>
      <w:r w:rsidRPr="00D44AA2">
        <w:rPr>
          <w:rFonts w:ascii="Arial" w:hAnsi="Arial" w:cs="Arial"/>
          <w:b/>
          <w:bCs/>
          <w:sz w:val="22"/>
          <w:szCs w:val="22"/>
        </w:rPr>
        <w:t xml:space="preserve"> pages numérotées de 1/</w:t>
      </w:r>
      <w:r w:rsidR="00F14F9B">
        <w:rPr>
          <w:rFonts w:ascii="Arial" w:hAnsi="Arial" w:cs="Arial"/>
          <w:b/>
          <w:bCs/>
          <w:sz w:val="22"/>
          <w:szCs w:val="22"/>
        </w:rPr>
        <w:t>7</w:t>
      </w:r>
      <w:r w:rsidR="005B3600" w:rsidRPr="00D44AA2">
        <w:rPr>
          <w:rFonts w:ascii="Arial" w:hAnsi="Arial" w:cs="Arial"/>
          <w:b/>
          <w:bCs/>
          <w:sz w:val="22"/>
          <w:szCs w:val="22"/>
        </w:rPr>
        <w:t xml:space="preserve"> </w:t>
      </w:r>
      <w:r w:rsidRPr="00D44AA2">
        <w:rPr>
          <w:rFonts w:ascii="Arial" w:hAnsi="Arial" w:cs="Arial"/>
          <w:b/>
          <w:bCs/>
          <w:sz w:val="22"/>
          <w:szCs w:val="22"/>
        </w:rPr>
        <w:t xml:space="preserve">à </w:t>
      </w:r>
      <w:r w:rsidR="00F14F9B">
        <w:rPr>
          <w:rFonts w:ascii="Arial" w:hAnsi="Arial" w:cs="Arial"/>
          <w:b/>
          <w:bCs/>
          <w:sz w:val="22"/>
          <w:szCs w:val="22"/>
        </w:rPr>
        <w:t>7</w:t>
      </w:r>
      <w:r w:rsidRPr="00D44AA2">
        <w:rPr>
          <w:rFonts w:ascii="Arial" w:hAnsi="Arial" w:cs="Arial"/>
          <w:b/>
          <w:bCs/>
          <w:sz w:val="22"/>
          <w:szCs w:val="22"/>
        </w:rPr>
        <w:t>/</w:t>
      </w:r>
      <w:r w:rsidR="00F14F9B">
        <w:rPr>
          <w:rFonts w:ascii="Arial" w:hAnsi="Arial" w:cs="Arial"/>
          <w:b/>
          <w:bCs/>
          <w:sz w:val="22"/>
          <w:szCs w:val="22"/>
        </w:rPr>
        <w:t>7</w:t>
      </w:r>
      <w:r w:rsidRPr="00D44AA2">
        <w:rPr>
          <w:rFonts w:ascii="Arial" w:hAnsi="Arial" w:cs="Arial"/>
          <w:b/>
          <w:bCs/>
          <w:sz w:val="22"/>
          <w:szCs w:val="22"/>
        </w:rPr>
        <w:t>.</w:t>
      </w:r>
    </w:p>
    <w:p w14:paraId="4C2FEB64" w14:textId="77777777" w:rsidR="00DE7058" w:rsidRPr="00D44AA2" w:rsidRDefault="00DE7058" w:rsidP="00EF1E9C">
      <w:pPr>
        <w:pStyle w:val="Titre"/>
        <w:jc w:val="both"/>
        <w:rPr>
          <w:rFonts w:ascii="Arial" w:hAnsi="Arial" w:cs="Arial"/>
          <w:b/>
          <w:bCs/>
          <w:sz w:val="10"/>
          <w:szCs w:val="10"/>
        </w:rPr>
      </w:pPr>
    </w:p>
    <w:p w14:paraId="65662C19" w14:textId="716AE9DC" w:rsidR="00DE7058" w:rsidRDefault="00DE7058" w:rsidP="00EF1E9C">
      <w:pPr>
        <w:pStyle w:val="Titre"/>
        <w:pBdr>
          <w:bottom w:val="single" w:sz="4" w:space="1" w:color="auto"/>
        </w:pBdr>
        <w:jc w:val="both"/>
        <w:rPr>
          <w:rFonts w:ascii="Arial" w:hAnsi="Arial" w:cs="Arial"/>
          <w:sz w:val="22"/>
          <w:szCs w:val="22"/>
        </w:rPr>
      </w:pPr>
      <w:r w:rsidRPr="00D44AA2">
        <w:rPr>
          <w:rFonts w:ascii="Arial" w:hAnsi="Arial" w:cs="Arial"/>
          <w:sz w:val="22"/>
          <w:szCs w:val="22"/>
        </w:rPr>
        <w:t>Il vous est demandé de vérifier que le sujet est complet dès sa mise à votre disposition.</w:t>
      </w:r>
    </w:p>
    <w:p w14:paraId="2D9A82D3" w14:textId="77777777" w:rsidR="00F14F9B" w:rsidRPr="00D44AA2" w:rsidRDefault="00F14F9B" w:rsidP="00EF1E9C">
      <w:pPr>
        <w:pStyle w:val="Titre"/>
        <w:pBdr>
          <w:bottom w:val="single" w:sz="4" w:space="1" w:color="auto"/>
        </w:pBdr>
        <w:jc w:val="both"/>
        <w:rPr>
          <w:rFonts w:ascii="Arial" w:hAnsi="Arial" w:cs="Arial"/>
          <w:sz w:val="22"/>
          <w:szCs w:val="22"/>
        </w:rPr>
      </w:pPr>
    </w:p>
    <w:p w14:paraId="728F5B60" w14:textId="77777777" w:rsidR="00F14F9B" w:rsidRDefault="00F14F9B" w:rsidP="00EF1E9C">
      <w:pPr>
        <w:pStyle w:val="Sous-titre"/>
        <w:spacing w:before="0"/>
        <w:ind w:right="96"/>
        <w:jc w:val="both"/>
        <w:rPr>
          <w:i/>
          <w:iCs/>
        </w:rPr>
      </w:pPr>
    </w:p>
    <w:p w14:paraId="1BB6B3F2" w14:textId="1B99B3B1" w:rsidR="009649CB" w:rsidRPr="00D44AA2" w:rsidRDefault="009649CB" w:rsidP="00EF1E9C">
      <w:pPr>
        <w:pStyle w:val="Sous-titre"/>
        <w:spacing w:before="0"/>
        <w:ind w:right="96"/>
        <w:jc w:val="both"/>
        <w:rPr>
          <w:i/>
          <w:iCs/>
        </w:rPr>
      </w:pPr>
      <w:r w:rsidRPr="00D44AA2">
        <w:rPr>
          <w:i/>
          <w:iCs/>
        </w:rPr>
        <w:t xml:space="preserve">Le sujet se présente sous la forme de </w:t>
      </w:r>
      <w:r w:rsidR="00826A86" w:rsidRPr="00D44AA2">
        <w:rPr>
          <w:i/>
          <w:iCs/>
        </w:rPr>
        <w:t>4</w:t>
      </w:r>
      <w:r w:rsidRPr="00D44AA2">
        <w:rPr>
          <w:i/>
          <w:iCs/>
        </w:rPr>
        <w:t xml:space="preserve"> dossiers indépendants</w:t>
      </w:r>
    </w:p>
    <w:p w14:paraId="4B21FDDD" w14:textId="77777777" w:rsidR="009649CB" w:rsidRPr="00D44AA2" w:rsidRDefault="009649CB" w:rsidP="00EF1E9C">
      <w:pPr>
        <w:pStyle w:val="Sous-titre"/>
        <w:spacing w:before="0"/>
        <w:jc w:val="both"/>
        <w:rPr>
          <w:i/>
          <w:iCs/>
        </w:rPr>
      </w:pPr>
    </w:p>
    <w:p w14:paraId="7214F4E7" w14:textId="696F9DD6" w:rsidR="009649CB" w:rsidRPr="00D44AA2" w:rsidRDefault="009649CB" w:rsidP="00F14F9B">
      <w:pPr>
        <w:shd w:val="clear" w:color="auto" w:fill="FFFFFF"/>
        <w:tabs>
          <w:tab w:val="right" w:leader="dot" w:pos="8931"/>
          <w:tab w:val="right" w:leader="dot" w:pos="9066"/>
          <w:tab w:val="left" w:pos="9356"/>
          <w:tab w:val="right" w:leader="dot" w:pos="9923"/>
        </w:tabs>
        <w:spacing w:line="360" w:lineRule="auto"/>
        <w:jc w:val="both"/>
        <w:rPr>
          <w:rFonts w:ascii="Arial" w:hAnsi="Arial" w:cs="Arial"/>
          <w:b/>
          <w:bCs/>
          <w:color w:val="000000"/>
          <w:sz w:val="22"/>
        </w:rPr>
      </w:pPr>
      <w:r w:rsidRPr="00D44AA2">
        <w:rPr>
          <w:rFonts w:ascii="Arial" w:hAnsi="Arial" w:cs="Arial"/>
          <w:b/>
          <w:bCs/>
          <w:color w:val="000000"/>
          <w:sz w:val="22"/>
        </w:rPr>
        <w:t>Page de garde</w:t>
      </w:r>
      <w:r w:rsidR="00D44AA2">
        <w:rPr>
          <w:rFonts w:ascii="Arial" w:hAnsi="Arial" w:cs="Arial"/>
          <w:bCs/>
          <w:color w:val="000000"/>
          <w:sz w:val="22"/>
        </w:rPr>
        <w:tab/>
      </w:r>
      <w:r w:rsidR="00450DC9" w:rsidRPr="00D44AA2">
        <w:rPr>
          <w:rFonts w:ascii="Arial" w:hAnsi="Arial" w:cs="Arial"/>
          <w:bCs/>
          <w:color w:val="000000"/>
          <w:sz w:val="22"/>
        </w:rPr>
        <w:t xml:space="preserve">page </w:t>
      </w:r>
      <w:r w:rsidR="00B422A4" w:rsidRPr="00D44AA2">
        <w:rPr>
          <w:rFonts w:ascii="Arial" w:hAnsi="Arial" w:cs="Arial"/>
          <w:bCs/>
          <w:color w:val="000000"/>
          <w:sz w:val="22"/>
        </w:rPr>
        <w:t>1</w:t>
      </w:r>
    </w:p>
    <w:p w14:paraId="29043828" w14:textId="7DAD0711" w:rsidR="009649CB" w:rsidRPr="00D44AA2" w:rsidRDefault="009649CB" w:rsidP="00F14F9B">
      <w:pPr>
        <w:shd w:val="clear" w:color="auto" w:fill="FFFFFF"/>
        <w:tabs>
          <w:tab w:val="right" w:leader="dot" w:pos="8931"/>
          <w:tab w:val="right" w:leader="dot" w:pos="9066"/>
          <w:tab w:val="left" w:pos="9356"/>
          <w:tab w:val="right" w:leader="dot" w:pos="9923"/>
        </w:tabs>
        <w:spacing w:line="360" w:lineRule="auto"/>
        <w:jc w:val="both"/>
        <w:rPr>
          <w:rFonts w:ascii="Arial" w:hAnsi="Arial" w:cs="Arial"/>
          <w:b/>
          <w:bCs/>
          <w:color w:val="000000"/>
          <w:sz w:val="22"/>
        </w:rPr>
      </w:pPr>
      <w:r w:rsidRPr="00D44AA2">
        <w:rPr>
          <w:rFonts w:ascii="Arial" w:hAnsi="Arial" w:cs="Arial"/>
          <w:b/>
          <w:bCs/>
          <w:color w:val="000000"/>
          <w:sz w:val="22"/>
        </w:rPr>
        <w:t>Présentation du sujet</w:t>
      </w:r>
      <w:r w:rsidR="00D44AA2">
        <w:rPr>
          <w:rFonts w:ascii="Arial" w:hAnsi="Arial" w:cs="Arial"/>
          <w:bCs/>
          <w:color w:val="000000"/>
          <w:sz w:val="22"/>
        </w:rPr>
        <w:tab/>
      </w:r>
      <w:r w:rsidR="00450DC9" w:rsidRPr="00D44AA2">
        <w:rPr>
          <w:rFonts w:ascii="Arial" w:hAnsi="Arial" w:cs="Arial"/>
          <w:bCs/>
          <w:color w:val="000000"/>
          <w:sz w:val="22"/>
        </w:rPr>
        <w:t xml:space="preserve"> </w:t>
      </w:r>
      <w:r w:rsidRPr="00D44AA2">
        <w:rPr>
          <w:rFonts w:ascii="Arial" w:hAnsi="Arial" w:cs="Arial"/>
          <w:bCs/>
          <w:color w:val="000000"/>
          <w:sz w:val="22"/>
        </w:rPr>
        <w:t xml:space="preserve">page </w:t>
      </w:r>
      <w:r w:rsidR="00B422A4" w:rsidRPr="00D44AA2">
        <w:rPr>
          <w:rFonts w:ascii="Arial" w:hAnsi="Arial" w:cs="Arial"/>
          <w:bCs/>
          <w:color w:val="000000"/>
          <w:sz w:val="22"/>
        </w:rPr>
        <w:t>3</w:t>
      </w:r>
    </w:p>
    <w:p w14:paraId="21EB2249" w14:textId="1F4AB354" w:rsidR="009649CB" w:rsidRPr="00D44AA2" w:rsidRDefault="009649CB" w:rsidP="00F14F9B">
      <w:pPr>
        <w:shd w:val="clear" w:color="auto" w:fill="FFFFFF"/>
        <w:tabs>
          <w:tab w:val="right" w:leader="dot" w:pos="7513"/>
          <w:tab w:val="right" w:leader="dot" w:pos="8931"/>
          <w:tab w:val="right" w:leader="dot" w:pos="9923"/>
        </w:tabs>
        <w:spacing w:line="360" w:lineRule="auto"/>
        <w:ind w:left="29"/>
        <w:jc w:val="both"/>
        <w:rPr>
          <w:rFonts w:ascii="Arial" w:hAnsi="Arial" w:cs="Arial"/>
          <w:bCs/>
          <w:color w:val="000000"/>
          <w:sz w:val="22"/>
        </w:rPr>
      </w:pPr>
      <w:r w:rsidRPr="00D44AA2">
        <w:rPr>
          <w:rFonts w:ascii="Arial" w:hAnsi="Arial" w:cs="Arial"/>
          <w:b/>
          <w:bCs/>
          <w:color w:val="000000"/>
          <w:sz w:val="22"/>
        </w:rPr>
        <w:t xml:space="preserve">DOSSIER 1 </w:t>
      </w:r>
      <w:r w:rsidR="00B422A4" w:rsidRPr="00D44AA2">
        <w:rPr>
          <w:rFonts w:ascii="Arial" w:hAnsi="Arial" w:cs="Arial"/>
          <w:b/>
          <w:bCs/>
          <w:color w:val="000000"/>
          <w:sz w:val="22"/>
        </w:rPr>
        <w:t>–</w:t>
      </w:r>
      <w:r w:rsidRPr="00D44AA2">
        <w:rPr>
          <w:rFonts w:ascii="Arial" w:hAnsi="Arial" w:cs="Arial"/>
          <w:b/>
          <w:bCs/>
          <w:color w:val="000000"/>
          <w:sz w:val="22"/>
        </w:rPr>
        <w:t xml:space="preserve"> </w:t>
      </w:r>
      <w:r w:rsidR="00B422A4" w:rsidRPr="00D44AA2">
        <w:rPr>
          <w:rFonts w:ascii="Arial" w:hAnsi="Arial" w:cs="Arial"/>
          <w:bCs/>
          <w:color w:val="000000"/>
          <w:sz w:val="22"/>
        </w:rPr>
        <w:t>Diagnostic financier</w:t>
      </w:r>
      <w:r w:rsidR="00D44AA2">
        <w:rPr>
          <w:rFonts w:ascii="Arial" w:hAnsi="Arial" w:cs="Arial"/>
          <w:bCs/>
          <w:color w:val="000000"/>
          <w:sz w:val="22"/>
        </w:rPr>
        <w:tab/>
        <w:t>(</w:t>
      </w:r>
      <w:r w:rsidR="00A2459F" w:rsidRPr="00D44AA2">
        <w:rPr>
          <w:rFonts w:ascii="Arial" w:hAnsi="Arial" w:cs="Arial"/>
          <w:bCs/>
          <w:color w:val="000000"/>
          <w:sz w:val="22"/>
        </w:rPr>
        <w:t>25</w:t>
      </w:r>
      <w:r w:rsidR="00450DC9" w:rsidRPr="00D44AA2">
        <w:rPr>
          <w:rFonts w:ascii="Arial" w:hAnsi="Arial" w:cs="Arial"/>
          <w:bCs/>
          <w:color w:val="000000"/>
          <w:sz w:val="22"/>
        </w:rPr>
        <w:t xml:space="preserve"> points) </w:t>
      </w:r>
      <w:r w:rsidR="00D44AA2">
        <w:rPr>
          <w:rFonts w:ascii="Arial" w:hAnsi="Arial" w:cs="Arial"/>
          <w:bCs/>
          <w:color w:val="000000"/>
          <w:sz w:val="22"/>
        </w:rPr>
        <w:tab/>
      </w:r>
      <w:r w:rsidRPr="00D44AA2">
        <w:rPr>
          <w:rFonts w:ascii="Arial" w:hAnsi="Arial" w:cs="Arial"/>
          <w:bCs/>
          <w:color w:val="000000"/>
          <w:sz w:val="22"/>
        </w:rPr>
        <w:t xml:space="preserve">page </w:t>
      </w:r>
      <w:r w:rsidR="00DD142F" w:rsidRPr="00D44AA2">
        <w:rPr>
          <w:rFonts w:ascii="Arial" w:hAnsi="Arial" w:cs="Arial"/>
          <w:bCs/>
          <w:color w:val="000000"/>
          <w:sz w:val="22"/>
        </w:rPr>
        <w:t>3</w:t>
      </w:r>
    </w:p>
    <w:p w14:paraId="548F167F" w14:textId="7525F260" w:rsidR="009649CB" w:rsidRPr="00D44AA2" w:rsidRDefault="009649CB" w:rsidP="00F14F9B">
      <w:pPr>
        <w:shd w:val="clear" w:color="auto" w:fill="FFFFFF"/>
        <w:tabs>
          <w:tab w:val="right" w:leader="dot" w:pos="7513"/>
          <w:tab w:val="right" w:leader="dot" w:pos="8931"/>
          <w:tab w:val="right" w:leader="dot" w:pos="9923"/>
        </w:tabs>
        <w:spacing w:line="360" w:lineRule="auto"/>
        <w:ind w:left="32"/>
        <w:jc w:val="both"/>
        <w:rPr>
          <w:rFonts w:ascii="Arial" w:hAnsi="Arial" w:cs="Arial"/>
          <w:b/>
          <w:bCs/>
          <w:color w:val="000000"/>
          <w:sz w:val="22"/>
        </w:rPr>
      </w:pPr>
      <w:r w:rsidRPr="00D44AA2">
        <w:rPr>
          <w:rFonts w:ascii="Arial" w:hAnsi="Arial" w:cs="Arial"/>
          <w:b/>
          <w:bCs/>
          <w:color w:val="000000"/>
          <w:sz w:val="22"/>
        </w:rPr>
        <w:t xml:space="preserve">DOSSIER 2 </w:t>
      </w:r>
      <w:r w:rsidR="00DD142F" w:rsidRPr="00D44AA2">
        <w:rPr>
          <w:rFonts w:ascii="Arial" w:hAnsi="Arial" w:cs="Arial"/>
          <w:b/>
          <w:bCs/>
          <w:color w:val="000000"/>
          <w:sz w:val="22"/>
        </w:rPr>
        <w:t>–</w:t>
      </w:r>
      <w:r w:rsidRPr="00D44AA2">
        <w:rPr>
          <w:rFonts w:ascii="Arial" w:hAnsi="Arial" w:cs="Arial"/>
          <w:b/>
          <w:bCs/>
          <w:color w:val="000000"/>
          <w:sz w:val="22"/>
        </w:rPr>
        <w:t xml:space="preserve"> </w:t>
      </w:r>
      <w:r w:rsidR="00DD142F" w:rsidRPr="00D44AA2">
        <w:rPr>
          <w:rFonts w:ascii="Arial" w:hAnsi="Arial" w:cs="Arial"/>
          <w:bCs/>
          <w:color w:val="000000"/>
          <w:sz w:val="22"/>
        </w:rPr>
        <w:t>Gouvernance et turnover du dirigeant</w:t>
      </w:r>
      <w:r w:rsidR="00D44AA2">
        <w:rPr>
          <w:rFonts w:ascii="Arial" w:hAnsi="Arial" w:cs="Arial"/>
          <w:bCs/>
          <w:color w:val="000000"/>
          <w:sz w:val="22"/>
        </w:rPr>
        <w:tab/>
        <w:t>(</w:t>
      </w:r>
      <w:r w:rsidR="00A2459F" w:rsidRPr="00D44AA2">
        <w:rPr>
          <w:rFonts w:ascii="Arial" w:hAnsi="Arial" w:cs="Arial"/>
          <w:color w:val="000000"/>
          <w:sz w:val="22"/>
        </w:rPr>
        <w:t>25</w:t>
      </w:r>
      <w:r w:rsidR="00450DC9" w:rsidRPr="00D44AA2">
        <w:rPr>
          <w:rFonts w:ascii="Arial" w:hAnsi="Arial" w:cs="Arial"/>
          <w:color w:val="000000"/>
          <w:sz w:val="22"/>
        </w:rPr>
        <w:t xml:space="preserve"> points</w:t>
      </w:r>
      <w:r w:rsidR="00D44AA2">
        <w:rPr>
          <w:rFonts w:ascii="Arial" w:hAnsi="Arial" w:cs="Arial"/>
          <w:color w:val="000000"/>
          <w:sz w:val="22"/>
        </w:rPr>
        <w:t>)</w:t>
      </w:r>
      <w:r w:rsidR="00450DC9" w:rsidRPr="00D44AA2">
        <w:rPr>
          <w:rFonts w:ascii="Arial" w:hAnsi="Arial" w:cs="Arial"/>
          <w:color w:val="000000"/>
          <w:sz w:val="22"/>
        </w:rPr>
        <w:t xml:space="preserve"> </w:t>
      </w:r>
      <w:proofErr w:type="gramStart"/>
      <w:r w:rsidR="00D44AA2">
        <w:rPr>
          <w:rFonts w:ascii="Arial" w:hAnsi="Arial" w:cs="Arial"/>
          <w:color w:val="000000"/>
          <w:sz w:val="22"/>
        </w:rPr>
        <w:tab/>
      </w:r>
      <w:r w:rsidR="00450DC9" w:rsidRPr="00D44AA2">
        <w:rPr>
          <w:rFonts w:ascii="Arial" w:hAnsi="Arial" w:cs="Arial"/>
          <w:color w:val="000000"/>
          <w:sz w:val="22"/>
        </w:rPr>
        <w:t xml:space="preserve">  </w:t>
      </w:r>
      <w:r w:rsidRPr="00D44AA2">
        <w:rPr>
          <w:rFonts w:ascii="Arial" w:hAnsi="Arial" w:cs="Arial"/>
          <w:color w:val="000000"/>
          <w:sz w:val="22"/>
        </w:rPr>
        <w:t>page</w:t>
      </w:r>
      <w:proofErr w:type="gramEnd"/>
      <w:r w:rsidRPr="00D44AA2">
        <w:rPr>
          <w:rFonts w:ascii="Arial" w:hAnsi="Arial" w:cs="Arial"/>
          <w:b/>
          <w:bCs/>
          <w:color w:val="000000"/>
          <w:sz w:val="22"/>
        </w:rPr>
        <w:t xml:space="preserve"> </w:t>
      </w:r>
      <w:r w:rsidR="00450DC9" w:rsidRPr="00D44AA2">
        <w:rPr>
          <w:rFonts w:ascii="Arial" w:hAnsi="Arial" w:cs="Arial"/>
          <w:bCs/>
          <w:color w:val="000000"/>
          <w:sz w:val="22"/>
        </w:rPr>
        <w:t>3</w:t>
      </w:r>
    </w:p>
    <w:p w14:paraId="105EE706" w14:textId="18F585F8" w:rsidR="009649CB" w:rsidRPr="00D44AA2" w:rsidRDefault="009649CB" w:rsidP="00F14F9B">
      <w:pPr>
        <w:shd w:val="clear" w:color="auto" w:fill="FFFFFF"/>
        <w:tabs>
          <w:tab w:val="right" w:leader="dot" w:pos="7513"/>
          <w:tab w:val="right" w:leader="dot" w:pos="8931"/>
          <w:tab w:val="right" w:leader="dot" w:pos="9923"/>
        </w:tabs>
        <w:spacing w:line="360" w:lineRule="auto"/>
        <w:ind w:left="32"/>
        <w:jc w:val="both"/>
        <w:rPr>
          <w:rFonts w:ascii="Arial" w:hAnsi="Arial" w:cs="Arial"/>
          <w:b/>
          <w:bCs/>
          <w:color w:val="000000"/>
          <w:sz w:val="22"/>
        </w:rPr>
      </w:pPr>
      <w:r w:rsidRPr="00D44AA2">
        <w:rPr>
          <w:rFonts w:ascii="Arial" w:hAnsi="Arial" w:cs="Arial"/>
          <w:b/>
          <w:bCs/>
          <w:color w:val="000000"/>
          <w:sz w:val="22"/>
        </w:rPr>
        <w:t xml:space="preserve">DOSSIER 3 </w:t>
      </w:r>
      <w:r w:rsidR="00DD142F" w:rsidRPr="00D44AA2">
        <w:rPr>
          <w:rFonts w:ascii="Arial" w:hAnsi="Arial" w:cs="Arial"/>
          <w:b/>
          <w:bCs/>
          <w:color w:val="000000"/>
          <w:sz w:val="22"/>
        </w:rPr>
        <w:t>–</w:t>
      </w:r>
      <w:r w:rsidRPr="00D44AA2">
        <w:rPr>
          <w:rFonts w:ascii="Arial" w:hAnsi="Arial" w:cs="Arial"/>
          <w:b/>
          <w:bCs/>
          <w:color w:val="000000"/>
          <w:sz w:val="22"/>
        </w:rPr>
        <w:t xml:space="preserve"> </w:t>
      </w:r>
      <w:r w:rsidR="00DD142F" w:rsidRPr="00D44AA2">
        <w:rPr>
          <w:rFonts w:ascii="Arial" w:hAnsi="Arial" w:cs="Arial"/>
          <w:color w:val="000000"/>
          <w:sz w:val="22"/>
        </w:rPr>
        <w:t>Réaction des marchés financiers</w:t>
      </w:r>
      <w:r w:rsidR="00450DC9" w:rsidRPr="00D44AA2">
        <w:rPr>
          <w:rFonts w:ascii="Arial" w:hAnsi="Arial" w:cs="Arial"/>
          <w:color w:val="000000"/>
          <w:sz w:val="22"/>
        </w:rPr>
        <w:tab/>
        <w:t xml:space="preserve"> </w:t>
      </w:r>
      <w:r w:rsidR="00D44AA2">
        <w:rPr>
          <w:rFonts w:ascii="Arial" w:hAnsi="Arial" w:cs="Arial"/>
          <w:color w:val="000000"/>
          <w:sz w:val="22"/>
        </w:rPr>
        <w:t>(</w:t>
      </w:r>
      <w:r w:rsidR="00A2459F" w:rsidRPr="00D44AA2">
        <w:rPr>
          <w:rFonts w:ascii="Arial" w:hAnsi="Arial" w:cs="Arial"/>
          <w:color w:val="000000"/>
          <w:sz w:val="22"/>
        </w:rPr>
        <w:t xml:space="preserve">25 </w:t>
      </w:r>
      <w:r w:rsidR="00450DC9" w:rsidRPr="00D44AA2">
        <w:rPr>
          <w:rFonts w:ascii="Arial" w:hAnsi="Arial" w:cs="Arial"/>
          <w:color w:val="000000"/>
          <w:sz w:val="22"/>
        </w:rPr>
        <w:t xml:space="preserve">points) </w:t>
      </w:r>
      <w:r w:rsidR="00D44AA2">
        <w:rPr>
          <w:rFonts w:ascii="Arial" w:hAnsi="Arial" w:cs="Arial"/>
          <w:color w:val="000000"/>
          <w:sz w:val="22"/>
        </w:rPr>
        <w:tab/>
      </w:r>
      <w:r w:rsidRPr="00D44AA2">
        <w:rPr>
          <w:rFonts w:ascii="Arial" w:hAnsi="Arial" w:cs="Arial"/>
          <w:color w:val="000000"/>
          <w:sz w:val="22"/>
        </w:rPr>
        <w:t xml:space="preserve">page </w:t>
      </w:r>
      <w:r w:rsidR="00DD142F" w:rsidRPr="00D44AA2">
        <w:rPr>
          <w:rFonts w:ascii="Arial" w:hAnsi="Arial" w:cs="Arial"/>
          <w:bCs/>
          <w:color w:val="000000"/>
          <w:sz w:val="22"/>
        </w:rPr>
        <w:t>4</w:t>
      </w:r>
    </w:p>
    <w:p w14:paraId="23D17F56" w14:textId="1605BCBA" w:rsidR="009649CB" w:rsidRPr="00D44AA2" w:rsidRDefault="009649CB" w:rsidP="00F14F9B">
      <w:pPr>
        <w:shd w:val="clear" w:color="auto" w:fill="FFFFFF"/>
        <w:tabs>
          <w:tab w:val="right" w:leader="dot" w:pos="7513"/>
          <w:tab w:val="right" w:leader="dot" w:pos="8931"/>
          <w:tab w:val="right" w:leader="dot" w:pos="9923"/>
        </w:tabs>
        <w:spacing w:line="360" w:lineRule="auto"/>
        <w:ind w:left="32"/>
        <w:jc w:val="both"/>
        <w:rPr>
          <w:rFonts w:ascii="Arial" w:hAnsi="Arial" w:cs="Arial"/>
          <w:b/>
          <w:bCs/>
          <w:color w:val="000000"/>
          <w:sz w:val="22"/>
        </w:rPr>
      </w:pPr>
      <w:r w:rsidRPr="00D44AA2">
        <w:rPr>
          <w:rFonts w:ascii="Arial" w:hAnsi="Arial" w:cs="Arial"/>
          <w:b/>
          <w:bCs/>
          <w:color w:val="000000"/>
          <w:sz w:val="22"/>
        </w:rPr>
        <w:t xml:space="preserve">DOSSIER 4 </w:t>
      </w:r>
      <w:r w:rsidR="00450DC9" w:rsidRPr="00D44AA2">
        <w:rPr>
          <w:rFonts w:ascii="Arial" w:hAnsi="Arial" w:cs="Arial"/>
          <w:b/>
          <w:bCs/>
          <w:color w:val="000000"/>
          <w:sz w:val="22"/>
        </w:rPr>
        <w:t>–</w:t>
      </w:r>
      <w:r w:rsidRPr="00D44AA2">
        <w:rPr>
          <w:rFonts w:ascii="Arial" w:hAnsi="Arial" w:cs="Arial"/>
          <w:b/>
          <w:bCs/>
          <w:color w:val="000000"/>
          <w:sz w:val="22"/>
        </w:rPr>
        <w:t xml:space="preserve"> </w:t>
      </w:r>
      <w:r w:rsidR="00DD142F" w:rsidRPr="00D44AA2">
        <w:rPr>
          <w:rFonts w:ascii="Arial" w:hAnsi="Arial" w:cs="Arial"/>
          <w:color w:val="000000"/>
          <w:sz w:val="22"/>
        </w:rPr>
        <w:t>RSE</w:t>
      </w:r>
      <w:r w:rsidR="00450DC9" w:rsidRPr="00D44AA2">
        <w:rPr>
          <w:rFonts w:ascii="Arial" w:hAnsi="Arial" w:cs="Arial"/>
          <w:color w:val="000000"/>
          <w:sz w:val="22"/>
        </w:rPr>
        <w:t xml:space="preserve"> (</w:t>
      </w:r>
      <w:r w:rsidR="00450DC9" w:rsidRPr="00D44AA2">
        <w:rPr>
          <w:rFonts w:ascii="Arial" w:hAnsi="Arial" w:cs="Arial"/>
          <w:i/>
          <w:color w:val="000000"/>
          <w:sz w:val="22"/>
        </w:rPr>
        <w:t>Responsabilité Sociétale des Entreprises</w:t>
      </w:r>
      <w:r w:rsidR="00D44AA2">
        <w:rPr>
          <w:rFonts w:ascii="Arial" w:hAnsi="Arial" w:cs="Arial"/>
          <w:color w:val="000000"/>
          <w:sz w:val="22"/>
        </w:rPr>
        <w:t>)</w:t>
      </w:r>
      <w:r w:rsidR="00D44AA2">
        <w:rPr>
          <w:rFonts w:ascii="Arial" w:hAnsi="Arial" w:cs="Arial"/>
          <w:color w:val="000000"/>
          <w:sz w:val="22"/>
        </w:rPr>
        <w:tab/>
        <w:t>(</w:t>
      </w:r>
      <w:r w:rsidR="00A2459F" w:rsidRPr="00D44AA2">
        <w:rPr>
          <w:rFonts w:ascii="Arial" w:hAnsi="Arial" w:cs="Arial"/>
          <w:color w:val="000000"/>
          <w:sz w:val="22"/>
        </w:rPr>
        <w:t>25</w:t>
      </w:r>
      <w:r w:rsidR="00450DC9" w:rsidRPr="00D44AA2">
        <w:rPr>
          <w:rFonts w:ascii="Arial" w:hAnsi="Arial" w:cs="Arial"/>
          <w:color w:val="000000"/>
          <w:sz w:val="22"/>
        </w:rPr>
        <w:t xml:space="preserve"> points</w:t>
      </w:r>
      <w:r w:rsidR="00D44AA2">
        <w:rPr>
          <w:rFonts w:ascii="Arial" w:hAnsi="Arial" w:cs="Arial"/>
          <w:color w:val="000000"/>
          <w:sz w:val="22"/>
        </w:rPr>
        <w:t>)</w:t>
      </w:r>
      <w:r w:rsidR="00D44AA2">
        <w:rPr>
          <w:rFonts w:ascii="Arial" w:hAnsi="Arial" w:cs="Arial"/>
          <w:color w:val="000000"/>
          <w:sz w:val="22"/>
        </w:rPr>
        <w:tab/>
      </w:r>
      <w:r w:rsidRPr="00D44AA2">
        <w:rPr>
          <w:rFonts w:ascii="Arial" w:hAnsi="Arial" w:cs="Arial"/>
          <w:color w:val="000000"/>
          <w:sz w:val="22"/>
        </w:rPr>
        <w:t>page</w:t>
      </w:r>
      <w:r w:rsidRPr="00D44AA2">
        <w:rPr>
          <w:rFonts w:ascii="Arial" w:hAnsi="Arial" w:cs="Arial"/>
          <w:b/>
          <w:bCs/>
          <w:color w:val="000000"/>
          <w:sz w:val="22"/>
        </w:rPr>
        <w:t xml:space="preserve"> </w:t>
      </w:r>
      <w:r w:rsidR="00DD142F" w:rsidRPr="00D44AA2">
        <w:rPr>
          <w:rFonts w:ascii="Arial" w:hAnsi="Arial" w:cs="Arial"/>
          <w:bCs/>
          <w:color w:val="000000"/>
          <w:sz w:val="22"/>
        </w:rPr>
        <w:t>4</w:t>
      </w:r>
    </w:p>
    <w:p w14:paraId="50165E8B" w14:textId="751AF01F" w:rsidR="009649CB" w:rsidRDefault="009649CB" w:rsidP="00F14F9B">
      <w:pPr>
        <w:pBdr>
          <w:bottom w:val="single" w:sz="4" w:space="1" w:color="auto"/>
        </w:pBdr>
        <w:shd w:val="clear" w:color="auto" w:fill="FFFFFF"/>
        <w:jc w:val="both"/>
        <w:rPr>
          <w:rFonts w:ascii="Arial" w:hAnsi="Arial" w:cs="Arial"/>
          <w:b/>
          <w:bCs/>
          <w:color w:val="000000"/>
          <w:spacing w:val="-7"/>
          <w:sz w:val="22"/>
        </w:rPr>
      </w:pPr>
    </w:p>
    <w:p w14:paraId="257AC1D6" w14:textId="77777777" w:rsidR="00F14F9B" w:rsidRPr="00D44AA2" w:rsidRDefault="00F14F9B" w:rsidP="00450DC9">
      <w:pPr>
        <w:shd w:val="clear" w:color="auto" w:fill="FFFFFF"/>
        <w:jc w:val="both"/>
        <w:rPr>
          <w:rFonts w:ascii="Arial" w:hAnsi="Arial" w:cs="Arial"/>
          <w:i/>
          <w:iCs/>
          <w:sz w:val="22"/>
        </w:rPr>
      </w:pPr>
    </w:p>
    <w:p w14:paraId="0535D47D" w14:textId="77777777" w:rsidR="009649CB" w:rsidRPr="00D44AA2" w:rsidRDefault="009649CB" w:rsidP="00450DC9">
      <w:pPr>
        <w:pStyle w:val="Titre8"/>
        <w:spacing w:before="0"/>
        <w:jc w:val="both"/>
        <w:rPr>
          <w:rFonts w:ascii="Arial" w:hAnsi="Arial" w:cs="Arial"/>
          <w:b/>
          <w:sz w:val="22"/>
          <w:szCs w:val="22"/>
        </w:rPr>
      </w:pPr>
      <w:r w:rsidRPr="00D44AA2">
        <w:rPr>
          <w:rFonts w:ascii="Arial" w:hAnsi="Arial" w:cs="Arial"/>
          <w:sz w:val="22"/>
          <w:szCs w:val="22"/>
        </w:rPr>
        <w:t xml:space="preserve"> </w:t>
      </w:r>
      <w:r w:rsidRPr="00D44AA2">
        <w:rPr>
          <w:rFonts w:ascii="Arial" w:hAnsi="Arial" w:cs="Arial"/>
          <w:b/>
          <w:sz w:val="22"/>
          <w:szCs w:val="22"/>
        </w:rPr>
        <w:t xml:space="preserve">Le sujet comporte </w:t>
      </w:r>
      <w:r w:rsidR="00DD142F" w:rsidRPr="00D44AA2">
        <w:rPr>
          <w:rFonts w:ascii="Arial" w:hAnsi="Arial" w:cs="Arial"/>
          <w:b/>
          <w:sz w:val="22"/>
          <w:szCs w:val="22"/>
        </w:rPr>
        <w:t>6</w:t>
      </w:r>
      <w:r w:rsidRPr="00D44AA2">
        <w:rPr>
          <w:rFonts w:ascii="Arial" w:hAnsi="Arial" w:cs="Arial"/>
          <w:b/>
          <w:sz w:val="22"/>
          <w:szCs w:val="22"/>
        </w:rPr>
        <w:t xml:space="preserve"> annexe</w:t>
      </w:r>
      <w:r w:rsidR="00DD142F" w:rsidRPr="00D44AA2">
        <w:rPr>
          <w:rFonts w:ascii="Arial" w:hAnsi="Arial" w:cs="Arial"/>
          <w:b/>
          <w:sz w:val="22"/>
          <w:szCs w:val="22"/>
        </w:rPr>
        <w:t>s</w:t>
      </w:r>
      <w:r w:rsidRPr="00D44AA2">
        <w:rPr>
          <w:rFonts w:ascii="Arial" w:hAnsi="Arial" w:cs="Arial"/>
          <w:b/>
          <w:sz w:val="22"/>
          <w:szCs w:val="22"/>
        </w:rPr>
        <w:t>.</w:t>
      </w:r>
    </w:p>
    <w:p w14:paraId="7D2578A7" w14:textId="77777777" w:rsidR="009649CB" w:rsidRPr="00D44AA2" w:rsidRDefault="009649CB" w:rsidP="00450DC9">
      <w:pPr>
        <w:shd w:val="clear" w:color="auto" w:fill="FFFFFF"/>
        <w:ind w:right="170"/>
        <w:jc w:val="both"/>
        <w:rPr>
          <w:rFonts w:ascii="Arial" w:hAnsi="Arial" w:cs="Arial"/>
          <w:b/>
          <w:bCs/>
          <w:color w:val="000000"/>
          <w:spacing w:val="-5"/>
          <w:sz w:val="22"/>
          <w:szCs w:val="22"/>
        </w:rPr>
      </w:pPr>
    </w:p>
    <w:p w14:paraId="2192962E" w14:textId="4810D367" w:rsidR="00DE7058" w:rsidRPr="00D44AA2" w:rsidRDefault="00450DC9" w:rsidP="00F14F9B">
      <w:pPr>
        <w:shd w:val="clear" w:color="auto" w:fill="FFFFFF"/>
        <w:tabs>
          <w:tab w:val="right" w:leader="dot" w:pos="8931"/>
          <w:tab w:val="right" w:leader="dot" w:pos="9066"/>
          <w:tab w:val="left" w:pos="9356"/>
          <w:tab w:val="right" w:leader="dot" w:pos="9923"/>
        </w:tabs>
        <w:spacing w:line="360" w:lineRule="auto"/>
        <w:jc w:val="both"/>
        <w:rPr>
          <w:rFonts w:ascii="Arial" w:hAnsi="Arial" w:cs="Arial"/>
          <w:bCs/>
          <w:color w:val="000000"/>
          <w:sz w:val="22"/>
          <w:szCs w:val="22"/>
        </w:rPr>
      </w:pPr>
      <w:r w:rsidRPr="00D44AA2">
        <w:rPr>
          <w:rFonts w:ascii="Arial" w:hAnsi="Arial" w:cs="Arial"/>
          <w:b/>
          <w:bCs/>
          <w:color w:val="000000"/>
          <w:sz w:val="22"/>
          <w:szCs w:val="22"/>
        </w:rPr>
        <w:t>Annexe 1</w:t>
      </w:r>
      <w:r w:rsidRPr="00D44AA2">
        <w:rPr>
          <w:rFonts w:ascii="Arial" w:hAnsi="Arial" w:cs="Arial"/>
          <w:bCs/>
          <w:color w:val="000000"/>
          <w:sz w:val="22"/>
          <w:szCs w:val="22"/>
        </w:rPr>
        <w:t> </w:t>
      </w:r>
      <w:r w:rsidR="00D340F9">
        <w:rPr>
          <w:rFonts w:ascii="Arial" w:hAnsi="Arial" w:cs="Arial"/>
          <w:bCs/>
          <w:color w:val="000000"/>
          <w:sz w:val="22"/>
          <w:szCs w:val="22"/>
        </w:rPr>
        <w:t>-</w:t>
      </w:r>
      <w:r w:rsidR="005B3600" w:rsidRPr="00D44AA2">
        <w:rPr>
          <w:rFonts w:ascii="Arial" w:hAnsi="Arial" w:cs="Arial"/>
          <w:bCs/>
          <w:color w:val="000000"/>
          <w:sz w:val="22"/>
          <w:szCs w:val="22"/>
        </w:rPr>
        <w:t xml:space="preserve"> </w:t>
      </w:r>
      <w:r w:rsidR="005B3600" w:rsidRPr="00D44AA2">
        <w:rPr>
          <w:rFonts w:ascii="Arial" w:hAnsi="Arial" w:cs="Arial"/>
          <w:sz w:val="22"/>
          <w:szCs w:val="22"/>
        </w:rPr>
        <w:t xml:space="preserve">Indicateurs de performance d’Energy+ </w:t>
      </w:r>
      <w:r w:rsidR="00D44AA2">
        <w:rPr>
          <w:rFonts w:ascii="Arial" w:hAnsi="Arial" w:cs="Arial"/>
          <w:sz w:val="22"/>
          <w:szCs w:val="22"/>
        </w:rPr>
        <w:tab/>
      </w:r>
      <w:r w:rsidR="005B3600" w:rsidRPr="00D44AA2">
        <w:rPr>
          <w:rFonts w:ascii="Arial" w:hAnsi="Arial" w:cs="Arial"/>
          <w:sz w:val="22"/>
          <w:szCs w:val="22"/>
        </w:rPr>
        <w:t xml:space="preserve"> page 5</w:t>
      </w:r>
    </w:p>
    <w:p w14:paraId="0F9831C3" w14:textId="0CA6BFC1" w:rsidR="00450DC9" w:rsidRPr="00D44AA2" w:rsidRDefault="00450DC9" w:rsidP="00F14F9B">
      <w:pPr>
        <w:shd w:val="clear" w:color="auto" w:fill="FFFFFF"/>
        <w:tabs>
          <w:tab w:val="right" w:leader="dot" w:pos="8931"/>
          <w:tab w:val="right" w:leader="dot" w:pos="9066"/>
          <w:tab w:val="left" w:pos="9356"/>
          <w:tab w:val="right" w:leader="dot" w:pos="9923"/>
        </w:tabs>
        <w:spacing w:line="360" w:lineRule="auto"/>
        <w:jc w:val="both"/>
        <w:rPr>
          <w:rFonts w:ascii="Arial" w:hAnsi="Arial" w:cs="Arial"/>
          <w:bCs/>
          <w:color w:val="000000"/>
          <w:sz w:val="22"/>
          <w:szCs w:val="22"/>
        </w:rPr>
      </w:pPr>
      <w:r w:rsidRPr="00D44AA2">
        <w:rPr>
          <w:rFonts w:ascii="Arial" w:hAnsi="Arial" w:cs="Arial"/>
          <w:b/>
          <w:bCs/>
          <w:color w:val="000000"/>
          <w:sz w:val="22"/>
          <w:szCs w:val="22"/>
        </w:rPr>
        <w:t>Annexe 2</w:t>
      </w:r>
      <w:r w:rsidRPr="00D44AA2">
        <w:rPr>
          <w:rFonts w:ascii="Arial" w:hAnsi="Arial" w:cs="Arial"/>
          <w:bCs/>
          <w:color w:val="000000"/>
          <w:sz w:val="22"/>
          <w:szCs w:val="22"/>
        </w:rPr>
        <w:t> </w:t>
      </w:r>
      <w:r w:rsidR="00D340F9">
        <w:rPr>
          <w:rFonts w:ascii="Arial" w:hAnsi="Arial" w:cs="Arial"/>
          <w:bCs/>
          <w:color w:val="000000"/>
          <w:sz w:val="22"/>
          <w:szCs w:val="22"/>
        </w:rPr>
        <w:t>-</w:t>
      </w:r>
      <w:r w:rsidR="005B3600" w:rsidRPr="00D44AA2">
        <w:rPr>
          <w:rFonts w:ascii="Arial" w:hAnsi="Arial" w:cs="Arial"/>
          <w:bCs/>
          <w:color w:val="000000"/>
          <w:sz w:val="22"/>
          <w:szCs w:val="22"/>
        </w:rPr>
        <w:t xml:space="preserve"> </w:t>
      </w:r>
      <w:r w:rsidR="005B3600" w:rsidRPr="00D44AA2">
        <w:rPr>
          <w:rFonts w:ascii="Arial" w:hAnsi="Arial" w:cs="Arial"/>
          <w:sz w:val="22"/>
          <w:szCs w:val="22"/>
        </w:rPr>
        <w:t xml:space="preserve">Extrait du code AFEP-MEDEF – janvier 2020 </w:t>
      </w:r>
      <w:r w:rsidR="00D44AA2">
        <w:rPr>
          <w:rFonts w:ascii="Arial" w:hAnsi="Arial" w:cs="Arial"/>
          <w:sz w:val="22"/>
          <w:szCs w:val="22"/>
        </w:rPr>
        <w:tab/>
      </w:r>
      <w:r w:rsidR="005B3600" w:rsidRPr="00D44AA2">
        <w:rPr>
          <w:rFonts w:ascii="Arial" w:hAnsi="Arial" w:cs="Arial"/>
          <w:sz w:val="22"/>
          <w:szCs w:val="22"/>
        </w:rPr>
        <w:t xml:space="preserve"> page 5</w:t>
      </w:r>
    </w:p>
    <w:p w14:paraId="5CB9D184" w14:textId="5BF9ED52" w:rsidR="00450DC9" w:rsidRPr="00D44AA2" w:rsidRDefault="00450DC9" w:rsidP="00F14F9B">
      <w:pPr>
        <w:shd w:val="clear" w:color="auto" w:fill="FFFFFF"/>
        <w:tabs>
          <w:tab w:val="right" w:leader="dot" w:pos="8931"/>
          <w:tab w:val="right" w:leader="dot" w:pos="9066"/>
          <w:tab w:val="left" w:pos="9356"/>
          <w:tab w:val="right" w:leader="dot" w:pos="9923"/>
        </w:tabs>
        <w:spacing w:line="360" w:lineRule="auto"/>
        <w:rPr>
          <w:rFonts w:ascii="Arial" w:hAnsi="Arial" w:cs="Arial"/>
          <w:bCs/>
          <w:color w:val="000000"/>
          <w:sz w:val="22"/>
          <w:szCs w:val="22"/>
        </w:rPr>
      </w:pPr>
      <w:r w:rsidRPr="00D44AA2">
        <w:rPr>
          <w:rFonts w:ascii="Arial" w:hAnsi="Arial" w:cs="Arial"/>
          <w:b/>
          <w:bCs/>
          <w:color w:val="000000"/>
          <w:sz w:val="22"/>
          <w:szCs w:val="22"/>
        </w:rPr>
        <w:t>Annexe 3</w:t>
      </w:r>
      <w:r w:rsidRPr="00D44AA2">
        <w:rPr>
          <w:rFonts w:ascii="Arial" w:hAnsi="Arial" w:cs="Arial"/>
          <w:bCs/>
          <w:color w:val="000000"/>
          <w:sz w:val="22"/>
          <w:szCs w:val="22"/>
        </w:rPr>
        <w:t> </w:t>
      </w:r>
      <w:r w:rsidR="00D340F9">
        <w:rPr>
          <w:rFonts w:ascii="Arial" w:hAnsi="Arial" w:cs="Arial"/>
          <w:bCs/>
          <w:color w:val="000000"/>
          <w:sz w:val="22"/>
          <w:szCs w:val="22"/>
        </w:rPr>
        <w:t>-</w:t>
      </w:r>
      <w:r w:rsidR="005B3600" w:rsidRPr="00D44AA2">
        <w:rPr>
          <w:rFonts w:ascii="Arial" w:hAnsi="Arial" w:cs="Arial"/>
          <w:bCs/>
          <w:color w:val="000000"/>
          <w:sz w:val="22"/>
          <w:szCs w:val="22"/>
        </w:rPr>
        <w:t xml:space="preserve"> </w:t>
      </w:r>
      <w:r w:rsidR="005B3600" w:rsidRPr="00D44AA2">
        <w:rPr>
          <w:rFonts w:ascii="Arial" w:hAnsi="Arial" w:cs="Arial"/>
          <w:sz w:val="22"/>
          <w:szCs w:val="22"/>
        </w:rPr>
        <w:t xml:space="preserve">Extrait des conditions financières de la cessation des fonctions de </w:t>
      </w:r>
      <w:r w:rsidR="00D44AA2">
        <w:rPr>
          <w:rFonts w:ascii="Arial" w:hAnsi="Arial" w:cs="Arial"/>
          <w:sz w:val="22"/>
          <w:szCs w:val="22"/>
        </w:rPr>
        <w:br/>
      </w:r>
      <w:r w:rsidR="005B3600" w:rsidRPr="00D44AA2">
        <w:rPr>
          <w:rFonts w:ascii="Arial" w:hAnsi="Arial" w:cs="Arial"/>
          <w:sz w:val="22"/>
          <w:szCs w:val="22"/>
        </w:rPr>
        <w:t xml:space="preserve">la </w:t>
      </w:r>
      <w:r w:rsidR="00D340F9">
        <w:rPr>
          <w:rFonts w:ascii="Arial" w:hAnsi="Arial" w:cs="Arial"/>
          <w:sz w:val="22"/>
          <w:szCs w:val="22"/>
        </w:rPr>
        <w:t>d</w:t>
      </w:r>
      <w:r w:rsidR="005B3600" w:rsidRPr="00D44AA2">
        <w:rPr>
          <w:rFonts w:ascii="Arial" w:hAnsi="Arial" w:cs="Arial"/>
          <w:sz w:val="22"/>
          <w:szCs w:val="22"/>
        </w:rPr>
        <w:t xml:space="preserve">irectrice </w:t>
      </w:r>
      <w:r w:rsidR="00D340F9">
        <w:rPr>
          <w:rFonts w:ascii="Arial" w:hAnsi="Arial" w:cs="Arial"/>
          <w:sz w:val="22"/>
          <w:szCs w:val="22"/>
        </w:rPr>
        <w:t>g</w:t>
      </w:r>
      <w:r w:rsidR="005B3600" w:rsidRPr="00D44AA2">
        <w:rPr>
          <w:rFonts w:ascii="Arial" w:hAnsi="Arial" w:cs="Arial"/>
          <w:sz w:val="22"/>
          <w:szCs w:val="22"/>
        </w:rPr>
        <w:t xml:space="preserve">énérale d’Energy+ </w:t>
      </w:r>
      <w:r w:rsidR="00D44AA2">
        <w:rPr>
          <w:rFonts w:ascii="Arial" w:hAnsi="Arial" w:cs="Arial"/>
          <w:sz w:val="22"/>
          <w:szCs w:val="22"/>
        </w:rPr>
        <w:tab/>
      </w:r>
      <w:r w:rsidR="005B3600" w:rsidRPr="00D44AA2">
        <w:rPr>
          <w:rFonts w:ascii="Arial" w:hAnsi="Arial" w:cs="Arial"/>
          <w:sz w:val="22"/>
          <w:szCs w:val="22"/>
        </w:rPr>
        <w:t xml:space="preserve"> page 6</w:t>
      </w:r>
    </w:p>
    <w:p w14:paraId="5FA7A053" w14:textId="30F1CDE1" w:rsidR="00450DC9" w:rsidRPr="00D44AA2" w:rsidRDefault="00450DC9" w:rsidP="00F14F9B">
      <w:pPr>
        <w:tabs>
          <w:tab w:val="right" w:leader="dot" w:pos="8931"/>
          <w:tab w:val="right" w:leader="dot" w:pos="9066"/>
          <w:tab w:val="right" w:leader="dot" w:pos="9923"/>
        </w:tabs>
        <w:spacing w:line="360" w:lineRule="auto"/>
        <w:jc w:val="both"/>
        <w:rPr>
          <w:rFonts w:ascii="Arial" w:hAnsi="Arial" w:cs="Arial"/>
          <w:sz w:val="22"/>
          <w:szCs w:val="22"/>
        </w:rPr>
      </w:pPr>
      <w:r w:rsidRPr="00D44AA2">
        <w:rPr>
          <w:rFonts w:ascii="Arial" w:hAnsi="Arial" w:cs="Arial"/>
          <w:b/>
          <w:bCs/>
          <w:color w:val="000000"/>
          <w:sz w:val="22"/>
          <w:szCs w:val="22"/>
        </w:rPr>
        <w:t>Annexe 4</w:t>
      </w:r>
      <w:r w:rsidRPr="00D44AA2">
        <w:rPr>
          <w:rFonts w:ascii="Arial" w:hAnsi="Arial" w:cs="Arial"/>
          <w:bCs/>
          <w:color w:val="000000"/>
          <w:sz w:val="22"/>
          <w:szCs w:val="22"/>
        </w:rPr>
        <w:t> </w:t>
      </w:r>
      <w:r w:rsidR="00D340F9">
        <w:rPr>
          <w:rFonts w:ascii="Arial" w:hAnsi="Arial" w:cs="Arial"/>
          <w:bCs/>
          <w:color w:val="000000"/>
          <w:sz w:val="22"/>
          <w:szCs w:val="22"/>
        </w:rPr>
        <w:t>-</w:t>
      </w:r>
      <w:r w:rsidR="005B3600" w:rsidRPr="00D44AA2">
        <w:rPr>
          <w:rFonts w:ascii="Arial" w:hAnsi="Arial" w:cs="Arial"/>
          <w:bCs/>
          <w:color w:val="000000"/>
          <w:sz w:val="22"/>
          <w:szCs w:val="22"/>
        </w:rPr>
        <w:t xml:space="preserve"> </w:t>
      </w:r>
      <w:r w:rsidR="005B3600" w:rsidRPr="00D44AA2">
        <w:rPr>
          <w:rFonts w:ascii="Arial" w:hAnsi="Arial" w:cs="Arial"/>
          <w:sz w:val="22"/>
          <w:szCs w:val="22"/>
        </w:rPr>
        <w:t xml:space="preserve">Rémunérations de la directrice générale </w:t>
      </w:r>
      <w:r w:rsidR="00D44AA2">
        <w:rPr>
          <w:rFonts w:ascii="Arial" w:hAnsi="Arial" w:cs="Arial"/>
          <w:sz w:val="22"/>
          <w:szCs w:val="22"/>
        </w:rPr>
        <w:tab/>
      </w:r>
      <w:r w:rsidR="005B3600" w:rsidRPr="00D44AA2">
        <w:rPr>
          <w:rFonts w:ascii="Arial" w:hAnsi="Arial" w:cs="Arial"/>
          <w:sz w:val="22"/>
          <w:szCs w:val="22"/>
        </w:rPr>
        <w:t xml:space="preserve"> page 7</w:t>
      </w:r>
    </w:p>
    <w:p w14:paraId="3CBE7528" w14:textId="4642525B" w:rsidR="005B3600" w:rsidRPr="00D44AA2" w:rsidRDefault="005B3600" w:rsidP="00F14F9B">
      <w:pPr>
        <w:shd w:val="clear" w:color="auto" w:fill="FFFFFF"/>
        <w:tabs>
          <w:tab w:val="right" w:leader="dot" w:pos="8931"/>
          <w:tab w:val="right" w:leader="dot" w:pos="9066"/>
          <w:tab w:val="left" w:pos="9356"/>
          <w:tab w:val="right" w:leader="dot" w:pos="9923"/>
        </w:tabs>
        <w:spacing w:line="360" w:lineRule="auto"/>
        <w:jc w:val="both"/>
        <w:rPr>
          <w:rFonts w:ascii="Arial" w:hAnsi="Arial" w:cs="Arial"/>
          <w:bCs/>
          <w:color w:val="000000"/>
          <w:sz w:val="22"/>
          <w:szCs w:val="22"/>
        </w:rPr>
      </w:pPr>
      <w:r w:rsidRPr="00D44AA2">
        <w:rPr>
          <w:rFonts w:ascii="Arial" w:hAnsi="Arial" w:cs="Arial"/>
          <w:b/>
          <w:bCs/>
          <w:color w:val="000000"/>
          <w:sz w:val="22"/>
          <w:szCs w:val="22"/>
        </w:rPr>
        <w:t>Annexe 5</w:t>
      </w:r>
      <w:r w:rsidRPr="00D44AA2">
        <w:rPr>
          <w:rFonts w:ascii="Arial" w:hAnsi="Arial" w:cs="Arial"/>
          <w:bCs/>
          <w:color w:val="000000"/>
          <w:sz w:val="22"/>
          <w:szCs w:val="22"/>
        </w:rPr>
        <w:t> </w:t>
      </w:r>
      <w:r w:rsidR="00D340F9">
        <w:rPr>
          <w:rFonts w:ascii="Arial" w:hAnsi="Arial" w:cs="Arial"/>
          <w:bCs/>
          <w:color w:val="000000"/>
          <w:sz w:val="22"/>
          <w:szCs w:val="22"/>
        </w:rPr>
        <w:t>-</w:t>
      </w:r>
      <w:r w:rsidRPr="00D44AA2">
        <w:rPr>
          <w:rFonts w:ascii="Arial" w:hAnsi="Arial" w:cs="Arial"/>
          <w:bCs/>
          <w:color w:val="000000"/>
          <w:sz w:val="22"/>
          <w:szCs w:val="22"/>
        </w:rPr>
        <w:t xml:space="preserve"> </w:t>
      </w:r>
      <w:r w:rsidRPr="00D44AA2">
        <w:rPr>
          <w:rFonts w:ascii="Arial" w:hAnsi="Arial" w:cs="Arial"/>
          <w:sz w:val="22"/>
          <w:szCs w:val="22"/>
        </w:rPr>
        <w:t xml:space="preserve">Cours de clôture de l’action Energy+ </w:t>
      </w:r>
      <w:r w:rsidR="00D44AA2">
        <w:rPr>
          <w:rFonts w:ascii="Arial" w:hAnsi="Arial" w:cs="Arial"/>
          <w:sz w:val="22"/>
          <w:szCs w:val="22"/>
        </w:rPr>
        <w:tab/>
      </w:r>
      <w:r w:rsidRPr="00D44AA2">
        <w:rPr>
          <w:rFonts w:ascii="Arial" w:hAnsi="Arial" w:cs="Arial"/>
          <w:sz w:val="22"/>
          <w:szCs w:val="22"/>
        </w:rPr>
        <w:t xml:space="preserve"> page 7</w:t>
      </w:r>
    </w:p>
    <w:p w14:paraId="71A153AC" w14:textId="14FEC526" w:rsidR="005B3600" w:rsidRPr="00D44AA2" w:rsidRDefault="005B3600" w:rsidP="00F14F9B">
      <w:pPr>
        <w:tabs>
          <w:tab w:val="right" w:leader="dot" w:pos="8931"/>
          <w:tab w:val="right" w:leader="dot" w:pos="9066"/>
          <w:tab w:val="right" w:leader="dot" w:pos="9923"/>
        </w:tabs>
        <w:spacing w:line="360" w:lineRule="auto"/>
        <w:jc w:val="both"/>
        <w:rPr>
          <w:rFonts w:ascii="Arial" w:hAnsi="Arial" w:cs="Arial"/>
          <w:sz w:val="22"/>
          <w:szCs w:val="22"/>
        </w:rPr>
      </w:pPr>
      <w:r w:rsidRPr="00D44AA2">
        <w:rPr>
          <w:rFonts w:ascii="Arial" w:hAnsi="Arial" w:cs="Arial"/>
          <w:b/>
          <w:bCs/>
          <w:color w:val="000000"/>
          <w:sz w:val="22"/>
          <w:szCs w:val="22"/>
        </w:rPr>
        <w:t>Annexe 6</w:t>
      </w:r>
      <w:r w:rsidRPr="00D44AA2">
        <w:rPr>
          <w:rFonts w:ascii="Arial" w:hAnsi="Arial" w:cs="Arial"/>
          <w:bCs/>
          <w:color w:val="000000"/>
          <w:sz w:val="22"/>
          <w:szCs w:val="22"/>
        </w:rPr>
        <w:t> </w:t>
      </w:r>
      <w:r w:rsidR="00D340F9">
        <w:rPr>
          <w:rFonts w:ascii="Arial" w:hAnsi="Arial" w:cs="Arial"/>
          <w:bCs/>
          <w:color w:val="000000"/>
          <w:sz w:val="22"/>
          <w:szCs w:val="22"/>
        </w:rPr>
        <w:t>-</w:t>
      </w:r>
      <w:r w:rsidRPr="00D44AA2">
        <w:rPr>
          <w:rFonts w:ascii="Arial" w:hAnsi="Arial" w:cs="Arial"/>
          <w:bCs/>
          <w:color w:val="000000"/>
          <w:sz w:val="22"/>
          <w:szCs w:val="22"/>
        </w:rPr>
        <w:t xml:space="preserve"> </w:t>
      </w:r>
      <w:r w:rsidRPr="00D44AA2">
        <w:rPr>
          <w:rFonts w:ascii="Arial" w:hAnsi="Arial" w:cs="Arial"/>
          <w:sz w:val="22"/>
          <w:szCs w:val="22"/>
        </w:rPr>
        <w:t xml:space="preserve">Matrice de matérialité d’Energy+ </w:t>
      </w:r>
      <w:r w:rsidR="00D44AA2">
        <w:rPr>
          <w:rFonts w:ascii="Arial" w:hAnsi="Arial" w:cs="Arial"/>
          <w:sz w:val="22"/>
          <w:szCs w:val="22"/>
        </w:rPr>
        <w:tab/>
      </w:r>
      <w:r w:rsidRPr="00D44AA2">
        <w:rPr>
          <w:rFonts w:ascii="Arial" w:hAnsi="Arial" w:cs="Arial"/>
          <w:sz w:val="22"/>
          <w:szCs w:val="22"/>
        </w:rPr>
        <w:t xml:space="preserve"> page </w:t>
      </w:r>
      <w:r w:rsidR="00040E69">
        <w:rPr>
          <w:rFonts w:ascii="Arial" w:hAnsi="Arial" w:cs="Arial"/>
          <w:sz w:val="22"/>
          <w:szCs w:val="22"/>
        </w:rPr>
        <w:t>7</w:t>
      </w:r>
    </w:p>
    <w:p w14:paraId="5513ED03" w14:textId="77777777" w:rsidR="005B3600" w:rsidRPr="00D44AA2" w:rsidRDefault="005B3600" w:rsidP="00F14F9B">
      <w:pPr>
        <w:pBdr>
          <w:bottom w:val="single" w:sz="4" w:space="1" w:color="auto"/>
        </w:pBdr>
        <w:shd w:val="clear" w:color="auto" w:fill="FFFFFF"/>
        <w:tabs>
          <w:tab w:val="left" w:pos="5387"/>
          <w:tab w:val="left" w:pos="9356"/>
          <w:tab w:val="right" w:pos="9923"/>
        </w:tabs>
        <w:jc w:val="both"/>
        <w:rPr>
          <w:rFonts w:ascii="Arial" w:hAnsi="Arial" w:cs="Arial"/>
          <w:bCs/>
          <w:color w:val="000000"/>
          <w:sz w:val="22"/>
          <w:szCs w:val="22"/>
        </w:rPr>
      </w:pPr>
    </w:p>
    <w:p w14:paraId="3ED122CA" w14:textId="77777777" w:rsidR="00DC4A07" w:rsidRPr="00D44AA2" w:rsidRDefault="00DC4A07" w:rsidP="00EF1E9C">
      <w:pPr>
        <w:shd w:val="clear" w:color="auto" w:fill="FFFFFF"/>
        <w:ind w:right="170"/>
        <w:jc w:val="both"/>
        <w:rPr>
          <w:rFonts w:ascii="Arial" w:hAnsi="Arial" w:cs="Arial"/>
          <w:b/>
          <w:bCs/>
          <w:spacing w:val="-5"/>
          <w:sz w:val="10"/>
          <w:szCs w:val="10"/>
        </w:rPr>
      </w:pPr>
    </w:p>
    <w:p w14:paraId="78306224" w14:textId="77777777" w:rsidR="00DC4A07" w:rsidRPr="00D44AA2" w:rsidRDefault="00DC4A07" w:rsidP="00EF1E9C">
      <w:pPr>
        <w:shd w:val="clear" w:color="auto" w:fill="FFFFFF"/>
        <w:ind w:right="170"/>
        <w:jc w:val="both"/>
        <w:rPr>
          <w:rFonts w:ascii="Arial" w:hAnsi="Arial" w:cs="Arial"/>
          <w:b/>
          <w:bCs/>
          <w:spacing w:val="-5"/>
          <w:sz w:val="10"/>
          <w:szCs w:val="10"/>
        </w:rPr>
      </w:pPr>
    </w:p>
    <w:p w14:paraId="7331F935" w14:textId="77777777" w:rsidR="00507FF8" w:rsidRPr="00D44AA2" w:rsidRDefault="00507FF8" w:rsidP="00EF1E9C">
      <w:pPr>
        <w:shd w:val="clear" w:color="auto" w:fill="FFFFFF"/>
        <w:ind w:right="170"/>
        <w:jc w:val="both"/>
        <w:rPr>
          <w:rFonts w:ascii="Arial" w:hAnsi="Arial" w:cs="Arial"/>
          <w:b/>
          <w:bCs/>
          <w:spacing w:val="-5"/>
          <w:sz w:val="10"/>
          <w:szCs w:val="10"/>
        </w:rPr>
      </w:pPr>
    </w:p>
    <w:p w14:paraId="5F326974" w14:textId="77777777" w:rsidR="00507FF8" w:rsidRPr="00D44AA2" w:rsidRDefault="00507FF8" w:rsidP="00EF1E9C">
      <w:pPr>
        <w:shd w:val="clear" w:color="auto" w:fill="FFFFFF"/>
        <w:ind w:right="170"/>
        <w:jc w:val="both"/>
        <w:rPr>
          <w:rFonts w:ascii="Arial" w:hAnsi="Arial" w:cs="Arial"/>
          <w:b/>
          <w:bCs/>
          <w:spacing w:val="-5"/>
          <w:sz w:val="10"/>
          <w:szCs w:val="10"/>
        </w:rPr>
      </w:pPr>
    </w:p>
    <w:p w14:paraId="2C046314" w14:textId="77777777" w:rsidR="00507FF8" w:rsidRPr="00D44AA2" w:rsidRDefault="00507FF8" w:rsidP="00EF1E9C">
      <w:pPr>
        <w:shd w:val="clear" w:color="auto" w:fill="FFFFFF"/>
        <w:ind w:right="170"/>
        <w:jc w:val="both"/>
        <w:rPr>
          <w:rFonts w:ascii="Arial" w:hAnsi="Arial" w:cs="Arial"/>
          <w:b/>
          <w:bCs/>
          <w:spacing w:val="-5"/>
          <w:sz w:val="10"/>
          <w:szCs w:val="10"/>
        </w:rPr>
      </w:pPr>
    </w:p>
    <w:p w14:paraId="3F59CB3C" w14:textId="77777777" w:rsidR="00507FF8" w:rsidRPr="00D44AA2" w:rsidRDefault="00507FF8" w:rsidP="00EF1E9C">
      <w:pPr>
        <w:shd w:val="clear" w:color="auto" w:fill="FFFFFF"/>
        <w:ind w:right="170"/>
        <w:jc w:val="both"/>
        <w:rPr>
          <w:rFonts w:ascii="Arial" w:hAnsi="Arial" w:cs="Arial"/>
          <w:b/>
          <w:bCs/>
          <w:spacing w:val="-5"/>
          <w:sz w:val="10"/>
          <w:szCs w:val="10"/>
        </w:rPr>
      </w:pPr>
    </w:p>
    <w:p w14:paraId="72D695E2" w14:textId="77777777" w:rsidR="00DE7058" w:rsidRPr="00D44AA2" w:rsidRDefault="00DE7058" w:rsidP="00EF1E9C">
      <w:pPr>
        <w:shd w:val="clear" w:color="auto" w:fill="FFFFFF"/>
        <w:jc w:val="both"/>
        <w:rPr>
          <w:rFonts w:ascii="Arial" w:hAnsi="Arial" w:cs="Arial"/>
          <w:b/>
          <w:bCs/>
          <w:color w:val="000000"/>
          <w:spacing w:val="-5"/>
          <w:sz w:val="10"/>
          <w:szCs w:val="10"/>
        </w:rPr>
      </w:pPr>
    </w:p>
    <w:p w14:paraId="2D40FE2E" w14:textId="77777777" w:rsidR="00DE7058" w:rsidRPr="00D44AA2" w:rsidRDefault="00DE7058" w:rsidP="00EF1E9C">
      <w:pPr>
        <w:pStyle w:val="Titre"/>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bCs/>
          <w:sz w:val="22"/>
          <w:szCs w:val="22"/>
          <w:u w:val="single"/>
        </w:rPr>
      </w:pPr>
      <w:r w:rsidRPr="00D44AA2">
        <w:rPr>
          <w:rFonts w:ascii="Arial" w:hAnsi="Arial" w:cs="Arial"/>
          <w:b/>
          <w:bCs/>
          <w:sz w:val="22"/>
          <w:szCs w:val="22"/>
          <w:u w:val="single"/>
        </w:rPr>
        <w:t>AVERTISSEMENT</w:t>
      </w:r>
    </w:p>
    <w:p w14:paraId="316406F3" w14:textId="77777777" w:rsidR="00DE7058" w:rsidRPr="00D44AA2" w:rsidRDefault="00DE7058" w:rsidP="00EF1E9C">
      <w:pPr>
        <w:pStyle w:val="Titre"/>
        <w:pBdr>
          <w:top w:val="single" w:sz="4" w:space="1" w:color="auto"/>
          <w:left w:val="single" w:sz="4" w:space="4" w:color="auto"/>
          <w:bottom w:val="single" w:sz="4" w:space="1" w:color="auto"/>
          <w:right w:val="single" w:sz="4" w:space="4" w:color="auto"/>
        </w:pBdr>
        <w:shd w:val="clear" w:color="auto" w:fill="FFFFFF"/>
        <w:jc w:val="both"/>
        <w:rPr>
          <w:rFonts w:ascii="Arial" w:hAnsi="Arial" w:cs="Arial"/>
          <w:b/>
          <w:bCs/>
          <w:sz w:val="22"/>
          <w:szCs w:val="22"/>
        </w:rPr>
      </w:pPr>
      <w:r w:rsidRPr="00D44AA2">
        <w:rPr>
          <w:rFonts w:ascii="Arial" w:hAnsi="Arial" w:cs="Arial"/>
          <w:b/>
          <w:bCs/>
          <w:sz w:val="22"/>
          <w:szCs w:val="22"/>
        </w:rPr>
        <w:t>Si le texte du sujet, de ses questions ou de ses annexes, vous conduit à formuler une ou plusieurs hypothèses, il vous est demandé de la (ou les) mentionner explicitement dans votre copie.</w:t>
      </w:r>
    </w:p>
    <w:p w14:paraId="656B62C1" w14:textId="77777777" w:rsidR="00507FF8" w:rsidRPr="00D44AA2" w:rsidRDefault="00507FF8" w:rsidP="00EF1E9C">
      <w:pPr>
        <w:shd w:val="clear" w:color="auto" w:fill="FFFFFF"/>
        <w:jc w:val="both"/>
        <w:rPr>
          <w:rFonts w:ascii="Arial" w:hAnsi="Arial" w:cs="Arial"/>
          <w:b/>
          <w:bCs/>
          <w:color w:val="000000"/>
          <w:spacing w:val="-5"/>
        </w:rPr>
      </w:pPr>
    </w:p>
    <w:p w14:paraId="63B87515" w14:textId="77777777" w:rsidR="00AA48FD" w:rsidRPr="00D44AA2" w:rsidRDefault="009649CB" w:rsidP="00EF1E9C">
      <w:pPr>
        <w:jc w:val="both"/>
        <w:rPr>
          <w:rFonts w:ascii="Arial" w:hAnsi="Arial" w:cs="Arial"/>
          <w:b/>
          <w:bCs/>
          <w:color w:val="000000"/>
          <w:spacing w:val="-5"/>
        </w:rPr>
      </w:pPr>
      <w:r w:rsidRPr="00D44AA2">
        <w:rPr>
          <w:rFonts w:ascii="Arial" w:hAnsi="Arial" w:cs="Arial"/>
          <w:b/>
          <w:bCs/>
          <w:color w:val="000000"/>
          <w:spacing w:val="-5"/>
        </w:rPr>
        <w:br w:type="page"/>
      </w:r>
    </w:p>
    <w:p w14:paraId="367080D8" w14:textId="3C3A7C02" w:rsidR="00AA48FD" w:rsidRPr="00D44AA2" w:rsidRDefault="00AA48FD" w:rsidP="00D44AA2">
      <w:pPr>
        <w:spacing w:after="120"/>
        <w:jc w:val="both"/>
        <w:rPr>
          <w:rFonts w:ascii="Arial" w:hAnsi="Arial" w:cs="Arial"/>
          <w:sz w:val="22"/>
          <w:szCs w:val="22"/>
        </w:rPr>
      </w:pPr>
      <w:r w:rsidRPr="00D44AA2">
        <w:rPr>
          <w:rFonts w:ascii="Arial" w:hAnsi="Arial" w:cs="Arial"/>
          <w:sz w:val="22"/>
          <w:szCs w:val="22"/>
        </w:rPr>
        <w:lastRenderedPageBreak/>
        <w:t xml:space="preserve">La société Energy+ est un acteur majeur mondial du secteur énergétique. Engagée dans la transition énergétique de manière active depuis </w:t>
      </w:r>
      <w:r w:rsidR="00040E69">
        <w:rPr>
          <w:rFonts w:ascii="Arial" w:hAnsi="Arial" w:cs="Arial"/>
          <w:sz w:val="22"/>
          <w:szCs w:val="22"/>
        </w:rPr>
        <w:t>2017</w:t>
      </w:r>
      <w:r w:rsidRPr="00D44AA2">
        <w:rPr>
          <w:rFonts w:ascii="Arial" w:hAnsi="Arial" w:cs="Arial"/>
          <w:sz w:val="22"/>
          <w:szCs w:val="22"/>
        </w:rPr>
        <w:t xml:space="preserve"> dans les énergies renouvelables et le gaz naturel, ce </w:t>
      </w:r>
      <w:r w:rsidR="001726A0" w:rsidRPr="00D44AA2">
        <w:rPr>
          <w:rFonts w:ascii="Arial" w:hAnsi="Arial" w:cs="Arial"/>
          <w:sz w:val="22"/>
          <w:szCs w:val="22"/>
        </w:rPr>
        <w:t>re</w:t>
      </w:r>
      <w:r w:rsidRPr="00D44AA2">
        <w:rPr>
          <w:rFonts w:ascii="Arial" w:hAnsi="Arial" w:cs="Arial"/>
          <w:sz w:val="22"/>
          <w:szCs w:val="22"/>
        </w:rPr>
        <w:t>virement stratégique s</w:t>
      </w:r>
      <w:r w:rsidR="004D22B7" w:rsidRPr="00D44AA2">
        <w:rPr>
          <w:rFonts w:ascii="Arial" w:hAnsi="Arial" w:cs="Arial"/>
          <w:sz w:val="22"/>
          <w:szCs w:val="22"/>
        </w:rPr>
        <w:t>’est</w:t>
      </w:r>
      <w:r w:rsidRPr="00D44AA2">
        <w:rPr>
          <w:rFonts w:ascii="Arial" w:hAnsi="Arial" w:cs="Arial"/>
          <w:sz w:val="22"/>
          <w:szCs w:val="22"/>
        </w:rPr>
        <w:t xml:space="preserve"> traduit</w:t>
      </w:r>
      <w:r w:rsidR="004D22B7" w:rsidRPr="00D44AA2">
        <w:rPr>
          <w:rFonts w:ascii="Arial" w:hAnsi="Arial" w:cs="Arial"/>
          <w:sz w:val="22"/>
          <w:szCs w:val="22"/>
        </w:rPr>
        <w:t>, cette année-là,</w:t>
      </w:r>
      <w:r w:rsidRPr="00D44AA2">
        <w:rPr>
          <w:rFonts w:ascii="Arial" w:hAnsi="Arial" w:cs="Arial"/>
          <w:sz w:val="22"/>
          <w:szCs w:val="22"/>
        </w:rPr>
        <w:t xml:space="preserve"> par un investissement massif dans la production d’énergie photovoltaïque. L’année suivante est marquée par l’acquisition d’une société de stockage d’énergie sur batteries. Cette transition est également marquée par son désengagement dans les énergies carbonées (fossiles et nucléaire).</w:t>
      </w:r>
    </w:p>
    <w:p w14:paraId="150BAC9F" w14:textId="77777777" w:rsidR="00AA48FD" w:rsidRPr="00D44AA2" w:rsidRDefault="00AA48FD" w:rsidP="00D44AA2">
      <w:pPr>
        <w:spacing w:after="120"/>
        <w:jc w:val="both"/>
        <w:rPr>
          <w:rFonts w:ascii="Arial" w:hAnsi="Arial" w:cs="Arial"/>
          <w:sz w:val="22"/>
          <w:szCs w:val="22"/>
        </w:rPr>
      </w:pPr>
      <w:r w:rsidRPr="00D44AA2">
        <w:rPr>
          <w:rFonts w:ascii="Arial" w:hAnsi="Arial" w:cs="Arial"/>
          <w:sz w:val="22"/>
          <w:szCs w:val="22"/>
        </w:rPr>
        <w:t>Ce changement stratégique a eu des effets sur l’organisation du groupe, ses performances financière et économique et sa gouvernance.</w:t>
      </w:r>
    </w:p>
    <w:p w14:paraId="7BEA148B" w14:textId="5AE37C33" w:rsidR="00AA48FD" w:rsidRPr="00D44AA2" w:rsidRDefault="00AA48FD" w:rsidP="00D44AA2">
      <w:pPr>
        <w:spacing w:after="120"/>
        <w:jc w:val="both"/>
        <w:rPr>
          <w:rFonts w:ascii="Arial" w:hAnsi="Arial" w:cs="Arial"/>
          <w:sz w:val="22"/>
          <w:szCs w:val="22"/>
        </w:rPr>
      </w:pPr>
      <w:r w:rsidRPr="00D44AA2">
        <w:rPr>
          <w:rFonts w:ascii="Arial" w:hAnsi="Arial" w:cs="Arial"/>
          <w:sz w:val="22"/>
          <w:szCs w:val="22"/>
        </w:rPr>
        <w:t xml:space="preserve">En effet, résolument tournée vers plus de modernité, Energy+ devient le premier groupe à nommer à sa tête une </w:t>
      </w:r>
      <w:r w:rsidR="00D340F9">
        <w:rPr>
          <w:rFonts w:ascii="Arial" w:hAnsi="Arial" w:cs="Arial"/>
          <w:sz w:val="22"/>
          <w:szCs w:val="22"/>
        </w:rPr>
        <w:t>d</w:t>
      </w:r>
      <w:r w:rsidRPr="00D44AA2">
        <w:rPr>
          <w:rFonts w:ascii="Arial" w:hAnsi="Arial" w:cs="Arial"/>
          <w:sz w:val="22"/>
          <w:szCs w:val="22"/>
        </w:rPr>
        <w:t xml:space="preserve">irectrice </w:t>
      </w:r>
      <w:r w:rsidR="00D340F9">
        <w:rPr>
          <w:rFonts w:ascii="Arial" w:hAnsi="Arial" w:cs="Arial"/>
          <w:sz w:val="22"/>
          <w:szCs w:val="22"/>
        </w:rPr>
        <w:t>g</w:t>
      </w:r>
      <w:r w:rsidRPr="00D44AA2">
        <w:rPr>
          <w:rFonts w:ascii="Arial" w:hAnsi="Arial" w:cs="Arial"/>
          <w:sz w:val="22"/>
          <w:szCs w:val="22"/>
        </w:rPr>
        <w:t xml:space="preserve">énérale en </w:t>
      </w:r>
      <w:r w:rsidR="00040E69">
        <w:rPr>
          <w:rFonts w:ascii="Arial" w:hAnsi="Arial" w:cs="Arial"/>
          <w:sz w:val="22"/>
          <w:szCs w:val="22"/>
        </w:rPr>
        <w:t>2018</w:t>
      </w:r>
      <w:r w:rsidR="000E2914" w:rsidRPr="00D44AA2">
        <w:rPr>
          <w:rFonts w:ascii="Arial" w:hAnsi="Arial" w:cs="Arial"/>
          <w:sz w:val="22"/>
          <w:szCs w:val="22"/>
        </w:rPr>
        <w:t xml:space="preserve"> en</w:t>
      </w:r>
      <w:r w:rsidRPr="00D44AA2">
        <w:rPr>
          <w:rFonts w:ascii="Arial" w:hAnsi="Arial" w:cs="Arial"/>
          <w:sz w:val="22"/>
          <w:szCs w:val="22"/>
        </w:rPr>
        <w:t xml:space="preserve"> s’inscrivant dans la lignée des ef</w:t>
      </w:r>
      <w:r w:rsidR="001726A0" w:rsidRPr="00D44AA2">
        <w:rPr>
          <w:rFonts w:ascii="Arial" w:hAnsi="Arial" w:cs="Arial"/>
          <w:sz w:val="22"/>
          <w:szCs w:val="22"/>
        </w:rPr>
        <w:t>fets bénéfiques de la loi Copé-</w:t>
      </w:r>
      <w:r w:rsidRPr="00D44AA2">
        <w:rPr>
          <w:rFonts w:ascii="Arial" w:hAnsi="Arial" w:cs="Arial"/>
          <w:sz w:val="22"/>
          <w:szCs w:val="22"/>
        </w:rPr>
        <w:t xml:space="preserve">Zimmermann sur la féminisation des conseils d’administration. Cette dirigeante inscrit son groupe dans la « deuxième vague de la transition énergétique » </w:t>
      </w:r>
      <w:r w:rsidR="001726A0" w:rsidRPr="00D44AA2">
        <w:rPr>
          <w:rFonts w:ascii="Arial" w:hAnsi="Arial" w:cs="Arial"/>
          <w:sz w:val="22"/>
          <w:szCs w:val="22"/>
        </w:rPr>
        <w:t>sous la pression d</w:t>
      </w:r>
      <w:r w:rsidRPr="00D44AA2">
        <w:rPr>
          <w:rFonts w:ascii="Arial" w:hAnsi="Arial" w:cs="Arial"/>
          <w:sz w:val="22"/>
          <w:szCs w:val="22"/>
        </w:rPr>
        <w:t>es parties prenante</w:t>
      </w:r>
      <w:r w:rsidR="00450DC9" w:rsidRPr="00D44AA2">
        <w:rPr>
          <w:rFonts w:ascii="Arial" w:hAnsi="Arial" w:cs="Arial"/>
          <w:sz w:val="22"/>
          <w:szCs w:val="22"/>
        </w:rPr>
        <w:t xml:space="preserve">s (clients, citoyens, salariés) </w:t>
      </w:r>
      <w:r w:rsidR="001726A0" w:rsidRPr="00D44AA2">
        <w:rPr>
          <w:rFonts w:ascii="Arial" w:hAnsi="Arial" w:cs="Arial"/>
          <w:sz w:val="22"/>
          <w:szCs w:val="22"/>
        </w:rPr>
        <w:t xml:space="preserve">afin </w:t>
      </w:r>
      <w:r w:rsidRPr="00D44AA2">
        <w:rPr>
          <w:rFonts w:ascii="Arial" w:hAnsi="Arial" w:cs="Arial"/>
          <w:sz w:val="22"/>
          <w:szCs w:val="22"/>
        </w:rPr>
        <w:t>qu’il réduise son empreinte carbone ; la première étant à l’initiative des pouvoirs publics.</w:t>
      </w:r>
    </w:p>
    <w:p w14:paraId="5E230EF5" w14:textId="69F2BCE1" w:rsidR="00AA48FD" w:rsidRPr="00D44AA2" w:rsidRDefault="00AA48FD" w:rsidP="00D44AA2">
      <w:pPr>
        <w:spacing w:after="120"/>
        <w:jc w:val="both"/>
        <w:rPr>
          <w:rFonts w:ascii="Arial" w:hAnsi="Arial" w:cs="Arial"/>
          <w:sz w:val="22"/>
          <w:szCs w:val="22"/>
        </w:rPr>
      </w:pPr>
      <w:r w:rsidRPr="00D44AA2">
        <w:rPr>
          <w:rFonts w:ascii="Arial" w:hAnsi="Arial" w:cs="Arial"/>
          <w:sz w:val="22"/>
          <w:szCs w:val="22"/>
        </w:rPr>
        <w:t>Début 2020, le mandat de cette dirigeante n’est pas renouvelé par le conseil d’administration et un accord est conclu. Depuis</w:t>
      </w:r>
      <w:r w:rsidR="00D340F9">
        <w:rPr>
          <w:rFonts w:ascii="Arial" w:hAnsi="Arial" w:cs="Arial"/>
          <w:sz w:val="22"/>
          <w:szCs w:val="22"/>
        </w:rPr>
        <w:t>,</w:t>
      </w:r>
      <w:r w:rsidRPr="00D44AA2">
        <w:rPr>
          <w:rFonts w:ascii="Arial" w:hAnsi="Arial" w:cs="Arial"/>
          <w:sz w:val="22"/>
          <w:szCs w:val="22"/>
        </w:rPr>
        <w:t xml:space="preserve"> une équipe dirigeante composée de la secrétaire générale, du directeur général adjoint et de la directrice financière assure l’intérim pendant cette période de transition.</w:t>
      </w:r>
    </w:p>
    <w:p w14:paraId="0201AD97" w14:textId="44EB49B0" w:rsidR="00AA48FD" w:rsidRPr="00D44AA2" w:rsidRDefault="00AA48FD" w:rsidP="00D44AA2">
      <w:pPr>
        <w:spacing w:after="120"/>
        <w:jc w:val="both"/>
        <w:rPr>
          <w:rFonts w:ascii="Arial" w:hAnsi="Arial" w:cs="Arial"/>
          <w:sz w:val="22"/>
          <w:szCs w:val="22"/>
        </w:rPr>
      </w:pPr>
      <w:r w:rsidRPr="00D44AA2">
        <w:rPr>
          <w:rFonts w:ascii="Arial" w:hAnsi="Arial" w:cs="Arial"/>
          <w:sz w:val="22"/>
          <w:szCs w:val="22"/>
        </w:rPr>
        <w:t>Le dossier vous est confié et il vous est demandé de rendre un avis circonstancié sur les performances d’Energy+, le changement</w:t>
      </w:r>
      <w:r w:rsidR="00D340F9">
        <w:rPr>
          <w:rFonts w:ascii="Arial" w:hAnsi="Arial" w:cs="Arial"/>
          <w:sz w:val="22"/>
          <w:szCs w:val="22"/>
        </w:rPr>
        <w:t xml:space="preserve"> de gouvernance récemment opéré, </w:t>
      </w:r>
      <w:r w:rsidRPr="00D44AA2">
        <w:rPr>
          <w:rFonts w:ascii="Arial" w:hAnsi="Arial" w:cs="Arial"/>
          <w:sz w:val="22"/>
          <w:szCs w:val="22"/>
        </w:rPr>
        <w:t xml:space="preserve">ses incidences sur la valorisation boursière de la firme ainsi que sur les problématiques éthiques qui en découlent. </w:t>
      </w:r>
    </w:p>
    <w:p w14:paraId="156D3281" w14:textId="77777777" w:rsidR="00C84FD4" w:rsidRPr="00D44AA2" w:rsidRDefault="00C84FD4" w:rsidP="00EF1E9C">
      <w:pPr>
        <w:jc w:val="both"/>
        <w:rPr>
          <w:rFonts w:ascii="Arial" w:hAnsi="Arial" w:cs="Arial"/>
          <w:sz w:val="22"/>
          <w:szCs w:val="22"/>
        </w:rPr>
      </w:pPr>
    </w:p>
    <w:p w14:paraId="776A8711" w14:textId="77777777" w:rsidR="00C84FD4" w:rsidRPr="00D44AA2" w:rsidRDefault="00C84FD4" w:rsidP="00EF1E9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sz w:val="22"/>
          <w:szCs w:val="22"/>
        </w:rPr>
      </w:pPr>
      <w:r w:rsidRPr="00D44AA2">
        <w:rPr>
          <w:rFonts w:ascii="Arial" w:hAnsi="Arial" w:cs="Arial"/>
          <w:sz w:val="22"/>
          <w:szCs w:val="22"/>
        </w:rPr>
        <w:t>Il vous est demandé d’apporter un soin particulier à la présentation de votre copie.</w:t>
      </w:r>
    </w:p>
    <w:p w14:paraId="4CCC9C8C" w14:textId="77777777" w:rsidR="00C84FD4" w:rsidRPr="00D44AA2" w:rsidRDefault="00C84FD4" w:rsidP="00EF1E9C">
      <w:pPr>
        <w:pBdr>
          <w:top w:val="single" w:sz="4" w:space="1" w:color="auto"/>
          <w:left w:val="single" w:sz="4" w:space="4" w:color="auto"/>
          <w:bottom w:val="single" w:sz="4" w:space="1" w:color="auto"/>
          <w:right w:val="single" w:sz="4" w:space="4" w:color="auto"/>
        </w:pBdr>
        <w:shd w:val="clear" w:color="auto" w:fill="FFFFFF"/>
        <w:jc w:val="both"/>
        <w:rPr>
          <w:rFonts w:ascii="Arial" w:hAnsi="Arial" w:cs="Arial"/>
          <w:color w:val="000000"/>
          <w:spacing w:val="-5"/>
          <w:sz w:val="22"/>
          <w:szCs w:val="22"/>
        </w:rPr>
      </w:pPr>
      <w:r w:rsidRPr="00D44AA2">
        <w:rPr>
          <w:rFonts w:ascii="Arial" w:hAnsi="Arial" w:cs="Arial"/>
          <w:color w:val="000000"/>
          <w:spacing w:val="-5"/>
          <w:sz w:val="22"/>
          <w:szCs w:val="22"/>
        </w:rPr>
        <w:t>Toute information calculée devra être justifiée.</w:t>
      </w:r>
    </w:p>
    <w:p w14:paraId="3D938F7D" w14:textId="77777777" w:rsidR="00EF1E9C" w:rsidRPr="00D44AA2" w:rsidRDefault="00EF1E9C" w:rsidP="00EF1E9C">
      <w:pPr>
        <w:shd w:val="clear" w:color="auto" w:fill="FFFFFF"/>
        <w:jc w:val="both"/>
        <w:rPr>
          <w:rFonts w:ascii="Arial" w:hAnsi="Arial" w:cs="Arial"/>
          <w:color w:val="000000"/>
          <w:spacing w:val="-7"/>
        </w:rPr>
      </w:pPr>
    </w:p>
    <w:p w14:paraId="60F4967C" w14:textId="77777777" w:rsidR="00C84FD4" w:rsidRPr="00D44AA2" w:rsidRDefault="00C84FD4" w:rsidP="00450DC9">
      <w:pPr>
        <w:pStyle w:val="Titre1"/>
        <w:keepNext w:val="0"/>
        <w:pBdr>
          <w:top w:val="single" w:sz="4" w:space="1" w:color="auto"/>
          <w:left w:val="single" w:sz="4" w:space="4" w:color="auto"/>
          <w:bottom w:val="single" w:sz="4" w:space="1" w:color="auto"/>
          <w:right w:val="single" w:sz="4" w:space="4" w:color="auto"/>
        </w:pBdr>
        <w:shd w:val="clear" w:color="auto" w:fill="C0C0C0"/>
        <w:jc w:val="center"/>
        <w:rPr>
          <w:rFonts w:ascii="Arial" w:hAnsi="Arial" w:cs="Arial"/>
          <w:caps/>
          <w:position w:val="-48"/>
          <w:sz w:val="28"/>
          <w:szCs w:val="28"/>
        </w:rPr>
      </w:pPr>
      <w:r w:rsidRPr="00D44AA2">
        <w:rPr>
          <w:rFonts w:ascii="Arial" w:hAnsi="Arial" w:cs="Arial"/>
          <w:caps/>
          <w:position w:val="-48"/>
          <w:sz w:val="28"/>
          <w:szCs w:val="28"/>
        </w:rPr>
        <w:t xml:space="preserve">DOSSIER 1 – </w:t>
      </w:r>
      <w:r w:rsidR="00AA48FD" w:rsidRPr="00D44AA2">
        <w:rPr>
          <w:rFonts w:ascii="Arial" w:hAnsi="Arial" w:cs="Arial"/>
          <w:caps/>
          <w:position w:val="-48"/>
          <w:sz w:val="28"/>
          <w:szCs w:val="28"/>
        </w:rPr>
        <w:t>diagnostic financier</w:t>
      </w:r>
    </w:p>
    <w:p w14:paraId="223DF85A" w14:textId="77777777" w:rsidR="00B3370F" w:rsidRPr="00D44AA2" w:rsidRDefault="00B3370F" w:rsidP="00EF1E9C">
      <w:pPr>
        <w:jc w:val="both"/>
        <w:rPr>
          <w:rFonts w:ascii="Arial" w:hAnsi="Arial" w:cs="Arial"/>
          <w:sz w:val="22"/>
        </w:rPr>
      </w:pPr>
    </w:p>
    <w:p w14:paraId="04C96B61" w14:textId="77777777" w:rsidR="00B3370F" w:rsidRPr="00D44AA2" w:rsidRDefault="00B3370F" w:rsidP="00EF1E9C">
      <w:pPr>
        <w:jc w:val="center"/>
        <w:rPr>
          <w:rFonts w:ascii="Arial" w:hAnsi="Arial" w:cs="Arial"/>
          <w:b/>
          <w:sz w:val="22"/>
          <w:szCs w:val="22"/>
          <w:u w:val="single"/>
        </w:rPr>
      </w:pPr>
      <w:r w:rsidRPr="00D44AA2">
        <w:rPr>
          <w:rFonts w:ascii="Arial" w:hAnsi="Arial" w:cs="Arial"/>
          <w:b/>
          <w:sz w:val="22"/>
          <w:szCs w:val="22"/>
          <w:u w:val="single"/>
        </w:rPr>
        <w:t>Travail à faire</w:t>
      </w:r>
    </w:p>
    <w:p w14:paraId="3E29230F" w14:textId="77777777" w:rsidR="00B3370F" w:rsidRPr="00D44AA2" w:rsidRDefault="00B3370F" w:rsidP="00EF1E9C">
      <w:pPr>
        <w:jc w:val="both"/>
        <w:rPr>
          <w:rFonts w:ascii="Arial" w:hAnsi="Arial" w:cs="Arial"/>
          <w:b/>
          <w:sz w:val="22"/>
          <w:szCs w:val="22"/>
        </w:rPr>
      </w:pPr>
    </w:p>
    <w:p w14:paraId="4B32C07A" w14:textId="4A93877A" w:rsidR="00B3370F" w:rsidRDefault="00042B78" w:rsidP="00EF1E9C">
      <w:pPr>
        <w:jc w:val="both"/>
        <w:rPr>
          <w:rFonts w:ascii="Arial" w:hAnsi="Arial" w:cs="Arial"/>
          <w:sz w:val="22"/>
          <w:szCs w:val="22"/>
        </w:rPr>
      </w:pPr>
      <w:r w:rsidRPr="00D44AA2">
        <w:rPr>
          <w:rFonts w:ascii="Arial" w:hAnsi="Arial" w:cs="Arial"/>
          <w:sz w:val="22"/>
          <w:szCs w:val="22"/>
        </w:rPr>
        <w:t>Après avoir rappelé l’util</w:t>
      </w:r>
      <w:r w:rsidR="00EF1E9C" w:rsidRPr="00D44AA2">
        <w:rPr>
          <w:rFonts w:ascii="Arial" w:hAnsi="Arial" w:cs="Arial"/>
          <w:sz w:val="22"/>
          <w:szCs w:val="22"/>
        </w:rPr>
        <w:t>ité de chacun des indicateurs (</w:t>
      </w:r>
      <w:r w:rsidR="00EF1E9C" w:rsidRPr="00D340F9">
        <w:rPr>
          <w:rFonts w:ascii="Arial" w:hAnsi="Arial" w:cs="Arial"/>
          <w:sz w:val="22"/>
          <w:szCs w:val="22"/>
        </w:rPr>
        <w:t>a</w:t>
      </w:r>
      <w:r w:rsidRPr="00D340F9">
        <w:rPr>
          <w:rFonts w:ascii="Arial" w:hAnsi="Arial" w:cs="Arial"/>
          <w:sz w:val="22"/>
          <w:szCs w:val="22"/>
        </w:rPr>
        <w:t>nnexe 1</w:t>
      </w:r>
      <w:r w:rsidR="00D340F9">
        <w:rPr>
          <w:rFonts w:ascii="Arial" w:hAnsi="Arial" w:cs="Arial"/>
          <w:sz w:val="22"/>
          <w:szCs w:val="22"/>
        </w:rPr>
        <w:t>) :</w:t>
      </w:r>
    </w:p>
    <w:p w14:paraId="18C13435" w14:textId="77777777" w:rsidR="00C10A70" w:rsidRPr="00D44AA2" w:rsidRDefault="00C10A70" w:rsidP="00EF1E9C">
      <w:pPr>
        <w:jc w:val="both"/>
        <w:rPr>
          <w:rFonts w:ascii="Arial" w:hAnsi="Arial" w:cs="Arial"/>
          <w:sz w:val="22"/>
          <w:szCs w:val="22"/>
        </w:rPr>
      </w:pPr>
    </w:p>
    <w:p w14:paraId="750EF3D7" w14:textId="79A1867B" w:rsidR="00B3370F" w:rsidRDefault="00A2459F" w:rsidP="00EF1E9C">
      <w:pPr>
        <w:pStyle w:val="Paragraphedeliste"/>
        <w:numPr>
          <w:ilvl w:val="0"/>
          <w:numId w:val="6"/>
        </w:numPr>
        <w:jc w:val="both"/>
        <w:rPr>
          <w:rFonts w:ascii="Arial" w:hAnsi="Arial" w:cs="Arial"/>
          <w:b/>
          <w:sz w:val="22"/>
          <w:szCs w:val="22"/>
        </w:rPr>
      </w:pPr>
      <w:r w:rsidRPr="00D44AA2">
        <w:rPr>
          <w:rFonts w:ascii="Arial" w:hAnsi="Arial" w:cs="Arial"/>
          <w:b/>
          <w:sz w:val="22"/>
          <w:szCs w:val="22"/>
        </w:rPr>
        <w:t xml:space="preserve">Faire </w:t>
      </w:r>
      <w:r w:rsidR="001E5C3D" w:rsidRPr="00D44AA2">
        <w:rPr>
          <w:rFonts w:ascii="Arial" w:hAnsi="Arial" w:cs="Arial"/>
          <w:b/>
          <w:sz w:val="22"/>
          <w:szCs w:val="22"/>
        </w:rPr>
        <w:t xml:space="preserve">le diagnostic de l’évolution </w:t>
      </w:r>
      <w:r w:rsidR="00AA48FD" w:rsidRPr="00D44AA2">
        <w:rPr>
          <w:rFonts w:ascii="Arial" w:hAnsi="Arial" w:cs="Arial"/>
          <w:b/>
          <w:sz w:val="22"/>
          <w:szCs w:val="22"/>
        </w:rPr>
        <w:t>des marges et de la profitabilité</w:t>
      </w:r>
      <w:r w:rsidR="00D340F9">
        <w:rPr>
          <w:rFonts w:ascii="Arial" w:hAnsi="Arial" w:cs="Arial"/>
          <w:b/>
          <w:sz w:val="22"/>
          <w:szCs w:val="22"/>
        </w:rPr>
        <w:t>.</w:t>
      </w:r>
    </w:p>
    <w:p w14:paraId="44B10B0E" w14:textId="77777777" w:rsidR="00F14F9B" w:rsidRPr="00D44AA2" w:rsidRDefault="00F14F9B" w:rsidP="00F14F9B">
      <w:pPr>
        <w:pStyle w:val="Paragraphedeliste"/>
        <w:ind w:left="644"/>
        <w:jc w:val="both"/>
        <w:rPr>
          <w:rFonts w:ascii="Arial" w:hAnsi="Arial" w:cs="Arial"/>
          <w:b/>
          <w:sz w:val="22"/>
          <w:szCs w:val="22"/>
        </w:rPr>
      </w:pPr>
    </w:p>
    <w:p w14:paraId="59AD720B" w14:textId="5701E0FD" w:rsidR="00B3370F" w:rsidRDefault="00A2459F" w:rsidP="00EF1E9C">
      <w:pPr>
        <w:pStyle w:val="Paragraphedeliste"/>
        <w:numPr>
          <w:ilvl w:val="0"/>
          <w:numId w:val="6"/>
        </w:numPr>
        <w:jc w:val="both"/>
        <w:rPr>
          <w:rFonts w:ascii="Arial" w:hAnsi="Arial" w:cs="Arial"/>
          <w:b/>
          <w:sz w:val="22"/>
          <w:szCs w:val="22"/>
        </w:rPr>
      </w:pPr>
      <w:r w:rsidRPr="00D44AA2">
        <w:rPr>
          <w:rFonts w:ascii="Arial" w:hAnsi="Arial" w:cs="Arial"/>
          <w:b/>
          <w:sz w:val="22"/>
          <w:szCs w:val="22"/>
        </w:rPr>
        <w:t xml:space="preserve">Faire </w:t>
      </w:r>
      <w:r w:rsidR="00042B78" w:rsidRPr="00D44AA2">
        <w:rPr>
          <w:rFonts w:ascii="Arial" w:hAnsi="Arial" w:cs="Arial"/>
          <w:b/>
          <w:sz w:val="22"/>
          <w:szCs w:val="22"/>
        </w:rPr>
        <w:t>le diagnostic de la rentab</w:t>
      </w:r>
      <w:r w:rsidR="00D340F9">
        <w:rPr>
          <w:rFonts w:ascii="Arial" w:hAnsi="Arial" w:cs="Arial"/>
          <w:b/>
          <w:sz w:val="22"/>
          <w:szCs w:val="22"/>
        </w:rPr>
        <w:t>ilité financière et économique.</w:t>
      </w:r>
    </w:p>
    <w:p w14:paraId="7E213FFE" w14:textId="77777777" w:rsidR="00F14F9B" w:rsidRPr="00F14F9B" w:rsidRDefault="00F14F9B" w:rsidP="00F14F9B">
      <w:pPr>
        <w:jc w:val="both"/>
        <w:rPr>
          <w:rFonts w:ascii="Arial" w:hAnsi="Arial" w:cs="Arial"/>
          <w:b/>
          <w:sz w:val="22"/>
          <w:szCs w:val="22"/>
        </w:rPr>
      </w:pPr>
    </w:p>
    <w:p w14:paraId="6DFD0269" w14:textId="77777777" w:rsidR="00DE7058" w:rsidRPr="00D44AA2" w:rsidRDefault="00A2459F" w:rsidP="00EF1E9C">
      <w:pPr>
        <w:pStyle w:val="Paragraphedeliste"/>
        <w:numPr>
          <w:ilvl w:val="0"/>
          <w:numId w:val="6"/>
        </w:numPr>
        <w:jc w:val="both"/>
        <w:rPr>
          <w:rFonts w:ascii="Arial" w:hAnsi="Arial" w:cs="Arial"/>
          <w:b/>
          <w:sz w:val="22"/>
          <w:szCs w:val="22"/>
        </w:rPr>
      </w:pPr>
      <w:r w:rsidRPr="00D44AA2">
        <w:rPr>
          <w:rFonts w:ascii="Arial" w:hAnsi="Arial" w:cs="Arial"/>
          <w:b/>
          <w:sz w:val="22"/>
          <w:szCs w:val="22"/>
        </w:rPr>
        <w:t xml:space="preserve">Faire </w:t>
      </w:r>
      <w:r w:rsidR="00042B78" w:rsidRPr="00D44AA2">
        <w:rPr>
          <w:rFonts w:ascii="Arial" w:hAnsi="Arial" w:cs="Arial"/>
          <w:b/>
          <w:sz w:val="22"/>
          <w:szCs w:val="22"/>
        </w:rPr>
        <w:t>le diagnostic des risques d’Energy+.</w:t>
      </w:r>
    </w:p>
    <w:p w14:paraId="58ECD02F" w14:textId="1478C157" w:rsidR="00EF1E9C" w:rsidRPr="00D44AA2" w:rsidRDefault="009649CB" w:rsidP="00EF1E9C">
      <w:pPr>
        <w:shd w:val="clear" w:color="auto" w:fill="FFFFFF"/>
        <w:jc w:val="both"/>
        <w:rPr>
          <w:rFonts w:ascii="Arial" w:hAnsi="Arial" w:cs="Arial"/>
          <w:sz w:val="22"/>
          <w:szCs w:val="22"/>
        </w:rPr>
      </w:pPr>
      <w:r w:rsidRPr="00D44AA2">
        <w:rPr>
          <w:rFonts w:ascii="Arial" w:hAnsi="Arial" w:cs="Arial"/>
          <w:sz w:val="22"/>
          <w:szCs w:val="22"/>
        </w:rPr>
        <w:t xml:space="preserve"> </w:t>
      </w:r>
    </w:p>
    <w:p w14:paraId="0FFB7F08" w14:textId="77777777" w:rsidR="00EF1E9C" w:rsidRPr="00D44AA2" w:rsidRDefault="00EF1E9C" w:rsidP="00EF1E9C">
      <w:pPr>
        <w:shd w:val="clear" w:color="auto" w:fill="FFFFFF"/>
        <w:jc w:val="both"/>
        <w:rPr>
          <w:rFonts w:ascii="Arial" w:hAnsi="Arial" w:cs="Arial"/>
          <w:color w:val="000000"/>
          <w:spacing w:val="-7"/>
        </w:rPr>
      </w:pPr>
    </w:p>
    <w:p w14:paraId="3E451539" w14:textId="77777777" w:rsidR="00AA48FD" w:rsidRPr="00D44AA2" w:rsidRDefault="00AA48FD" w:rsidP="00450DC9">
      <w:pPr>
        <w:pStyle w:val="Titre1"/>
        <w:keepNext w:val="0"/>
        <w:pBdr>
          <w:top w:val="single" w:sz="4" w:space="1" w:color="auto"/>
          <w:left w:val="single" w:sz="4" w:space="4" w:color="auto"/>
          <w:bottom w:val="single" w:sz="4" w:space="1" w:color="auto"/>
          <w:right w:val="single" w:sz="4" w:space="4" w:color="auto"/>
        </w:pBdr>
        <w:shd w:val="clear" w:color="auto" w:fill="C0C0C0"/>
        <w:jc w:val="center"/>
        <w:rPr>
          <w:rFonts w:ascii="Arial" w:hAnsi="Arial" w:cs="Arial"/>
          <w:caps/>
          <w:position w:val="-48"/>
          <w:sz w:val="28"/>
          <w:szCs w:val="28"/>
        </w:rPr>
      </w:pPr>
      <w:r w:rsidRPr="00D44AA2">
        <w:rPr>
          <w:rFonts w:ascii="Arial" w:hAnsi="Arial" w:cs="Arial"/>
          <w:caps/>
          <w:position w:val="-48"/>
          <w:sz w:val="28"/>
          <w:szCs w:val="28"/>
        </w:rPr>
        <w:t>DOSSIER 2 – Gouvernance et Turnover du dirigeant</w:t>
      </w:r>
    </w:p>
    <w:p w14:paraId="7B4BF1D6" w14:textId="77777777" w:rsidR="000F75DC" w:rsidRPr="00D44AA2" w:rsidRDefault="000F75DC" w:rsidP="00EF1E9C">
      <w:pPr>
        <w:jc w:val="both"/>
        <w:rPr>
          <w:rFonts w:ascii="Arial" w:hAnsi="Arial" w:cs="Arial"/>
          <w:sz w:val="22"/>
        </w:rPr>
      </w:pPr>
    </w:p>
    <w:p w14:paraId="59BA7AA0" w14:textId="5BC9D0E7" w:rsidR="00AA48FD" w:rsidRPr="00D44AA2" w:rsidRDefault="00AA48FD" w:rsidP="00EF1E9C">
      <w:pPr>
        <w:jc w:val="center"/>
        <w:rPr>
          <w:rFonts w:ascii="Arial" w:hAnsi="Arial" w:cs="Arial"/>
          <w:b/>
          <w:sz w:val="22"/>
          <w:szCs w:val="22"/>
          <w:u w:val="single"/>
        </w:rPr>
      </w:pPr>
      <w:r w:rsidRPr="00D44AA2">
        <w:rPr>
          <w:rFonts w:ascii="Arial" w:hAnsi="Arial" w:cs="Arial"/>
          <w:b/>
          <w:sz w:val="22"/>
          <w:szCs w:val="22"/>
          <w:u w:val="single"/>
        </w:rPr>
        <w:t>Travail à faire</w:t>
      </w:r>
    </w:p>
    <w:p w14:paraId="686008BB" w14:textId="77777777" w:rsidR="00CA4E90" w:rsidRPr="00D44AA2" w:rsidRDefault="00CA4E90" w:rsidP="00EF1E9C">
      <w:pPr>
        <w:jc w:val="center"/>
        <w:rPr>
          <w:rFonts w:ascii="Arial" w:hAnsi="Arial" w:cs="Arial"/>
          <w:b/>
          <w:sz w:val="22"/>
          <w:szCs w:val="22"/>
          <w:u w:val="single"/>
        </w:rPr>
      </w:pPr>
    </w:p>
    <w:p w14:paraId="2101630C" w14:textId="3CF92D1B" w:rsidR="00CA4E90" w:rsidRPr="00D44AA2" w:rsidRDefault="00D340F9" w:rsidP="00CA4E90">
      <w:pPr>
        <w:jc w:val="both"/>
        <w:rPr>
          <w:rFonts w:ascii="Arial" w:hAnsi="Arial" w:cs="Arial"/>
          <w:sz w:val="22"/>
          <w:szCs w:val="22"/>
        </w:rPr>
      </w:pPr>
      <w:r>
        <w:rPr>
          <w:rFonts w:ascii="Arial" w:hAnsi="Arial" w:cs="Arial"/>
          <w:sz w:val="22"/>
          <w:szCs w:val="22"/>
        </w:rPr>
        <w:t>À</w:t>
      </w:r>
      <w:r w:rsidR="00CA4E90" w:rsidRPr="00D44AA2">
        <w:rPr>
          <w:rFonts w:ascii="Arial" w:hAnsi="Arial" w:cs="Arial"/>
          <w:sz w:val="22"/>
          <w:szCs w:val="22"/>
        </w:rPr>
        <w:t xml:space="preserve"> </w:t>
      </w:r>
      <w:r>
        <w:rPr>
          <w:rFonts w:ascii="Arial" w:hAnsi="Arial" w:cs="Arial"/>
          <w:sz w:val="22"/>
          <w:szCs w:val="22"/>
        </w:rPr>
        <w:t>partir des annexes 2, 3 et 4 :</w:t>
      </w:r>
    </w:p>
    <w:p w14:paraId="61FF31E0" w14:textId="77777777" w:rsidR="00AA48FD" w:rsidRPr="00D44AA2" w:rsidRDefault="00AA48FD" w:rsidP="00D44AA2">
      <w:pPr>
        <w:jc w:val="both"/>
        <w:rPr>
          <w:rFonts w:ascii="Arial" w:hAnsi="Arial" w:cs="Arial"/>
          <w:b/>
          <w:sz w:val="22"/>
          <w:szCs w:val="22"/>
        </w:rPr>
      </w:pPr>
    </w:p>
    <w:p w14:paraId="162951D8" w14:textId="2954FE24" w:rsidR="00AA48FD" w:rsidRDefault="000F75DC" w:rsidP="00EF1E9C">
      <w:pPr>
        <w:pStyle w:val="Paragraphedeliste"/>
        <w:numPr>
          <w:ilvl w:val="0"/>
          <w:numId w:val="7"/>
        </w:numPr>
        <w:jc w:val="both"/>
        <w:rPr>
          <w:rFonts w:ascii="Arial" w:hAnsi="Arial" w:cs="Arial"/>
          <w:b/>
          <w:sz w:val="22"/>
          <w:szCs w:val="22"/>
        </w:rPr>
      </w:pPr>
      <w:r w:rsidRPr="00D44AA2">
        <w:rPr>
          <w:rFonts w:ascii="Arial" w:hAnsi="Arial" w:cs="Arial"/>
          <w:b/>
          <w:sz w:val="22"/>
          <w:szCs w:val="22"/>
        </w:rPr>
        <w:t>Définir ce qu’est la gouvernance des entreprises</w:t>
      </w:r>
      <w:r w:rsidR="003A09CB" w:rsidRPr="00D44AA2">
        <w:rPr>
          <w:rFonts w:ascii="Arial" w:hAnsi="Arial" w:cs="Arial"/>
          <w:b/>
          <w:sz w:val="22"/>
          <w:szCs w:val="22"/>
        </w:rPr>
        <w:t>. Quel est l’objectif du dirigeant dans le cadre d’une approche actionnariale ? Comment réduit-on les divergences d’intérêt entre le dirigeant et les actionnaires ?</w:t>
      </w:r>
    </w:p>
    <w:p w14:paraId="3CA66C6B" w14:textId="77777777" w:rsidR="00F14F9B" w:rsidRPr="00D44AA2" w:rsidRDefault="00F14F9B" w:rsidP="00F14F9B">
      <w:pPr>
        <w:pStyle w:val="Paragraphedeliste"/>
        <w:ind w:left="644"/>
        <w:jc w:val="both"/>
        <w:rPr>
          <w:rFonts w:ascii="Arial" w:hAnsi="Arial" w:cs="Arial"/>
          <w:b/>
          <w:sz w:val="22"/>
          <w:szCs w:val="22"/>
        </w:rPr>
      </w:pPr>
    </w:p>
    <w:p w14:paraId="4A357B6C" w14:textId="7F8289AF" w:rsidR="00EF1E9C" w:rsidRPr="00D44AA2" w:rsidRDefault="006C6E9D" w:rsidP="00EF1E9C">
      <w:pPr>
        <w:pStyle w:val="Paragraphedeliste"/>
        <w:numPr>
          <w:ilvl w:val="0"/>
          <w:numId w:val="7"/>
        </w:numPr>
        <w:jc w:val="both"/>
        <w:rPr>
          <w:rFonts w:ascii="Arial" w:hAnsi="Arial" w:cs="Arial"/>
          <w:b/>
          <w:sz w:val="22"/>
          <w:szCs w:val="22"/>
        </w:rPr>
      </w:pPr>
      <w:r w:rsidRPr="00D44AA2">
        <w:rPr>
          <w:rFonts w:ascii="Arial" w:hAnsi="Arial" w:cs="Arial"/>
          <w:b/>
          <w:sz w:val="22"/>
          <w:szCs w:val="22"/>
        </w:rPr>
        <w:t>Quelles sont les dispositions prévues par le code AFEP-MEDEF et dans quelles mesures le protocole d’accord (</w:t>
      </w:r>
      <w:r w:rsidR="00D340F9">
        <w:rPr>
          <w:rFonts w:ascii="Arial" w:hAnsi="Arial" w:cs="Arial"/>
          <w:b/>
          <w:sz w:val="22"/>
          <w:szCs w:val="22"/>
        </w:rPr>
        <w:t>a</w:t>
      </w:r>
      <w:r w:rsidRPr="00D44AA2">
        <w:rPr>
          <w:rFonts w:ascii="Arial" w:hAnsi="Arial" w:cs="Arial"/>
          <w:b/>
          <w:sz w:val="22"/>
          <w:szCs w:val="22"/>
        </w:rPr>
        <w:t>nnexe 3) conclu entre Energy+ et son ancienne dirigeante r</w:t>
      </w:r>
      <w:r w:rsidR="00EF1E9C" w:rsidRPr="00D44AA2">
        <w:rPr>
          <w:rFonts w:ascii="Arial" w:hAnsi="Arial" w:cs="Arial"/>
          <w:b/>
          <w:sz w:val="22"/>
          <w:szCs w:val="22"/>
        </w:rPr>
        <w:t>especte-t-il ces dispositions ?</w:t>
      </w:r>
    </w:p>
    <w:p w14:paraId="00CCC1AB" w14:textId="77777777" w:rsidR="00450DC9" w:rsidRPr="00D44AA2" w:rsidRDefault="00450DC9" w:rsidP="00450DC9">
      <w:pPr>
        <w:jc w:val="both"/>
        <w:rPr>
          <w:rFonts w:ascii="Arial" w:hAnsi="Arial" w:cs="Arial"/>
          <w:b/>
          <w:sz w:val="22"/>
          <w:szCs w:val="22"/>
        </w:rPr>
      </w:pPr>
    </w:p>
    <w:p w14:paraId="4A2E7205" w14:textId="5FE8C7F9" w:rsidR="00C00B19" w:rsidRDefault="00C00B19">
      <w:pPr>
        <w:rPr>
          <w:rFonts w:ascii="Arial" w:hAnsi="Arial" w:cs="Arial"/>
          <w:b/>
          <w:sz w:val="22"/>
          <w:szCs w:val="22"/>
        </w:rPr>
      </w:pPr>
      <w:r>
        <w:rPr>
          <w:rFonts w:ascii="Arial" w:hAnsi="Arial" w:cs="Arial"/>
          <w:b/>
          <w:sz w:val="22"/>
          <w:szCs w:val="22"/>
        </w:rPr>
        <w:br w:type="page"/>
      </w:r>
    </w:p>
    <w:p w14:paraId="72D90CCC" w14:textId="09873818" w:rsidR="00AA48FD" w:rsidRPr="00D44AA2" w:rsidRDefault="00AA48FD" w:rsidP="00EF1E9C">
      <w:pPr>
        <w:pStyle w:val="Titre1"/>
        <w:keepNext w:val="0"/>
        <w:pBdr>
          <w:top w:val="single" w:sz="4" w:space="1" w:color="auto"/>
          <w:left w:val="single" w:sz="4" w:space="4" w:color="auto"/>
          <w:bottom w:val="single" w:sz="4" w:space="1" w:color="auto"/>
          <w:right w:val="single" w:sz="4" w:space="4" w:color="auto"/>
        </w:pBdr>
        <w:shd w:val="clear" w:color="auto" w:fill="C0C0C0"/>
        <w:jc w:val="center"/>
        <w:rPr>
          <w:rFonts w:ascii="Arial" w:hAnsi="Arial" w:cs="Arial"/>
          <w:caps/>
          <w:position w:val="-48"/>
          <w:sz w:val="28"/>
          <w:szCs w:val="28"/>
        </w:rPr>
      </w:pPr>
      <w:r w:rsidRPr="00D44AA2">
        <w:rPr>
          <w:rFonts w:ascii="Arial" w:hAnsi="Arial" w:cs="Arial"/>
          <w:caps/>
          <w:position w:val="-48"/>
          <w:sz w:val="28"/>
          <w:szCs w:val="28"/>
        </w:rPr>
        <w:lastRenderedPageBreak/>
        <w:t>DOSSIER 3 – R</w:t>
      </w:r>
      <w:r w:rsidR="00D340F9">
        <w:rPr>
          <w:rFonts w:ascii="Arial" w:hAnsi="Arial" w:cs="Arial"/>
          <w:caps/>
          <w:position w:val="-48"/>
          <w:sz w:val="28"/>
          <w:szCs w:val="28"/>
        </w:rPr>
        <w:t>É</w:t>
      </w:r>
      <w:r w:rsidRPr="00D44AA2">
        <w:rPr>
          <w:rFonts w:ascii="Arial" w:hAnsi="Arial" w:cs="Arial"/>
          <w:caps/>
          <w:position w:val="-48"/>
          <w:sz w:val="28"/>
          <w:szCs w:val="28"/>
        </w:rPr>
        <w:t>ACTION DES MARCH</w:t>
      </w:r>
      <w:r w:rsidR="00D340F9">
        <w:rPr>
          <w:rFonts w:ascii="Arial" w:hAnsi="Arial" w:cs="Arial"/>
          <w:caps/>
          <w:position w:val="-48"/>
          <w:sz w:val="28"/>
          <w:szCs w:val="28"/>
        </w:rPr>
        <w:t>É</w:t>
      </w:r>
      <w:r w:rsidRPr="00D44AA2">
        <w:rPr>
          <w:rFonts w:ascii="Arial" w:hAnsi="Arial" w:cs="Arial"/>
          <w:caps/>
          <w:position w:val="-48"/>
          <w:sz w:val="28"/>
          <w:szCs w:val="28"/>
        </w:rPr>
        <w:t>S FINANCIERS</w:t>
      </w:r>
    </w:p>
    <w:p w14:paraId="0BCCD165" w14:textId="77777777" w:rsidR="00AA48FD" w:rsidRPr="00D44AA2" w:rsidRDefault="00AA48FD" w:rsidP="00EF1E9C">
      <w:pPr>
        <w:jc w:val="both"/>
        <w:rPr>
          <w:rFonts w:ascii="Arial" w:hAnsi="Arial" w:cs="Arial"/>
          <w:sz w:val="22"/>
        </w:rPr>
      </w:pPr>
    </w:p>
    <w:p w14:paraId="7D33EFC2" w14:textId="77777777" w:rsidR="00AA48FD" w:rsidRPr="00D44AA2" w:rsidRDefault="00AA48FD" w:rsidP="00EF1E9C">
      <w:pPr>
        <w:jc w:val="center"/>
        <w:rPr>
          <w:rFonts w:ascii="Arial" w:hAnsi="Arial" w:cs="Arial"/>
          <w:b/>
          <w:sz w:val="22"/>
          <w:szCs w:val="22"/>
          <w:u w:val="single"/>
        </w:rPr>
      </w:pPr>
      <w:r w:rsidRPr="00D44AA2">
        <w:rPr>
          <w:rFonts w:ascii="Arial" w:hAnsi="Arial" w:cs="Arial"/>
          <w:b/>
          <w:sz w:val="22"/>
          <w:szCs w:val="22"/>
          <w:u w:val="single"/>
        </w:rPr>
        <w:t>Travail à faire</w:t>
      </w:r>
    </w:p>
    <w:p w14:paraId="4C81DEC9" w14:textId="77777777" w:rsidR="00AA48FD" w:rsidRPr="00D44AA2" w:rsidRDefault="00AA48FD" w:rsidP="00EF1E9C">
      <w:pPr>
        <w:jc w:val="both"/>
        <w:rPr>
          <w:rFonts w:ascii="Arial" w:hAnsi="Arial" w:cs="Arial"/>
          <w:b/>
          <w:sz w:val="22"/>
          <w:szCs w:val="22"/>
        </w:rPr>
      </w:pPr>
    </w:p>
    <w:p w14:paraId="2D4CA1DB" w14:textId="579A0755" w:rsidR="00F07DEC" w:rsidRDefault="00C322C1" w:rsidP="00EF1E9C">
      <w:pPr>
        <w:pStyle w:val="Paragraphedeliste"/>
        <w:numPr>
          <w:ilvl w:val="0"/>
          <w:numId w:val="8"/>
        </w:numPr>
        <w:jc w:val="both"/>
        <w:rPr>
          <w:rFonts w:ascii="Arial" w:hAnsi="Arial" w:cs="Arial"/>
          <w:b/>
          <w:sz w:val="22"/>
          <w:szCs w:val="22"/>
        </w:rPr>
      </w:pPr>
      <w:r w:rsidRPr="00D44AA2">
        <w:rPr>
          <w:rFonts w:ascii="Arial" w:hAnsi="Arial" w:cs="Arial"/>
          <w:b/>
          <w:sz w:val="22"/>
          <w:szCs w:val="22"/>
        </w:rPr>
        <w:t xml:space="preserve">Quels sont les enseignements de la théorie de l’efficience informationnelle des marchés financiers développée par Eugène Fama ? Quels sont les postulats de départ de cette théorie ? Quel est le degré d’efficience </w:t>
      </w:r>
      <w:r w:rsidR="00040E69">
        <w:rPr>
          <w:rFonts w:ascii="Arial" w:hAnsi="Arial" w:cs="Arial"/>
          <w:b/>
          <w:sz w:val="22"/>
          <w:szCs w:val="22"/>
        </w:rPr>
        <w:t xml:space="preserve">théorique </w:t>
      </w:r>
      <w:r w:rsidRPr="00D44AA2">
        <w:rPr>
          <w:rFonts w:ascii="Arial" w:hAnsi="Arial" w:cs="Arial"/>
          <w:b/>
          <w:sz w:val="22"/>
          <w:szCs w:val="22"/>
        </w:rPr>
        <w:t>d’un marché comme Euronext ?</w:t>
      </w:r>
    </w:p>
    <w:p w14:paraId="4B182623" w14:textId="77777777" w:rsidR="00F14F9B" w:rsidRPr="00D44AA2" w:rsidRDefault="00F14F9B" w:rsidP="00F14F9B">
      <w:pPr>
        <w:pStyle w:val="Paragraphedeliste"/>
        <w:ind w:left="644"/>
        <w:jc w:val="both"/>
        <w:rPr>
          <w:rFonts w:ascii="Arial" w:hAnsi="Arial" w:cs="Arial"/>
          <w:b/>
          <w:sz w:val="22"/>
          <w:szCs w:val="22"/>
        </w:rPr>
      </w:pPr>
    </w:p>
    <w:p w14:paraId="6FEA2A6B" w14:textId="787BF9E2" w:rsidR="00F07DEC" w:rsidRDefault="00F07DEC" w:rsidP="00D340F9">
      <w:pPr>
        <w:pStyle w:val="Paragraphedeliste"/>
        <w:numPr>
          <w:ilvl w:val="0"/>
          <w:numId w:val="8"/>
        </w:numPr>
        <w:ind w:left="681" w:hanging="397"/>
        <w:jc w:val="both"/>
        <w:rPr>
          <w:rFonts w:ascii="Arial" w:hAnsi="Arial" w:cs="Arial"/>
          <w:b/>
          <w:sz w:val="22"/>
          <w:szCs w:val="22"/>
        </w:rPr>
      </w:pPr>
      <w:r w:rsidRPr="00D44AA2">
        <w:rPr>
          <w:rFonts w:ascii="Arial" w:hAnsi="Arial" w:cs="Arial"/>
          <w:b/>
          <w:sz w:val="22"/>
          <w:szCs w:val="22"/>
        </w:rPr>
        <w:t xml:space="preserve">Quels </w:t>
      </w:r>
      <w:r w:rsidR="00CA4E90" w:rsidRPr="00D44AA2">
        <w:rPr>
          <w:rFonts w:ascii="Arial" w:hAnsi="Arial" w:cs="Arial"/>
          <w:b/>
          <w:sz w:val="22"/>
          <w:szCs w:val="22"/>
        </w:rPr>
        <w:t xml:space="preserve">sont </w:t>
      </w:r>
      <w:r w:rsidRPr="00D44AA2">
        <w:rPr>
          <w:rFonts w:ascii="Arial" w:hAnsi="Arial" w:cs="Arial"/>
          <w:b/>
          <w:sz w:val="22"/>
          <w:szCs w:val="22"/>
        </w:rPr>
        <w:t>les apports de la finance comportementale dans la compréhension de l’irrationalité des investisseurs ?</w:t>
      </w:r>
    </w:p>
    <w:p w14:paraId="472E45E4" w14:textId="77777777" w:rsidR="00F14F9B" w:rsidRPr="00F14F9B" w:rsidRDefault="00F14F9B" w:rsidP="00F14F9B">
      <w:pPr>
        <w:jc w:val="both"/>
        <w:rPr>
          <w:rFonts w:ascii="Arial" w:hAnsi="Arial" w:cs="Arial"/>
          <w:b/>
          <w:sz w:val="22"/>
          <w:szCs w:val="22"/>
        </w:rPr>
      </w:pPr>
    </w:p>
    <w:p w14:paraId="056A3F3D" w14:textId="7D4765CA" w:rsidR="00AA48FD" w:rsidRPr="00D44AA2" w:rsidRDefault="00B06E82" w:rsidP="00EF1E9C">
      <w:pPr>
        <w:pStyle w:val="Paragraphedeliste"/>
        <w:numPr>
          <w:ilvl w:val="0"/>
          <w:numId w:val="8"/>
        </w:numPr>
        <w:jc w:val="both"/>
        <w:rPr>
          <w:rFonts w:ascii="Arial" w:hAnsi="Arial" w:cs="Arial"/>
          <w:b/>
          <w:sz w:val="22"/>
          <w:szCs w:val="22"/>
        </w:rPr>
      </w:pPr>
      <w:r>
        <w:rPr>
          <w:rFonts w:ascii="Arial" w:hAnsi="Arial" w:cs="Arial"/>
          <w:b/>
          <w:sz w:val="22"/>
          <w:szCs w:val="22"/>
        </w:rPr>
        <w:t>Expliquer</w:t>
      </w:r>
      <w:r w:rsidR="00C322C1" w:rsidRPr="00D44AA2">
        <w:rPr>
          <w:rFonts w:ascii="Arial" w:hAnsi="Arial" w:cs="Arial"/>
          <w:b/>
          <w:sz w:val="22"/>
          <w:szCs w:val="22"/>
        </w:rPr>
        <w:t xml:space="preserve"> l’évolution du cours boursier d’Energy+ (annexe 5) selon ces deux paradigmes de l’efficience et de la finance comportementale. Argumente</w:t>
      </w:r>
      <w:r>
        <w:rPr>
          <w:rFonts w:ascii="Arial" w:hAnsi="Arial" w:cs="Arial"/>
          <w:b/>
          <w:sz w:val="22"/>
          <w:szCs w:val="22"/>
        </w:rPr>
        <w:t>r</w:t>
      </w:r>
      <w:r w:rsidR="00C322C1" w:rsidRPr="00D44AA2">
        <w:rPr>
          <w:rFonts w:ascii="Arial" w:hAnsi="Arial" w:cs="Arial"/>
          <w:b/>
          <w:sz w:val="22"/>
          <w:szCs w:val="22"/>
        </w:rPr>
        <w:t xml:space="preserve"> cette baisse du cours boursier à partir de J.</w:t>
      </w:r>
    </w:p>
    <w:p w14:paraId="5808BE15" w14:textId="77777777" w:rsidR="00EF1E9C" w:rsidRPr="00D44AA2" w:rsidRDefault="00EF1E9C" w:rsidP="00EF1E9C">
      <w:pPr>
        <w:pStyle w:val="Paragraphedeliste"/>
        <w:ind w:left="644"/>
        <w:jc w:val="both"/>
        <w:rPr>
          <w:rFonts w:ascii="Arial" w:hAnsi="Arial" w:cs="Arial"/>
          <w:b/>
          <w:sz w:val="22"/>
          <w:szCs w:val="22"/>
        </w:rPr>
      </w:pPr>
    </w:p>
    <w:p w14:paraId="62710AF0" w14:textId="77777777" w:rsidR="00EF1E9C" w:rsidRPr="00D44AA2" w:rsidRDefault="00EF1E9C" w:rsidP="00EF1E9C">
      <w:pPr>
        <w:pStyle w:val="Paragraphedeliste"/>
        <w:ind w:left="644"/>
        <w:jc w:val="both"/>
        <w:rPr>
          <w:rFonts w:ascii="Arial" w:hAnsi="Arial" w:cs="Arial"/>
          <w:b/>
          <w:sz w:val="22"/>
          <w:szCs w:val="22"/>
        </w:rPr>
      </w:pPr>
    </w:p>
    <w:p w14:paraId="25BD74D4" w14:textId="140B8EB4" w:rsidR="00AA48FD" w:rsidRPr="00D44AA2" w:rsidRDefault="00AA48FD" w:rsidP="00EF1E9C">
      <w:pPr>
        <w:pStyle w:val="Titre1"/>
        <w:keepNext w:val="0"/>
        <w:pBdr>
          <w:top w:val="single" w:sz="4" w:space="1" w:color="auto"/>
          <w:left w:val="single" w:sz="4" w:space="4" w:color="auto"/>
          <w:bottom w:val="single" w:sz="4" w:space="1" w:color="auto"/>
          <w:right w:val="single" w:sz="4" w:space="4" w:color="auto"/>
        </w:pBdr>
        <w:shd w:val="clear" w:color="auto" w:fill="C0C0C0"/>
        <w:jc w:val="center"/>
        <w:rPr>
          <w:rFonts w:ascii="Arial" w:hAnsi="Arial" w:cs="Arial"/>
          <w:position w:val="-48"/>
          <w:sz w:val="28"/>
          <w:szCs w:val="28"/>
        </w:rPr>
      </w:pPr>
      <w:r w:rsidRPr="00D44AA2">
        <w:rPr>
          <w:rFonts w:ascii="Arial" w:hAnsi="Arial" w:cs="Arial"/>
          <w:caps/>
          <w:position w:val="-48"/>
          <w:sz w:val="28"/>
          <w:szCs w:val="28"/>
        </w:rPr>
        <w:t>DOSSIER 4 –</w:t>
      </w:r>
      <w:r w:rsidR="00081049">
        <w:rPr>
          <w:rFonts w:ascii="Arial" w:hAnsi="Arial" w:cs="Arial"/>
          <w:caps/>
          <w:position w:val="-48"/>
          <w:sz w:val="28"/>
          <w:szCs w:val="28"/>
        </w:rPr>
        <w:t xml:space="preserve"> </w:t>
      </w:r>
      <w:r w:rsidRPr="00D44AA2">
        <w:rPr>
          <w:rFonts w:ascii="Arial" w:hAnsi="Arial" w:cs="Arial"/>
          <w:caps/>
          <w:position w:val="-48"/>
          <w:sz w:val="28"/>
          <w:szCs w:val="28"/>
        </w:rPr>
        <w:t>RSE</w:t>
      </w:r>
      <w:r w:rsidR="005B3600" w:rsidRPr="00D44AA2">
        <w:rPr>
          <w:rFonts w:ascii="Arial" w:hAnsi="Arial" w:cs="Arial"/>
          <w:caps/>
          <w:position w:val="-48"/>
          <w:sz w:val="28"/>
          <w:szCs w:val="28"/>
        </w:rPr>
        <w:t xml:space="preserve"> </w:t>
      </w:r>
      <w:r w:rsidR="005B3600" w:rsidRPr="00D44AA2">
        <w:rPr>
          <w:rFonts w:ascii="Arial" w:hAnsi="Arial" w:cs="Arial"/>
          <w:i/>
          <w:position w:val="-48"/>
          <w:sz w:val="24"/>
          <w:szCs w:val="24"/>
        </w:rPr>
        <w:t>(Responsabilité Sociétale des Entreprises)</w:t>
      </w:r>
    </w:p>
    <w:p w14:paraId="7037A21C" w14:textId="77777777" w:rsidR="00AA48FD" w:rsidRPr="00D44AA2" w:rsidRDefault="00AA48FD" w:rsidP="00D44AA2">
      <w:pPr>
        <w:spacing w:after="120"/>
        <w:jc w:val="both"/>
        <w:rPr>
          <w:rFonts w:ascii="Arial" w:hAnsi="Arial" w:cs="Arial"/>
          <w:sz w:val="22"/>
          <w:szCs w:val="22"/>
        </w:rPr>
      </w:pPr>
    </w:p>
    <w:p w14:paraId="06AA77AF" w14:textId="12E06444" w:rsidR="00D507F1" w:rsidRPr="00D44AA2" w:rsidRDefault="004D22B7" w:rsidP="00D44AA2">
      <w:pPr>
        <w:spacing w:after="120"/>
        <w:jc w:val="both"/>
        <w:rPr>
          <w:rFonts w:ascii="Arial" w:hAnsi="Arial" w:cs="Arial"/>
          <w:sz w:val="22"/>
          <w:szCs w:val="22"/>
        </w:rPr>
      </w:pPr>
      <w:r w:rsidRPr="00D44AA2">
        <w:rPr>
          <w:rFonts w:ascii="Arial" w:hAnsi="Arial" w:cs="Arial"/>
          <w:sz w:val="22"/>
          <w:szCs w:val="22"/>
        </w:rPr>
        <w:t>Energy + apporte u</w:t>
      </w:r>
      <w:r w:rsidR="00D507F1" w:rsidRPr="00D44AA2">
        <w:rPr>
          <w:rFonts w:ascii="Arial" w:hAnsi="Arial" w:cs="Arial"/>
          <w:sz w:val="22"/>
          <w:szCs w:val="22"/>
        </w:rPr>
        <w:t xml:space="preserve">ne attention particulière au dialogue avec ses parties prenantes pour mieux comprendre leurs attentes et cibler ses </w:t>
      </w:r>
      <w:r w:rsidRPr="00D44AA2">
        <w:rPr>
          <w:rFonts w:ascii="Arial" w:hAnsi="Arial" w:cs="Arial"/>
          <w:sz w:val="22"/>
          <w:szCs w:val="22"/>
        </w:rPr>
        <w:t xml:space="preserve">propres </w:t>
      </w:r>
      <w:r w:rsidR="00D507F1" w:rsidRPr="00D44AA2">
        <w:rPr>
          <w:rFonts w:ascii="Arial" w:hAnsi="Arial" w:cs="Arial"/>
          <w:sz w:val="22"/>
          <w:szCs w:val="22"/>
        </w:rPr>
        <w:t xml:space="preserve">actions. Construire une matrice de matérialité </w:t>
      </w:r>
      <w:r w:rsidR="00CA4E90" w:rsidRPr="00D44AA2">
        <w:rPr>
          <w:rFonts w:ascii="Arial" w:hAnsi="Arial" w:cs="Arial"/>
          <w:sz w:val="22"/>
          <w:szCs w:val="22"/>
        </w:rPr>
        <w:t>(annexe</w:t>
      </w:r>
      <w:r w:rsidR="000823D9">
        <w:rPr>
          <w:rFonts w:ascii="Arial" w:hAnsi="Arial" w:cs="Arial"/>
          <w:sz w:val="22"/>
          <w:szCs w:val="22"/>
        </w:rPr>
        <w:t> </w:t>
      </w:r>
      <w:r w:rsidR="00CA4E90" w:rsidRPr="00D44AA2">
        <w:rPr>
          <w:rFonts w:ascii="Arial" w:hAnsi="Arial" w:cs="Arial"/>
          <w:sz w:val="22"/>
          <w:szCs w:val="22"/>
        </w:rPr>
        <w:t xml:space="preserve">6) </w:t>
      </w:r>
      <w:r w:rsidR="00D507F1" w:rsidRPr="00D44AA2">
        <w:rPr>
          <w:rFonts w:ascii="Arial" w:hAnsi="Arial" w:cs="Arial"/>
          <w:sz w:val="22"/>
          <w:szCs w:val="22"/>
        </w:rPr>
        <w:t>est une pratique qui vise à hiérarchiser les enjeux économiques, financiers, sociétaux et environnementaux au regard de l’ambition du Groupe et des attentes de ses parties prenantes.</w:t>
      </w:r>
    </w:p>
    <w:p w14:paraId="54BE1923" w14:textId="00B9398B" w:rsidR="00AA48FD" w:rsidRPr="00D44AA2" w:rsidRDefault="00D507F1" w:rsidP="00D44AA2">
      <w:pPr>
        <w:spacing w:after="120"/>
        <w:jc w:val="both"/>
        <w:rPr>
          <w:rFonts w:ascii="Arial" w:hAnsi="Arial" w:cs="Arial"/>
          <w:sz w:val="22"/>
          <w:szCs w:val="22"/>
        </w:rPr>
      </w:pPr>
      <w:r w:rsidRPr="00D44AA2">
        <w:rPr>
          <w:rFonts w:ascii="Arial" w:hAnsi="Arial" w:cs="Arial"/>
          <w:sz w:val="22"/>
          <w:szCs w:val="22"/>
        </w:rPr>
        <w:t>Sa matrice de matérialité</w:t>
      </w:r>
      <w:r w:rsidR="001F49DE" w:rsidRPr="00D44AA2">
        <w:rPr>
          <w:rFonts w:ascii="Arial" w:hAnsi="Arial" w:cs="Arial"/>
          <w:sz w:val="22"/>
          <w:szCs w:val="22"/>
        </w:rPr>
        <w:t xml:space="preserve"> </w:t>
      </w:r>
      <w:r w:rsidRPr="00D44AA2">
        <w:rPr>
          <w:rFonts w:ascii="Arial" w:hAnsi="Arial" w:cs="Arial"/>
          <w:sz w:val="22"/>
          <w:szCs w:val="22"/>
        </w:rPr>
        <w:t>comprend 23 enjeux dont 18 cruciaux et 5 majeurs, répartis de façon homogène par type d’enjeux : social, sociétal, environnement</w:t>
      </w:r>
      <w:r w:rsidR="00D340F9">
        <w:rPr>
          <w:rFonts w:ascii="Arial" w:hAnsi="Arial" w:cs="Arial"/>
          <w:sz w:val="22"/>
          <w:szCs w:val="22"/>
        </w:rPr>
        <w:t>al</w:t>
      </w:r>
      <w:r w:rsidRPr="00D44AA2">
        <w:rPr>
          <w:rFonts w:ascii="Arial" w:hAnsi="Arial" w:cs="Arial"/>
          <w:sz w:val="22"/>
          <w:szCs w:val="22"/>
        </w:rPr>
        <w:t xml:space="preserve">, </w:t>
      </w:r>
      <w:r w:rsidR="00D340F9">
        <w:rPr>
          <w:rFonts w:ascii="Arial" w:hAnsi="Arial" w:cs="Arial"/>
          <w:sz w:val="22"/>
          <w:szCs w:val="22"/>
        </w:rPr>
        <w:t>d’</w:t>
      </w:r>
      <w:r w:rsidRPr="00D44AA2">
        <w:rPr>
          <w:rFonts w:ascii="Arial" w:hAnsi="Arial" w:cs="Arial"/>
          <w:sz w:val="22"/>
          <w:szCs w:val="22"/>
        </w:rPr>
        <w:t xml:space="preserve">affaires, </w:t>
      </w:r>
      <w:r w:rsidR="00D340F9">
        <w:rPr>
          <w:rFonts w:ascii="Arial" w:hAnsi="Arial" w:cs="Arial"/>
          <w:sz w:val="22"/>
          <w:szCs w:val="22"/>
        </w:rPr>
        <w:t xml:space="preserve">de </w:t>
      </w:r>
      <w:r w:rsidRPr="00D44AA2">
        <w:rPr>
          <w:rFonts w:ascii="Arial" w:hAnsi="Arial" w:cs="Arial"/>
          <w:sz w:val="22"/>
          <w:szCs w:val="22"/>
        </w:rPr>
        <w:t xml:space="preserve">gouvernance et </w:t>
      </w:r>
      <w:r w:rsidR="00D340F9">
        <w:rPr>
          <w:rFonts w:ascii="Arial" w:hAnsi="Arial" w:cs="Arial"/>
          <w:sz w:val="22"/>
          <w:szCs w:val="22"/>
        </w:rPr>
        <w:t xml:space="preserve">de </w:t>
      </w:r>
      <w:r w:rsidRPr="00D44AA2">
        <w:rPr>
          <w:rFonts w:ascii="Arial" w:hAnsi="Arial" w:cs="Arial"/>
          <w:sz w:val="22"/>
          <w:szCs w:val="22"/>
        </w:rPr>
        <w:t>finance.</w:t>
      </w:r>
    </w:p>
    <w:p w14:paraId="1BD74622" w14:textId="4598D0F6" w:rsidR="001117C3" w:rsidRPr="00D44AA2" w:rsidRDefault="001117C3" w:rsidP="00D44AA2">
      <w:pPr>
        <w:spacing w:after="120"/>
        <w:jc w:val="both"/>
        <w:rPr>
          <w:rFonts w:ascii="Arial" w:hAnsi="Arial" w:cs="Arial"/>
          <w:sz w:val="22"/>
          <w:szCs w:val="22"/>
        </w:rPr>
      </w:pPr>
      <w:r w:rsidRPr="00D44AA2">
        <w:rPr>
          <w:rFonts w:ascii="Arial" w:hAnsi="Arial" w:cs="Arial"/>
          <w:sz w:val="22"/>
          <w:szCs w:val="22"/>
        </w:rPr>
        <w:t>Les enjeux « cruciaux » sont jugés de forte importance des deux points de vue, du Groupe et de ses parties prenantes. Les enjeux « majeur</w:t>
      </w:r>
      <w:r w:rsidR="004D22B7" w:rsidRPr="00D44AA2">
        <w:rPr>
          <w:rFonts w:ascii="Arial" w:hAnsi="Arial" w:cs="Arial"/>
          <w:sz w:val="22"/>
          <w:szCs w:val="22"/>
        </w:rPr>
        <w:t>s</w:t>
      </w:r>
      <w:r w:rsidRPr="00D44AA2">
        <w:rPr>
          <w:rFonts w:ascii="Arial" w:hAnsi="Arial" w:cs="Arial"/>
          <w:sz w:val="22"/>
          <w:szCs w:val="22"/>
        </w:rPr>
        <w:t xml:space="preserve"> » sont jugés de forte importance d’un seul des points de vue</w:t>
      </w:r>
      <w:r w:rsidR="004D22B7" w:rsidRPr="00D44AA2">
        <w:rPr>
          <w:rFonts w:ascii="Arial" w:hAnsi="Arial" w:cs="Arial"/>
          <w:sz w:val="22"/>
          <w:szCs w:val="22"/>
        </w:rPr>
        <w:t xml:space="preserve"> -</w:t>
      </w:r>
      <w:r w:rsidRPr="00D44AA2">
        <w:rPr>
          <w:rFonts w:ascii="Arial" w:hAnsi="Arial" w:cs="Arial"/>
          <w:sz w:val="22"/>
          <w:szCs w:val="22"/>
        </w:rPr>
        <w:t xml:space="preserve"> </w:t>
      </w:r>
      <w:r w:rsidR="004D22B7" w:rsidRPr="00D44AA2">
        <w:rPr>
          <w:rFonts w:ascii="Arial" w:hAnsi="Arial" w:cs="Arial"/>
          <w:sz w:val="22"/>
          <w:szCs w:val="22"/>
        </w:rPr>
        <w:t xml:space="preserve">celui </w:t>
      </w:r>
      <w:r w:rsidRPr="00D44AA2">
        <w:rPr>
          <w:rFonts w:ascii="Arial" w:hAnsi="Arial" w:cs="Arial"/>
          <w:sz w:val="22"/>
          <w:szCs w:val="22"/>
        </w:rPr>
        <w:t xml:space="preserve">du Groupe ou bien </w:t>
      </w:r>
      <w:r w:rsidR="004D22B7" w:rsidRPr="00D44AA2">
        <w:rPr>
          <w:rFonts w:ascii="Arial" w:hAnsi="Arial" w:cs="Arial"/>
          <w:sz w:val="22"/>
          <w:szCs w:val="22"/>
        </w:rPr>
        <w:t xml:space="preserve">celui </w:t>
      </w:r>
      <w:r w:rsidRPr="00D44AA2">
        <w:rPr>
          <w:rFonts w:ascii="Arial" w:hAnsi="Arial" w:cs="Arial"/>
          <w:sz w:val="22"/>
          <w:szCs w:val="22"/>
        </w:rPr>
        <w:t xml:space="preserve">des parties prenantes </w:t>
      </w:r>
      <w:r w:rsidR="004D22B7" w:rsidRPr="00D44AA2">
        <w:rPr>
          <w:rFonts w:ascii="Arial" w:hAnsi="Arial" w:cs="Arial"/>
          <w:sz w:val="22"/>
          <w:szCs w:val="22"/>
        </w:rPr>
        <w:t xml:space="preserve">- </w:t>
      </w:r>
      <w:r w:rsidRPr="00D44AA2">
        <w:rPr>
          <w:rFonts w:ascii="Arial" w:hAnsi="Arial" w:cs="Arial"/>
          <w:sz w:val="22"/>
          <w:szCs w:val="22"/>
        </w:rPr>
        <w:t>et de moyenne importance de l’autre, ou bien jugés de moyenne importance des deux points de vue, du Groupe et de ses parties prenantes</w:t>
      </w:r>
      <w:r w:rsidR="00B06E82">
        <w:rPr>
          <w:rFonts w:ascii="Arial" w:hAnsi="Arial" w:cs="Arial"/>
          <w:sz w:val="22"/>
          <w:szCs w:val="22"/>
        </w:rPr>
        <w:t>.</w:t>
      </w:r>
    </w:p>
    <w:p w14:paraId="2CAA47D7" w14:textId="7D7697AF" w:rsidR="00EF1E9C" w:rsidRDefault="00EF1E9C" w:rsidP="00D44AA2">
      <w:pPr>
        <w:spacing w:after="120"/>
        <w:jc w:val="both"/>
        <w:rPr>
          <w:rFonts w:ascii="Arial" w:hAnsi="Arial" w:cs="Arial"/>
          <w:sz w:val="22"/>
          <w:szCs w:val="22"/>
        </w:rPr>
      </w:pPr>
    </w:p>
    <w:p w14:paraId="1B92D382" w14:textId="77777777" w:rsidR="00AA48FD" w:rsidRPr="00D44AA2" w:rsidRDefault="00AA48FD" w:rsidP="00EF1E9C">
      <w:pPr>
        <w:jc w:val="center"/>
        <w:rPr>
          <w:rFonts w:ascii="Arial" w:hAnsi="Arial" w:cs="Arial"/>
          <w:b/>
          <w:sz w:val="22"/>
          <w:szCs w:val="22"/>
          <w:u w:val="single"/>
        </w:rPr>
      </w:pPr>
      <w:r w:rsidRPr="00D44AA2">
        <w:rPr>
          <w:rFonts w:ascii="Arial" w:hAnsi="Arial" w:cs="Arial"/>
          <w:b/>
          <w:sz w:val="22"/>
          <w:szCs w:val="22"/>
          <w:u w:val="single"/>
        </w:rPr>
        <w:t>Travail à faire</w:t>
      </w:r>
    </w:p>
    <w:p w14:paraId="6AC8D1E1" w14:textId="77777777" w:rsidR="00AA48FD" w:rsidRPr="00D44AA2" w:rsidRDefault="00AA48FD" w:rsidP="00EF1E9C">
      <w:pPr>
        <w:jc w:val="both"/>
        <w:rPr>
          <w:rFonts w:ascii="Arial" w:hAnsi="Arial" w:cs="Arial"/>
          <w:b/>
          <w:sz w:val="22"/>
          <w:szCs w:val="22"/>
        </w:rPr>
      </w:pPr>
    </w:p>
    <w:p w14:paraId="352892A9" w14:textId="64E90134" w:rsidR="00B254EC" w:rsidRDefault="00B06E82" w:rsidP="00EF1E9C">
      <w:pPr>
        <w:pStyle w:val="Paragraphedeliste"/>
        <w:numPr>
          <w:ilvl w:val="0"/>
          <w:numId w:val="11"/>
        </w:numPr>
        <w:jc w:val="both"/>
        <w:rPr>
          <w:rFonts w:ascii="Arial" w:hAnsi="Arial" w:cs="Arial"/>
          <w:b/>
          <w:sz w:val="22"/>
          <w:szCs w:val="22"/>
        </w:rPr>
      </w:pPr>
      <w:r>
        <w:rPr>
          <w:rFonts w:ascii="Arial" w:hAnsi="Arial" w:cs="Arial"/>
          <w:b/>
          <w:sz w:val="22"/>
          <w:szCs w:val="22"/>
        </w:rPr>
        <w:t xml:space="preserve">Qu’est-ce </w:t>
      </w:r>
      <w:r w:rsidR="00D5350F" w:rsidRPr="00D44AA2">
        <w:rPr>
          <w:rFonts w:ascii="Arial" w:hAnsi="Arial" w:cs="Arial"/>
          <w:b/>
          <w:sz w:val="22"/>
          <w:szCs w:val="22"/>
        </w:rPr>
        <w:t>que l’approche partenariale de la gouvernance ?</w:t>
      </w:r>
      <w:r w:rsidR="009C7529" w:rsidRPr="00D44AA2">
        <w:rPr>
          <w:rFonts w:ascii="Arial" w:hAnsi="Arial" w:cs="Arial"/>
          <w:b/>
          <w:sz w:val="22"/>
          <w:szCs w:val="22"/>
        </w:rPr>
        <w:t xml:space="preserve"> Quelles sont les différences entre l’approche partenariale et l’approche actionnariale de la gouvernance ?</w:t>
      </w:r>
    </w:p>
    <w:p w14:paraId="59E00A92" w14:textId="77777777" w:rsidR="00F14F9B" w:rsidRPr="00D44AA2" w:rsidRDefault="00F14F9B" w:rsidP="00F14F9B">
      <w:pPr>
        <w:pStyle w:val="Paragraphedeliste"/>
        <w:ind w:left="644"/>
        <w:jc w:val="both"/>
        <w:rPr>
          <w:rFonts w:ascii="Arial" w:hAnsi="Arial" w:cs="Arial"/>
          <w:b/>
          <w:sz w:val="22"/>
          <w:szCs w:val="22"/>
        </w:rPr>
      </w:pPr>
    </w:p>
    <w:p w14:paraId="708F22DA" w14:textId="03026559" w:rsidR="00B254EC" w:rsidRDefault="00B254EC" w:rsidP="00EF1E9C">
      <w:pPr>
        <w:pStyle w:val="Paragraphedeliste"/>
        <w:numPr>
          <w:ilvl w:val="0"/>
          <w:numId w:val="11"/>
        </w:numPr>
        <w:jc w:val="both"/>
        <w:rPr>
          <w:rFonts w:ascii="Arial" w:hAnsi="Arial" w:cs="Arial"/>
          <w:b/>
          <w:sz w:val="22"/>
          <w:szCs w:val="22"/>
        </w:rPr>
      </w:pPr>
      <w:r w:rsidRPr="00D44AA2">
        <w:rPr>
          <w:rFonts w:ascii="Arial" w:hAnsi="Arial" w:cs="Arial"/>
          <w:b/>
          <w:sz w:val="22"/>
          <w:szCs w:val="22"/>
        </w:rPr>
        <w:t>Quelles sont les différentes parties prenantes pour un groupe en transition énergétique comme Energy+ ?</w:t>
      </w:r>
    </w:p>
    <w:p w14:paraId="0DF6C6CD" w14:textId="77777777" w:rsidR="00F14F9B" w:rsidRPr="00F14F9B" w:rsidRDefault="00F14F9B" w:rsidP="00F14F9B">
      <w:pPr>
        <w:jc w:val="both"/>
        <w:rPr>
          <w:rFonts w:ascii="Arial" w:hAnsi="Arial" w:cs="Arial"/>
          <w:b/>
          <w:sz w:val="22"/>
          <w:szCs w:val="22"/>
        </w:rPr>
      </w:pPr>
    </w:p>
    <w:p w14:paraId="3E38EDA5" w14:textId="7A7C6BCD" w:rsidR="00B254EC" w:rsidRPr="00D44AA2" w:rsidRDefault="00B254EC" w:rsidP="00EF1E9C">
      <w:pPr>
        <w:pStyle w:val="Paragraphedeliste"/>
        <w:numPr>
          <w:ilvl w:val="0"/>
          <w:numId w:val="11"/>
        </w:numPr>
        <w:jc w:val="both"/>
        <w:rPr>
          <w:rFonts w:ascii="Arial" w:hAnsi="Arial" w:cs="Arial"/>
          <w:b/>
          <w:sz w:val="22"/>
          <w:szCs w:val="22"/>
        </w:rPr>
      </w:pPr>
      <w:r w:rsidRPr="00D44AA2">
        <w:rPr>
          <w:rFonts w:ascii="Arial" w:hAnsi="Arial" w:cs="Arial"/>
          <w:b/>
          <w:sz w:val="22"/>
          <w:szCs w:val="22"/>
        </w:rPr>
        <w:t>Classe</w:t>
      </w:r>
      <w:r w:rsidR="00B06E82">
        <w:rPr>
          <w:rFonts w:ascii="Arial" w:hAnsi="Arial" w:cs="Arial"/>
          <w:b/>
          <w:sz w:val="22"/>
          <w:szCs w:val="22"/>
        </w:rPr>
        <w:t>r</w:t>
      </w:r>
      <w:r w:rsidRPr="00D44AA2">
        <w:rPr>
          <w:rFonts w:ascii="Arial" w:hAnsi="Arial" w:cs="Arial"/>
          <w:b/>
          <w:sz w:val="22"/>
          <w:szCs w:val="22"/>
        </w:rPr>
        <w:t xml:space="preserve"> les enjeux cruciaux pour le groupe et pour </w:t>
      </w:r>
      <w:r w:rsidR="00630725" w:rsidRPr="00D44AA2">
        <w:rPr>
          <w:rFonts w:ascii="Arial" w:hAnsi="Arial" w:cs="Arial"/>
          <w:b/>
          <w:sz w:val="22"/>
          <w:szCs w:val="22"/>
        </w:rPr>
        <w:t xml:space="preserve">les parties prenantes selon </w:t>
      </w:r>
      <w:r w:rsidRPr="00D44AA2">
        <w:rPr>
          <w:rFonts w:ascii="Arial" w:hAnsi="Arial" w:cs="Arial"/>
          <w:b/>
          <w:sz w:val="22"/>
          <w:szCs w:val="22"/>
        </w:rPr>
        <w:t>six items. Compare</w:t>
      </w:r>
      <w:r w:rsidR="00B06E82">
        <w:rPr>
          <w:rFonts w:ascii="Arial" w:hAnsi="Arial" w:cs="Arial"/>
          <w:b/>
          <w:sz w:val="22"/>
          <w:szCs w:val="22"/>
        </w:rPr>
        <w:t>r</w:t>
      </w:r>
      <w:r w:rsidRPr="00D44AA2">
        <w:rPr>
          <w:rFonts w:ascii="Arial" w:hAnsi="Arial" w:cs="Arial"/>
          <w:b/>
          <w:sz w:val="22"/>
          <w:szCs w:val="22"/>
        </w:rPr>
        <w:t xml:space="preserve"> les enjeux les plus cruciaux pour les parties prenantes et l’engagement RSE d’Energy+ d</w:t>
      </w:r>
      <w:r w:rsidR="00630725" w:rsidRPr="00D44AA2">
        <w:rPr>
          <w:rFonts w:ascii="Arial" w:hAnsi="Arial" w:cs="Arial"/>
          <w:b/>
          <w:sz w:val="22"/>
          <w:szCs w:val="22"/>
        </w:rPr>
        <w:t>ans la création de valeur.</w:t>
      </w:r>
    </w:p>
    <w:p w14:paraId="2901B4E0" w14:textId="77777777" w:rsidR="00630725" w:rsidRPr="00D44AA2" w:rsidRDefault="00630725" w:rsidP="00630725">
      <w:pPr>
        <w:pStyle w:val="Paragraphedeliste"/>
        <w:ind w:left="644"/>
        <w:jc w:val="both"/>
        <w:rPr>
          <w:rFonts w:ascii="Arial" w:hAnsi="Arial" w:cs="Arial"/>
          <w:b/>
          <w:sz w:val="22"/>
          <w:szCs w:val="22"/>
        </w:rPr>
      </w:pPr>
    </w:p>
    <w:p w14:paraId="7C3EA97C" w14:textId="77777777" w:rsidR="00040E69" w:rsidRDefault="00040E69">
      <w:pPr>
        <w:rPr>
          <w:rFonts w:ascii="Arial" w:hAnsi="Arial" w:cs="Arial"/>
          <w:b/>
        </w:rPr>
      </w:pPr>
      <w:r>
        <w:rPr>
          <w:rFonts w:ascii="Arial" w:hAnsi="Arial" w:cs="Arial"/>
          <w:b/>
        </w:rPr>
        <w:br w:type="page"/>
      </w:r>
    </w:p>
    <w:p w14:paraId="1F3BB168" w14:textId="250642D5" w:rsidR="00450DC9" w:rsidRPr="00D44AA2" w:rsidRDefault="00450DC9" w:rsidP="00EF1E9C">
      <w:pPr>
        <w:jc w:val="center"/>
        <w:rPr>
          <w:rFonts w:ascii="Arial" w:hAnsi="Arial" w:cs="Arial"/>
          <w:b/>
        </w:rPr>
      </w:pPr>
      <w:r w:rsidRPr="00D44AA2">
        <w:rPr>
          <w:rFonts w:ascii="Arial" w:hAnsi="Arial" w:cs="Arial"/>
          <w:b/>
        </w:rPr>
        <w:lastRenderedPageBreak/>
        <w:t>ANNEXES</w:t>
      </w:r>
    </w:p>
    <w:p w14:paraId="5011B1D4" w14:textId="77777777" w:rsidR="00450DC9" w:rsidRPr="00D44AA2" w:rsidRDefault="00450DC9" w:rsidP="00EF1E9C">
      <w:pPr>
        <w:jc w:val="center"/>
        <w:rPr>
          <w:rFonts w:ascii="Arial" w:hAnsi="Arial" w:cs="Arial"/>
          <w:b/>
        </w:rPr>
      </w:pPr>
    </w:p>
    <w:p w14:paraId="51E0040E" w14:textId="1EDA32C0" w:rsidR="00E97FBF" w:rsidRPr="00D44AA2" w:rsidRDefault="00022585" w:rsidP="00EF1E9C">
      <w:pPr>
        <w:jc w:val="center"/>
        <w:rPr>
          <w:rFonts w:ascii="Arial" w:hAnsi="Arial" w:cs="Arial"/>
          <w:b/>
        </w:rPr>
      </w:pPr>
      <w:r w:rsidRPr="00D44AA2">
        <w:rPr>
          <w:rFonts w:ascii="Arial" w:hAnsi="Arial" w:cs="Arial"/>
          <w:b/>
        </w:rPr>
        <w:t>Annexe 1 </w:t>
      </w:r>
      <w:r w:rsidR="00B06E82">
        <w:rPr>
          <w:rFonts w:ascii="Arial" w:hAnsi="Arial" w:cs="Arial"/>
          <w:b/>
        </w:rPr>
        <w:t>-</w:t>
      </w:r>
      <w:r w:rsidRPr="00D44AA2">
        <w:rPr>
          <w:rFonts w:ascii="Arial" w:hAnsi="Arial" w:cs="Arial"/>
          <w:b/>
        </w:rPr>
        <w:t xml:space="preserve"> Indicateurs de performance d’Energy+</w:t>
      </w:r>
    </w:p>
    <w:p w14:paraId="1A087876" w14:textId="77777777" w:rsidR="00022585" w:rsidRPr="00D44AA2" w:rsidRDefault="00022585" w:rsidP="00E97FBF">
      <w:pPr>
        <w:rPr>
          <w:rFonts w:ascii="Arial" w:hAnsi="Arial" w:cs="Arial"/>
          <w:b/>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1854"/>
        <w:gridCol w:w="1854"/>
        <w:gridCol w:w="1856"/>
      </w:tblGrid>
      <w:tr w:rsidR="00022585" w:rsidRPr="00D44AA2" w14:paraId="72487285" w14:textId="77777777" w:rsidTr="00F173E5">
        <w:trPr>
          <w:trHeight w:val="234"/>
          <w:jc w:val="center"/>
        </w:trPr>
        <w:tc>
          <w:tcPr>
            <w:tcW w:w="3681" w:type="dxa"/>
            <w:shd w:val="clear" w:color="auto" w:fill="F2F2F2" w:themeFill="background1" w:themeFillShade="F2"/>
            <w:noWrap/>
            <w:vAlign w:val="bottom"/>
            <w:hideMark/>
          </w:tcPr>
          <w:p w14:paraId="52020582" w14:textId="77777777" w:rsidR="00022585" w:rsidRPr="00D44AA2" w:rsidRDefault="00022585" w:rsidP="00022585">
            <w:pPr>
              <w:rPr>
                <w:rFonts w:ascii="Arial" w:hAnsi="Arial" w:cs="Arial"/>
              </w:rPr>
            </w:pPr>
          </w:p>
        </w:tc>
        <w:tc>
          <w:tcPr>
            <w:tcW w:w="1854" w:type="dxa"/>
            <w:shd w:val="clear" w:color="auto" w:fill="F2F2F2" w:themeFill="background1" w:themeFillShade="F2"/>
            <w:noWrap/>
            <w:vAlign w:val="bottom"/>
            <w:hideMark/>
          </w:tcPr>
          <w:p w14:paraId="329A205F" w14:textId="60D3A23C" w:rsidR="00022585" w:rsidRPr="00D44AA2" w:rsidRDefault="00022585" w:rsidP="00022585">
            <w:pPr>
              <w:jc w:val="right"/>
              <w:rPr>
                <w:rFonts w:ascii="Arial" w:hAnsi="Arial" w:cs="Arial"/>
                <w:b/>
                <w:bCs/>
                <w:color w:val="000000"/>
                <w:sz w:val="22"/>
                <w:szCs w:val="22"/>
              </w:rPr>
            </w:pPr>
            <w:r w:rsidRPr="00D44AA2">
              <w:rPr>
                <w:rFonts w:ascii="Arial" w:hAnsi="Arial" w:cs="Arial"/>
                <w:b/>
                <w:bCs/>
                <w:color w:val="000000"/>
                <w:sz w:val="22"/>
                <w:szCs w:val="22"/>
              </w:rPr>
              <w:t>31/12/</w:t>
            </w:r>
            <w:r w:rsidR="00040E69">
              <w:rPr>
                <w:rFonts w:ascii="Arial" w:hAnsi="Arial" w:cs="Arial"/>
                <w:b/>
                <w:bCs/>
                <w:color w:val="000000"/>
                <w:sz w:val="22"/>
                <w:szCs w:val="22"/>
              </w:rPr>
              <w:t>2021</w:t>
            </w:r>
          </w:p>
        </w:tc>
        <w:tc>
          <w:tcPr>
            <w:tcW w:w="1854" w:type="dxa"/>
            <w:shd w:val="clear" w:color="auto" w:fill="F2F2F2" w:themeFill="background1" w:themeFillShade="F2"/>
            <w:noWrap/>
            <w:vAlign w:val="bottom"/>
            <w:hideMark/>
          </w:tcPr>
          <w:p w14:paraId="5DD8B5AD" w14:textId="0D469CF1" w:rsidR="00022585" w:rsidRPr="00D44AA2" w:rsidRDefault="00022585" w:rsidP="00022585">
            <w:pPr>
              <w:jc w:val="right"/>
              <w:rPr>
                <w:rFonts w:ascii="Arial" w:hAnsi="Arial" w:cs="Arial"/>
                <w:b/>
                <w:bCs/>
                <w:color w:val="000000"/>
                <w:sz w:val="22"/>
                <w:szCs w:val="22"/>
              </w:rPr>
            </w:pPr>
            <w:r w:rsidRPr="00D44AA2">
              <w:rPr>
                <w:rFonts w:ascii="Arial" w:hAnsi="Arial" w:cs="Arial"/>
                <w:b/>
                <w:bCs/>
                <w:color w:val="000000"/>
                <w:sz w:val="22"/>
                <w:szCs w:val="22"/>
              </w:rPr>
              <w:t>31/12/</w:t>
            </w:r>
            <w:r w:rsidR="00040E69">
              <w:rPr>
                <w:rFonts w:ascii="Arial" w:hAnsi="Arial" w:cs="Arial"/>
                <w:b/>
                <w:bCs/>
                <w:color w:val="000000"/>
                <w:sz w:val="22"/>
                <w:szCs w:val="22"/>
              </w:rPr>
              <w:t>2020</w:t>
            </w:r>
          </w:p>
        </w:tc>
        <w:tc>
          <w:tcPr>
            <w:tcW w:w="1854" w:type="dxa"/>
            <w:shd w:val="clear" w:color="auto" w:fill="F2F2F2" w:themeFill="background1" w:themeFillShade="F2"/>
            <w:noWrap/>
            <w:vAlign w:val="bottom"/>
            <w:hideMark/>
          </w:tcPr>
          <w:p w14:paraId="5DBE8D88" w14:textId="75C88D4E" w:rsidR="00022585" w:rsidRPr="00D44AA2" w:rsidRDefault="00022585" w:rsidP="00022585">
            <w:pPr>
              <w:jc w:val="right"/>
              <w:rPr>
                <w:rFonts w:ascii="Arial" w:hAnsi="Arial" w:cs="Arial"/>
                <w:b/>
                <w:bCs/>
                <w:color w:val="000000"/>
                <w:sz w:val="22"/>
                <w:szCs w:val="22"/>
              </w:rPr>
            </w:pPr>
            <w:r w:rsidRPr="00D44AA2">
              <w:rPr>
                <w:rFonts w:ascii="Arial" w:hAnsi="Arial" w:cs="Arial"/>
                <w:b/>
                <w:bCs/>
                <w:color w:val="000000"/>
                <w:sz w:val="22"/>
                <w:szCs w:val="22"/>
              </w:rPr>
              <w:t>31/12/</w:t>
            </w:r>
            <w:r w:rsidR="00040E69">
              <w:rPr>
                <w:rFonts w:ascii="Arial" w:hAnsi="Arial" w:cs="Arial"/>
                <w:b/>
                <w:bCs/>
                <w:color w:val="000000"/>
                <w:sz w:val="22"/>
                <w:szCs w:val="22"/>
              </w:rPr>
              <w:t>2019</w:t>
            </w:r>
          </w:p>
        </w:tc>
      </w:tr>
      <w:tr w:rsidR="00C80044" w:rsidRPr="00D44AA2" w14:paraId="1C37D1EE" w14:textId="77777777" w:rsidTr="00F173E5">
        <w:trPr>
          <w:trHeight w:val="234"/>
          <w:jc w:val="center"/>
        </w:trPr>
        <w:tc>
          <w:tcPr>
            <w:tcW w:w="9245" w:type="dxa"/>
            <w:gridSpan w:val="4"/>
            <w:shd w:val="clear" w:color="auto" w:fill="auto"/>
            <w:noWrap/>
            <w:vAlign w:val="bottom"/>
          </w:tcPr>
          <w:p w14:paraId="605E4988" w14:textId="77777777" w:rsidR="00C80044" w:rsidRPr="00D44AA2" w:rsidRDefault="00C80044" w:rsidP="00C80044">
            <w:pPr>
              <w:jc w:val="center"/>
              <w:rPr>
                <w:rFonts w:ascii="Arial" w:hAnsi="Arial" w:cs="Arial"/>
                <w:b/>
                <w:bCs/>
                <w:color w:val="000000"/>
                <w:sz w:val="22"/>
                <w:szCs w:val="22"/>
              </w:rPr>
            </w:pPr>
            <w:r w:rsidRPr="00D44AA2">
              <w:rPr>
                <w:rFonts w:ascii="Arial" w:hAnsi="Arial" w:cs="Arial"/>
                <w:b/>
                <w:bCs/>
                <w:sz w:val="22"/>
                <w:szCs w:val="22"/>
              </w:rPr>
              <w:t>Analyse des marges et de la profitabilité</w:t>
            </w:r>
          </w:p>
        </w:tc>
      </w:tr>
      <w:tr w:rsidR="00022585" w:rsidRPr="00D44AA2" w14:paraId="563EE13F" w14:textId="77777777" w:rsidTr="00F173E5">
        <w:trPr>
          <w:trHeight w:val="286"/>
          <w:jc w:val="center"/>
        </w:trPr>
        <w:tc>
          <w:tcPr>
            <w:tcW w:w="3681" w:type="dxa"/>
            <w:shd w:val="clear" w:color="auto" w:fill="auto"/>
            <w:vAlign w:val="bottom"/>
            <w:hideMark/>
          </w:tcPr>
          <w:p w14:paraId="247D640A" w14:textId="77777777" w:rsidR="00022585" w:rsidRPr="00D44AA2" w:rsidRDefault="00022585" w:rsidP="00022585">
            <w:pPr>
              <w:rPr>
                <w:rFonts w:ascii="Arial" w:hAnsi="Arial" w:cs="Arial"/>
                <w:color w:val="000000"/>
                <w:sz w:val="22"/>
                <w:szCs w:val="22"/>
              </w:rPr>
            </w:pPr>
            <w:r w:rsidRPr="00D44AA2">
              <w:rPr>
                <w:rFonts w:ascii="Arial" w:hAnsi="Arial" w:cs="Arial"/>
                <w:color w:val="000000"/>
                <w:sz w:val="22"/>
                <w:szCs w:val="22"/>
              </w:rPr>
              <w:t>Taux de marge brute (%)</w:t>
            </w:r>
          </w:p>
        </w:tc>
        <w:tc>
          <w:tcPr>
            <w:tcW w:w="1854" w:type="dxa"/>
            <w:shd w:val="clear" w:color="auto" w:fill="auto"/>
            <w:noWrap/>
            <w:vAlign w:val="bottom"/>
            <w:hideMark/>
          </w:tcPr>
          <w:p w14:paraId="79739F88"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36,92</w:t>
            </w:r>
          </w:p>
        </w:tc>
        <w:tc>
          <w:tcPr>
            <w:tcW w:w="1854" w:type="dxa"/>
            <w:shd w:val="clear" w:color="auto" w:fill="auto"/>
            <w:noWrap/>
            <w:vAlign w:val="bottom"/>
            <w:hideMark/>
          </w:tcPr>
          <w:p w14:paraId="63BC24AE"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47,71</w:t>
            </w:r>
          </w:p>
        </w:tc>
        <w:tc>
          <w:tcPr>
            <w:tcW w:w="1854" w:type="dxa"/>
            <w:shd w:val="clear" w:color="auto" w:fill="auto"/>
            <w:noWrap/>
            <w:vAlign w:val="bottom"/>
            <w:hideMark/>
          </w:tcPr>
          <w:p w14:paraId="43D82637"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48,56</w:t>
            </w:r>
          </w:p>
        </w:tc>
      </w:tr>
      <w:tr w:rsidR="00022585" w:rsidRPr="00D44AA2" w14:paraId="2CBAFF21" w14:textId="77777777" w:rsidTr="00F173E5">
        <w:trPr>
          <w:trHeight w:val="234"/>
          <w:jc w:val="center"/>
        </w:trPr>
        <w:tc>
          <w:tcPr>
            <w:tcW w:w="3681" w:type="dxa"/>
            <w:shd w:val="clear" w:color="auto" w:fill="auto"/>
            <w:noWrap/>
            <w:vAlign w:val="bottom"/>
            <w:hideMark/>
          </w:tcPr>
          <w:p w14:paraId="455422DA" w14:textId="77777777" w:rsidR="00022585" w:rsidRPr="00D44AA2" w:rsidRDefault="00022585" w:rsidP="00022585">
            <w:pPr>
              <w:rPr>
                <w:rFonts w:ascii="Arial" w:hAnsi="Arial" w:cs="Arial"/>
                <w:color w:val="000000"/>
                <w:sz w:val="22"/>
                <w:szCs w:val="22"/>
              </w:rPr>
            </w:pPr>
            <w:r w:rsidRPr="00D44AA2">
              <w:rPr>
                <w:rFonts w:ascii="Arial" w:hAnsi="Arial" w:cs="Arial"/>
                <w:color w:val="000000"/>
                <w:sz w:val="22"/>
                <w:szCs w:val="22"/>
              </w:rPr>
              <w:t>Taux de marge EBITDA (%)</w:t>
            </w:r>
          </w:p>
        </w:tc>
        <w:tc>
          <w:tcPr>
            <w:tcW w:w="1854" w:type="dxa"/>
            <w:shd w:val="clear" w:color="auto" w:fill="auto"/>
            <w:noWrap/>
            <w:vAlign w:val="bottom"/>
            <w:hideMark/>
          </w:tcPr>
          <w:p w14:paraId="47C9CD6D"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15,86</w:t>
            </w:r>
          </w:p>
        </w:tc>
        <w:tc>
          <w:tcPr>
            <w:tcW w:w="1854" w:type="dxa"/>
            <w:shd w:val="clear" w:color="auto" w:fill="auto"/>
            <w:noWrap/>
            <w:vAlign w:val="bottom"/>
            <w:hideMark/>
          </w:tcPr>
          <w:p w14:paraId="23DAAC56"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14,29</w:t>
            </w:r>
          </w:p>
        </w:tc>
        <w:tc>
          <w:tcPr>
            <w:tcW w:w="1854" w:type="dxa"/>
            <w:shd w:val="clear" w:color="auto" w:fill="auto"/>
            <w:noWrap/>
            <w:vAlign w:val="bottom"/>
            <w:hideMark/>
          </w:tcPr>
          <w:p w14:paraId="17121BA3"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14,03</w:t>
            </w:r>
          </w:p>
        </w:tc>
      </w:tr>
      <w:tr w:rsidR="00022585" w:rsidRPr="00D44AA2" w14:paraId="2C0F6E56" w14:textId="77777777" w:rsidTr="00F173E5">
        <w:trPr>
          <w:trHeight w:val="234"/>
          <w:jc w:val="center"/>
        </w:trPr>
        <w:tc>
          <w:tcPr>
            <w:tcW w:w="3681" w:type="dxa"/>
            <w:shd w:val="clear" w:color="auto" w:fill="auto"/>
            <w:noWrap/>
            <w:vAlign w:val="bottom"/>
            <w:hideMark/>
          </w:tcPr>
          <w:p w14:paraId="1CDA5055" w14:textId="77777777" w:rsidR="00022585" w:rsidRPr="00D44AA2" w:rsidRDefault="00022585" w:rsidP="00022585">
            <w:pPr>
              <w:rPr>
                <w:rFonts w:ascii="Arial" w:hAnsi="Arial" w:cs="Arial"/>
                <w:color w:val="000000"/>
                <w:sz w:val="22"/>
                <w:szCs w:val="22"/>
              </w:rPr>
            </w:pPr>
            <w:r w:rsidRPr="00D44AA2">
              <w:rPr>
                <w:rFonts w:ascii="Arial" w:hAnsi="Arial" w:cs="Arial"/>
                <w:color w:val="000000"/>
                <w:sz w:val="22"/>
                <w:szCs w:val="22"/>
              </w:rPr>
              <w:t>Taux de marge EBIT (%)</w:t>
            </w:r>
          </w:p>
        </w:tc>
        <w:tc>
          <w:tcPr>
            <w:tcW w:w="1854" w:type="dxa"/>
            <w:shd w:val="clear" w:color="auto" w:fill="auto"/>
            <w:noWrap/>
            <w:vAlign w:val="bottom"/>
            <w:hideMark/>
          </w:tcPr>
          <w:p w14:paraId="7E48A152"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5,94</w:t>
            </w:r>
          </w:p>
        </w:tc>
        <w:tc>
          <w:tcPr>
            <w:tcW w:w="1854" w:type="dxa"/>
            <w:shd w:val="clear" w:color="auto" w:fill="auto"/>
            <w:noWrap/>
            <w:vAlign w:val="bottom"/>
            <w:hideMark/>
          </w:tcPr>
          <w:p w14:paraId="4361BBD4"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5,92</w:t>
            </w:r>
          </w:p>
        </w:tc>
        <w:tc>
          <w:tcPr>
            <w:tcW w:w="1854" w:type="dxa"/>
            <w:shd w:val="clear" w:color="auto" w:fill="auto"/>
            <w:noWrap/>
            <w:vAlign w:val="bottom"/>
            <w:hideMark/>
          </w:tcPr>
          <w:p w14:paraId="176F835E"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5,60</w:t>
            </w:r>
          </w:p>
        </w:tc>
      </w:tr>
      <w:tr w:rsidR="00022585" w:rsidRPr="00D44AA2" w14:paraId="0067BD03" w14:textId="77777777" w:rsidTr="00F173E5">
        <w:trPr>
          <w:trHeight w:val="234"/>
          <w:jc w:val="center"/>
        </w:trPr>
        <w:tc>
          <w:tcPr>
            <w:tcW w:w="3681" w:type="dxa"/>
            <w:shd w:val="clear" w:color="auto" w:fill="auto"/>
            <w:noWrap/>
            <w:vAlign w:val="bottom"/>
            <w:hideMark/>
          </w:tcPr>
          <w:p w14:paraId="6708B421" w14:textId="77777777" w:rsidR="00022585" w:rsidRPr="00D44AA2" w:rsidRDefault="00022585" w:rsidP="00022585">
            <w:pPr>
              <w:rPr>
                <w:rFonts w:ascii="Arial" w:hAnsi="Arial" w:cs="Arial"/>
                <w:color w:val="000000"/>
                <w:sz w:val="22"/>
                <w:szCs w:val="22"/>
              </w:rPr>
            </w:pPr>
            <w:r w:rsidRPr="00D44AA2">
              <w:rPr>
                <w:rFonts w:ascii="Arial" w:hAnsi="Arial" w:cs="Arial"/>
                <w:color w:val="000000"/>
                <w:sz w:val="22"/>
                <w:szCs w:val="22"/>
              </w:rPr>
              <w:t>Taux de marge nette (%)</w:t>
            </w:r>
          </w:p>
        </w:tc>
        <w:tc>
          <w:tcPr>
            <w:tcW w:w="1854" w:type="dxa"/>
            <w:shd w:val="clear" w:color="auto" w:fill="auto"/>
            <w:noWrap/>
            <w:vAlign w:val="bottom"/>
            <w:hideMark/>
          </w:tcPr>
          <w:p w14:paraId="53F33C7D"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1,55</w:t>
            </w:r>
          </w:p>
        </w:tc>
        <w:tc>
          <w:tcPr>
            <w:tcW w:w="1854" w:type="dxa"/>
            <w:shd w:val="clear" w:color="auto" w:fill="auto"/>
            <w:noWrap/>
            <w:vAlign w:val="bottom"/>
            <w:hideMark/>
          </w:tcPr>
          <w:p w14:paraId="356473D5"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1,57</w:t>
            </w:r>
          </w:p>
        </w:tc>
        <w:tc>
          <w:tcPr>
            <w:tcW w:w="1854" w:type="dxa"/>
            <w:shd w:val="clear" w:color="auto" w:fill="auto"/>
            <w:noWrap/>
            <w:vAlign w:val="bottom"/>
            <w:hideMark/>
          </w:tcPr>
          <w:p w14:paraId="69BC85D9" w14:textId="77777777" w:rsidR="00022585" w:rsidRPr="00D44AA2" w:rsidRDefault="00022585" w:rsidP="00022585">
            <w:pPr>
              <w:jc w:val="right"/>
              <w:rPr>
                <w:rFonts w:ascii="Arial" w:hAnsi="Arial" w:cs="Arial"/>
                <w:color w:val="000000"/>
                <w:sz w:val="22"/>
                <w:szCs w:val="22"/>
              </w:rPr>
            </w:pPr>
            <w:r w:rsidRPr="00D44AA2">
              <w:rPr>
                <w:rFonts w:ascii="Arial" w:hAnsi="Arial" w:cs="Arial"/>
                <w:color w:val="000000"/>
                <w:sz w:val="22"/>
                <w:szCs w:val="22"/>
              </w:rPr>
              <w:t>1,96</w:t>
            </w:r>
          </w:p>
        </w:tc>
      </w:tr>
      <w:tr w:rsidR="00C80044" w:rsidRPr="00D44AA2" w14:paraId="4E391776" w14:textId="77777777" w:rsidTr="00F173E5">
        <w:trPr>
          <w:trHeight w:val="234"/>
          <w:jc w:val="center"/>
        </w:trPr>
        <w:tc>
          <w:tcPr>
            <w:tcW w:w="9245" w:type="dxa"/>
            <w:gridSpan w:val="4"/>
            <w:shd w:val="clear" w:color="auto" w:fill="auto"/>
            <w:noWrap/>
            <w:vAlign w:val="bottom"/>
          </w:tcPr>
          <w:p w14:paraId="26CAD423" w14:textId="77777777" w:rsidR="00C80044" w:rsidRPr="00D44AA2" w:rsidRDefault="00C80044" w:rsidP="00C80044">
            <w:pPr>
              <w:jc w:val="center"/>
              <w:rPr>
                <w:rFonts w:ascii="Arial" w:hAnsi="Arial" w:cs="Arial"/>
                <w:b/>
                <w:bCs/>
                <w:color w:val="000000"/>
                <w:sz w:val="22"/>
                <w:szCs w:val="22"/>
              </w:rPr>
            </w:pPr>
            <w:r w:rsidRPr="00D44AA2">
              <w:rPr>
                <w:rFonts w:ascii="Arial" w:hAnsi="Arial" w:cs="Arial"/>
                <w:b/>
                <w:bCs/>
                <w:color w:val="000000"/>
                <w:sz w:val="22"/>
                <w:szCs w:val="22"/>
              </w:rPr>
              <w:t>Analyse de la rentabilité</w:t>
            </w:r>
          </w:p>
        </w:tc>
      </w:tr>
      <w:tr w:rsidR="00F56261" w:rsidRPr="00D44AA2" w14:paraId="5B75D791" w14:textId="77777777" w:rsidTr="00F173E5">
        <w:trPr>
          <w:trHeight w:val="23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5DC6F" w14:textId="77777777" w:rsidR="00F56261" w:rsidRPr="00D44AA2" w:rsidRDefault="00F56261">
            <w:pPr>
              <w:rPr>
                <w:rFonts w:ascii="Arial" w:hAnsi="Arial" w:cs="Arial"/>
                <w:color w:val="000000"/>
                <w:sz w:val="22"/>
                <w:szCs w:val="22"/>
              </w:rPr>
            </w:pPr>
            <w:r w:rsidRPr="00D44AA2">
              <w:rPr>
                <w:rFonts w:ascii="Arial" w:hAnsi="Arial" w:cs="Arial"/>
                <w:color w:val="000000"/>
                <w:sz w:val="22"/>
                <w:szCs w:val="22"/>
              </w:rPr>
              <w:t>ROE (%)</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694F9"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2,59</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DD7AC"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2,52</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79256"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3,13</w:t>
            </w:r>
          </w:p>
        </w:tc>
      </w:tr>
      <w:tr w:rsidR="00F56261" w:rsidRPr="00D44AA2" w14:paraId="5AE0E651" w14:textId="77777777" w:rsidTr="00F173E5">
        <w:trPr>
          <w:trHeight w:val="23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BB150" w14:textId="77777777" w:rsidR="00F56261" w:rsidRPr="00D44AA2" w:rsidRDefault="00F56261">
            <w:pPr>
              <w:rPr>
                <w:rFonts w:ascii="Arial" w:hAnsi="Arial" w:cs="Arial"/>
                <w:color w:val="000000"/>
                <w:sz w:val="22"/>
                <w:szCs w:val="22"/>
              </w:rPr>
            </w:pPr>
            <w:r w:rsidRPr="00D44AA2">
              <w:rPr>
                <w:rFonts w:ascii="Arial" w:hAnsi="Arial" w:cs="Arial"/>
                <w:color w:val="000000"/>
                <w:sz w:val="22"/>
                <w:szCs w:val="22"/>
              </w:rPr>
              <w:t>ROCE (%)</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E2985"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3,00</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BCE3"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2,86</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A4E0C"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3,42</w:t>
            </w:r>
          </w:p>
        </w:tc>
      </w:tr>
      <w:tr w:rsidR="00C80044" w:rsidRPr="00D44AA2" w14:paraId="2B686FD8" w14:textId="77777777" w:rsidTr="00F173E5">
        <w:trPr>
          <w:trHeight w:val="234"/>
          <w:jc w:val="center"/>
        </w:trPr>
        <w:tc>
          <w:tcPr>
            <w:tcW w:w="92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0F0A7F7" w14:textId="77777777" w:rsidR="00C80044" w:rsidRPr="00D44AA2" w:rsidRDefault="00C80044" w:rsidP="00C80044">
            <w:pPr>
              <w:jc w:val="center"/>
              <w:rPr>
                <w:rFonts w:ascii="Arial" w:hAnsi="Arial" w:cs="Arial"/>
                <w:b/>
                <w:bCs/>
                <w:color w:val="000000"/>
                <w:sz w:val="22"/>
                <w:szCs w:val="22"/>
              </w:rPr>
            </w:pPr>
            <w:r w:rsidRPr="00D44AA2">
              <w:rPr>
                <w:rFonts w:ascii="Arial" w:hAnsi="Arial" w:cs="Arial"/>
                <w:b/>
                <w:bCs/>
                <w:color w:val="000000"/>
                <w:sz w:val="22"/>
                <w:szCs w:val="22"/>
              </w:rPr>
              <w:t>Analyse des risques</w:t>
            </w:r>
          </w:p>
        </w:tc>
      </w:tr>
      <w:tr w:rsidR="00F56261" w:rsidRPr="00D44AA2" w14:paraId="543CA91D" w14:textId="77777777" w:rsidTr="00F173E5">
        <w:trPr>
          <w:trHeight w:val="23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78563" w14:textId="77777777" w:rsidR="00F56261" w:rsidRPr="00D44AA2" w:rsidRDefault="00F56261">
            <w:pPr>
              <w:rPr>
                <w:rFonts w:ascii="Arial" w:hAnsi="Arial" w:cs="Arial"/>
                <w:color w:val="000000"/>
                <w:sz w:val="22"/>
                <w:szCs w:val="22"/>
              </w:rPr>
            </w:pPr>
            <w:r w:rsidRPr="00D44AA2">
              <w:rPr>
                <w:rFonts w:ascii="Arial" w:hAnsi="Arial" w:cs="Arial"/>
                <w:color w:val="000000"/>
                <w:sz w:val="22"/>
                <w:szCs w:val="22"/>
              </w:rPr>
              <w:t xml:space="preserve">Liquidité </w:t>
            </w:r>
            <w:r w:rsidR="00042B78" w:rsidRPr="00D44AA2">
              <w:rPr>
                <w:rFonts w:ascii="Arial" w:hAnsi="Arial" w:cs="Arial"/>
                <w:color w:val="000000"/>
                <w:sz w:val="22"/>
                <w:szCs w:val="22"/>
              </w:rPr>
              <w:t>réduite</w:t>
            </w:r>
            <w:r w:rsidRPr="00D44AA2">
              <w:rPr>
                <w:rFonts w:ascii="Arial" w:hAnsi="Arial" w:cs="Arial"/>
                <w:color w:val="000000"/>
                <w:sz w:val="22"/>
                <w:szCs w:val="22"/>
              </w:rPr>
              <w:t xml:space="preserve"> (%)</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51D17"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104,50</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9CFBB"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107,10</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2DA47"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105,30</w:t>
            </w:r>
          </w:p>
        </w:tc>
      </w:tr>
      <w:tr w:rsidR="00F56261" w:rsidRPr="00D44AA2" w14:paraId="51E0D49F" w14:textId="77777777" w:rsidTr="00F173E5">
        <w:trPr>
          <w:trHeight w:val="23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096C7" w14:textId="77777777" w:rsidR="00F56261" w:rsidRPr="00D44AA2" w:rsidRDefault="00F56261">
            <w:pPr>
              <w:rPr>
                <w:rFonts w:ascii="Arial" w:hAnsi="Arial" w:cs="Arial"/>
                <w:color w:val="000000"/>
                <w:sz w:val="22"/>
                <w:szCs w:val="22"/>
              </w:rPr>
            </w:pPr>
            <w:r w:rsidRPr="00D44AA2">
              <w:rPr>
                <w:rFonts w:ascii="Arial" w:hAnsi="Arial" w:cs="Arial"/>
                <w:color w:val="000000"/>
                <w:sz w:val="22"/>
                <w:szCs w:val="22"/>
              </w:rPr>
              <w:t>Ratio de solvabilité (%)</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1096"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23,80</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9F820"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26,64</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0AEDC"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28,06</w:t>
            </w:r>
          </w:p>
        </w:tc>
      </w:tr>
      <w:tr w:rsidR="00F56261" w:rsidRPr="00D44AA2" w14:paraId="6FA5D0C8" w14:textId="77777777" w:rsidTr="00F173E5">
        <w:trPr>
          <w:trHeight w:val="234"/>
          <w:jc w:val="center"/>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BDC7" w14:textId="77777777" w:rsidR="00F56261" w:rsidRPr="00D44AA2" w:rsidRDefault="00F56261">
            <w:pPr>
              <w:rPr>
                <w:rFonts w:ascii="Arial" w:hAnsi="Arial" w:cs="Arial"/>
                <w:color w:val="000000"/>
                <w:sz w:val="22"/>
                <w:szCs w:val="22"/>
              </w:rPr>
            </w:pPr>
            <w:r w:rsidRPr="00D44AA2">
              <w:rPr>
                <w:rFonts w:ascii="Arial" w:hAnsi="Arial" w:cs="Arial"/>
                <w:color w:val="000000"/>
                <w:sz w:val="22"/>
                <w:szCs w:val="22"/>
              </w:rPr>
              <w:t>Ratio d'endettement (%)</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24D90"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180,39</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67816"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140,70</w:t>
            </w: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B79D" w14:textId="77777777" w:rsidR="00F56261" w:rsidRPr="00D44AA2" w:rsidRDefault="00F56261">
            <w:pPr>
              <w:jc w:val="right"/>
              <w:rPr>
                <w:rFonts w:ascii="Arial" w:hAnsi="Arial" w:cs="Arial"/>
                <w:color w:val="000000"/>
                <w:sz w:val="22"/>
                <w:szCs w:val="22"/>
              </w:rPr>
            </w:pPr>
            <w:r w:rsidRPr="00D44AA2">
              <w:rPr>
                <w:rFonts w:ascii="Arial" w:hAnsi="Arial" w:cs="Arial"/>
                <w:color w:val="000000"/>
                <w:sz w:val="22"/>
                <w:szCs w:val="22"/>
              </w:rPr>
              <w:t>136,16</w:t>
            </w:r>
          </w:p>
        </w:tc>
      </w:tr>
    </w:tbl>
    <w:p w14:paraId="47478530" w14:textId="77777777" w:rsidR="00022585" w:rsidRPr="00D44AA2" w:rsidRDefault="00022585" w:rsidP="00E97FBF">
      <w:pPr>
        <w:rPr>
          <w:rFonts w:ascii="Arial" w:hAnsi="Arial" w:cs="Arial"/>
          <w:b/>
        </w:rPr>
      </w:pPr>
    </w:p>
    <w:p w14:paraId="1DCD5815" w14:textId="4D2B00F9" w:rsidR="00022585" w:rsidRPr="00D44AA2" w:rsidRDefault="00AD2B25" w:rsidP="00EF1E9C">
      <w:pPr>
        <w:jc w:val="center"/>
        <w:rPr>
          <w:rFonts w:ascii="Arial" w:hAnsi="Arial" w:cs="Arial"/>
          <w:b/>
        </w:rPr>
      </w:pPr>
      <w:r w:rsidRPr="00D44AA2">
        <w:rPr>
          <w:rFonts w:ascii="Arial" w:hAnsi="Arial" w:cs="Arial"/>
          <w:b/>
        </w:rPr>
        <w:t>Annexe 2 </w:t>
      </w:r>
      <w:r w:rsidR="00B06E82">
        <w:rPr>
          <w:rFonts w:ascii="Arial" w:hAnsi="Arial" w:cs="Arial"/>
          <w:b/>
        </w:rPr>
        <w:t>-</w:t>
      </w:r>
      <w:r w:rsidRPr="00D44AA2">
        <w:rPr>
          <w:rFonts w:ascii="Arial" w:hAnsi="Arial" w:cs="Arial"/>
          <w:b/>
        </w:rPr>
        <w:t xml:space="preserve"> Extrait du code AFEP-MEDEF – janvier 2020</w:t>
      </w:r>
    </w:p>
    <w:p w14:paraId="69B8E8B4" w14:textId="77777777" w:rsidR="00AD2B25" w:rsidRPr="00D44AA2" w:rsidRDefault="00AD2B25" w:rsidP="00AD2B25">
      <w:pPr>
        <w:rPr>
          <w:rFonts w:ascii="Arial" w:hAnsi="Arial" w:cs="Arial"/>
          <w:bCs/>
          <w:sz w:val="22"/>
          <w:szCs w:val="22"/>
        </w:rPr>
      </w:pPr>
    </w:p>
    <w:p w14:paraId="75C441BD" w14:textId="77777777" w:rsidR="00AD2B25" w:rsidRPr="00D44AA2" w:rsidRDefault="00AD2B25" w:rsidP="005168BA">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w:hAnsi="Arial" w:cs="Arial"/>
          <w:b/>
          <w:bCs/>
          <w:sz w:val="22"/>
          <w:szCs w:val="22"/>
        </w:rPr>
      </w:pPr>
      <w:r w:rsidRPr="00D44AA2">
        <w:rPr>
          <w:rFonts w:ascii="Arial" w:hAnsi="Arial" w:cs="Arial"/>
          <w:b/>
          <w:bCs/>
          <w:sz w:val="22"/>
          <w:szCs w:val="22"/>
        </w:rPr>
        <w:t xml:space="preserve">25.5 </w:t>
      </w:r>
      <w:r w:rsidR="000E2914" w:rsidRPr="00D44AA2">
        <w:rPr>
          <w:rFonts w:ascii="Arial" w:hAnsi="Arial" w:cs="Arial"/>
          <w:b/>
          <w:bCs/>
          <w:sz w:val="22"/>
          <w:szCs w:val="22"/>
        </w:rPr>
        <w:t>Départ</w:t>
      </w:r>
      <w:r w:rsidRPr="00D44AA2">
        <w:rPr>
          <w:rFonts w:ascii="Arial" w:hAnsi="Arial" w:cs="Arial"/>
          <w:b/>
          <w:bCs/>
          <w:sz w:val="22"/>
          <w:szCs w:val="22"/>
        </w:rPr>
        <w:t xml:space="preserve"> des dirigeants mandataires sociaux </w:t>
      </w:r>
    </w:p>
    <w:p w14:paraId="051AF5A3" w14:textId="77777777" w:rsidR="00AD2B25" w:rsidRPr="00D44AA2" w:rsidRDefault="00AD2B25" w:rsidP="005168BA">
      <w:pPr>
        <w:pStyle w:val="NormalWeb"/>
        <w:pBdr>
          <w:top w:val="single" w:sz="4" w:space="1" w:color="auto"/>
          <w:left w:val="single" w:sz="4" w:space="4" w:color="auto"/>
          <w:bottom w:val="single" w:sz="4" w:space="1" w:color="auto"/>
          <w:right w:val="single" w:sz="4" w:space="4" w:color="auto"/>
        </w:pBdr>
        <w:spacing w:before="0" w:beforeAutospacing="0" w:after="120" w:afterAutospacing="0"/>
        <w:jc w:val="both"/>
        <w:rPr>
          <w:rFonts w:ascii="Arial" w:hAnsi="Arial" w:cs="Arial"/>
        </w:rPr>
      </w:pPr>
      <w:r w:rsidRPr="00D44AA2">
        <w:rPr>
          <w:rFonts w:ascii="Arial" w:hAnsi="Arial" w:cs="Arial"/>
          <w:b/>
          <w:bCs/>
          <w:i/>
          <w:iCs/>
          <w:sz w:val="22"/>
          <w:szCs w:val="22"/>
        </w:rPr>
        <w:t xml:space="preserve">25.5.1 </w:t>
      </w:r>
      <w:r w:rsidRPr="00D44AA2">
        <w:rPr>
          <w:rFonts w:ascii="Arial" w:hAnsi="Arial" w:cs="Arial"/>
          <w:b/>
          <w:bCs/>
          <w:sz w:val="22"/>
          <w:szCs w:val="22"/>
        </w:rPr>
        <w:t xml:space="preserve">Dispositions </w:t>
      </w:r>
      <w:r w:rsidR="000E2914" w:rsidRPr="00D44AA2">
        <w:rPr>
          <w:rFonts w:ascii="Arial" w:hAnsi="Arial" w:cs="Arial"/>
          <w:b/>
          <w:bCs/>
          <w:sz w:val="22"/>
          <w:szCs w:val="22"/>
        </w:rPr>
        <w:t>générales</w:t>
      </w:r>
      <w:r w:rsidRPr="00D44AA2">
        <w:rPr>
          <w:rFonts w:ascii="Arial" w:hAnsi="Arial" w:cs="Arial"/>
          <w:b/>
          <w:bCs/>
          <w:sz w:val="22"/>
          <w:szCs w:val="22"/>
        </w:rPr>
        <w:t xml:space="preserve"> </w:t>
      </w:r>
    </w:p>
    <w:p w14:paraId="764E18FF"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Il n’est pas acceptable que des dirigeants dont l’entreprise est en situation d’</w:t>
      </w:r>
      <w:r w:rsidR="000E2914" w:rsidRPr="00D44AA2">
        <w:rPr>
          <w:rFonts w:ascii="Arial" w:hAnsi="Arial" w:cs="Arial"/>
          <w:sz w:val="22"/>
          <w:szCs w:val="22"/>
        </w:rPr>
        <w:t>échec</w:t>
      </w:r>
      <w:r w:rsidRPr="00D44AA2">
        <w:rPr>
          <w:rFonts w:ascii="Arial" w:hAnsi="Arial" w:cs="Arial"/>
          <w:sz w:val="22"/>
          <w:szCs w:val="22"/>
        </w:rPr>
        <w:t xml:space="preserve"> ou qui sont </w:t>
      </w:r>
      <w:r w:rsidR="000E2914" w:rsidRPr="00D44AA2">
        <w:rPr>
          <w:rFonts w:ascii="Arial" w:hAnsi="Arial" w:cs="Arial"/>
          <w:sz w:val="22"/>
          <w:szCs w:val="22"/>
        </w:rPr>
        <w:t>eux-mêmes</w:t>
      </w:r>
      <w:r w:rsidRPr="00D44AA2">
        <w:rPr>
          <w:rFonts w:ascii="Arial" w:hAnsi="Arial" w:cs="Arial"/>
          <w:sz w:val="22"/>
          <w:szCs w:val="22"/>
        </w:rPr>
        <w:t xml:space="preserve"> en situation d’</w:t>
      </w:r>
      <w:r w:rsidR="000E2914" w:rsidRPr="00D44AA2">
        <w:rPr>
          <w:rFonts w:ascii="Arial" w:hAnsi="Arial" w:cs="Arial"/>
          <w:sz w:val="22"/>
          <w:szCs w:val="22"/>
        </w:rPr>
        <w:t>échec</w:t>
      </w:r>
      <w:r w:rsidRPr="00D44AA2">
        <w:rPr>
          <w:rFonts w:ascii="Arial" w:hAnsi="Arial" w:cs="Arial"/>
          <w:sz w:val="22"/>
          <w:szCs w:val="22"/>
        </w:rPr>
        <w:t xml:space="preserve"> la quittent avec des </w:t>
      </w:r>
      <w:r w:rsidR="000E2914" w:rsidRPr="00D44AA2">
        <w:rPr>
          <w:rFonts w:ascii="Arial" w:hAnsi="Arial" w:cs="Arial"/>
          <w:sz w:val="22"/>
          <w:szCs w:val="22"/>
        </w:rPr>
        <w:t>indemnités</w:t>
      </w:r>
      <w:r w:rsidRPr="00D44AA2">
        <w:rPr>
          <w:rFonts w:ascii="Arial" w:hAnsi="Arial" w:cs="Arial"/>
          <w:sz w:val="22"/>
          <w:szCs w:val="22"/>
        </w:rPr>
        <w:t xml:space="preserve">. </w:t>
      </w:r>
    </w:p>
    <w:p w14:paraId="2D21E3FA"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 xml:space="preserve">La loi donne un </w:t>
      </w:r>
      <w:r w:rsidR="000E2914" w:rsidRPr="00D44AA2">
        <w:rPr>
          <w:rFonts w:ascii="Arial" w:hAnsi="Arial" w:cs="Arial"/>
          <w:sz w:val="22"/>
          <w:szCs w:val="22"/>
        </w:rPr>
        <w:t>rôle</w:t>
      </w:r>
      <w:r w:rsidRPr="00D44AA2">
        <w:rPr>
          <w:rFonts w:ascii="Arial" w:hAnsi="Arial" w:cs="Arial"/>
          <w:sz w:val="22"/>
          <w:szCs w:val="22"/>
        </w:rPr>
        <w:t xml:space="preserve"> majeur aux actionnaires en soumettant ces </w:t>
      </w:r>
      <w:r w:rsidR="000E2914" w:rsidRPr="00D44AA2">
        <w:rPr>
          <w:rFonts w:ascii="Arial" w:hAnsi="Arial" w:cs="Arial"/>
          <w:sz w:val="22"/>
          <w:szCs w:val="22"/>
        </w:rPr>
        <w:t>indemnités</w:t>
      </w:r>
      <w:r w:rsidRPr="00D44AA2">
        <w:rPr>
          <w:rFonts w:ascii="Arial" w:hAnsi="Arial" w:cs="Arial"/>
          <w:sz w:val="22"/>
          <w:szCs w:val="22"/>
        </w:rPr>
        <w:t xml:space="preserve"> </w:t>
      </w:r>
      <w:r w:rsidR="000E2914" w:rsidRPr="00D44AA2">
        <w:rPr>
          <w:rFonts w:ascii="Arial" w:hAnsi="Arial" w:cs="Arial"/>
          <w:sz w:val="22"/>
          <w:szCs w:val="22"/>
        </w:rPr>
        <w:t>prédéfinies</w:t>
      </w:r>
      <w:r w:rsidRPr="00D44AA2">
        <w:rPr>
          <w:rFonts w:ascii="Arial" w:hAnsi="Arial" w:cs="Arial"/>
          <w:sz w:val="22"/>
          <w:szCs w:val="22"/>
        </w:rPr>
        <w:t xml:space="preserve">, </w:t>
      </w:r>
      <w:r w:rsidR="000E2914" w:rsidRPr="00D44AA2">
        <w:rPr>
          <w:rFonts w:ascii="Arial" w:hAnsi="Arial" w:cs="Arial"/>
          <w:sz w:val="22"/>
          <w:szCs w:val="22"/>
        </w:rPr>
        <w:t>versées</w:t>
      </w:r>
      <w:r w:rsidRPr="00D44AA2">
        <w:rPr>
          <w:rFonts w:ascii="Arial" w:hAnsi="Arial" w:cs="Arial"/>
          <w:sz w:val="22"/>
          <w:szCs w:val="22"/>
        </w:rPr>
        <w:t xml:space="preserve"> à la cessation des fonctions de dirigeant mandataire social, à la </w:t>
      </w:r>
      <w:r w:rsidR="000E2914" w:rsidRPr="00D44AA2">
        <w:rPr>
          <w:rFonts w:ascii="Arial" w:hAnsi="Arial" w:cs="Arial"/>
          <w:sz w:val="22"/>
          <w:szCs w:val="22"/>
        </w:rPr>
        <w:t>procédure</w:t>
      </w:r>
      <w:r w:rsidRPr="00D44AA2">
        <w:rPr>
          <w:rFonts w:ascii="Arial" w:hAnsi="Arial" w:cs="Arial"/>
          <w:sz w:val="22"/>
          <w:szCs w:val="22"/>
        </w:rPr>
        <w:t xml:space="preserve"> des conventions </w:t>
      </w:r>
      <w:r w:rsidR="000E2914" w:rsidRPr="00D44AA2">
        <w:rPr>
          <w:rFonts w:ascii="Arial" w:hAnsi="Arial" w:cs="Arial"/>
          <w:sz w:val="22"/>
          <w:szCs w:val="22"/>
        </w:rPr>
        <w:t>règlementées</w:t>
      </w:r>
      <w:r w:rsidRPr="00D44AA2">
        <w:rPr>
          <w:rFonts w:ascii="Arial" w:hAnsi="Arial" w:cs="Arial"/>
          <w:sz w:val="22"/>
          <w:szCs w:val="22"/>
        </w:rPr>
        <w:t xml:space="preserve">. Elle impose une transparence totale et soumet les </w:t>
      </w:r>
      <w:r w:rsidR="000E2914" w:rsidRPr="00D44AA2">
        <w:rPr>
          <w:rFonts w:ascii="Arial" w:hAnsi="Arial" w:cs="Arial"/>
          <w:sz w:val="22"/>
          <w:szCs w:val="22"/>
        </w:rPr>
        <w:t>indemnités</w:t>
      </w:r>
      <w:r w:rsidRPr="00D44AA2">
        <w:rPr>
          <w:rFonts w:ascii="Arial" w:hAnsi="Arial" w:cs="Arial"/>
          <w:sz w:val="22"/>
          <w:szCs w:val="22"/>
        </w:rPr>
        <w:t xml:space="preserve"> de </w:t>
      </w:r>
      <w:r w:rsidR="000E2914" w:rsidRPr="00D44AA2">
        <w:rPr>
          <w:rFonts w:ascii="Arial" w:hAnsi="Arial" w:cs="Arial"/>
          <w:sz w:val="22"/>
          <w:szCs w:val="22"/>
        </w:rPr>
        <w:t>départ</w:t>
      </w:r>
      <w:r w:rsidRPr="00D44AA2">
        <w:rPr>
          <w:rFonts w:ascii="Arial" w:hAnsi="Arial" w:cs="Arial"/>
          <w:sz w:val="22"/>
          <w:szCs w:val="22"/>
        </w:rPr>
        <w:t xml:space="preserve"> à des conditions de performance. </w:t>
      </w:r>
    </w:p>
    <w:p w14:paraId="0833B2AF"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 xml:space="preserve">Les conditions de performance </w:t>
      </w:r>
      <w:r w:rsidR="000E2914" w:rsidRPr="00D44AA2">
        <w:rPr>
          <w:rFonts w:ascii="Arial" w:hAnsi="Arial" w:cs="Arial"/>
          <w:sz w:val="22"/>
          <w:szCs w:val="22"/>
        </w:rPr>
        <w:t>fixées</w:t>
      </w:r>
      <w:r w:rsidRPr="00D44AA2">
        <w:rPr>
          <w:rFonts w:ascii="Arial" w:hAnsi="Arial" w:cs="Arial"/>
          <w:sz w:val="22"/>
          <w:szCs w:val="22"/>
        </w:rPr>
        <w:t xml:space="preserve"> par les conseils pour ces </w:t>
      </w:r>
      <w:r w:rsidR="000E2914" w:rsidRPr="00D44AA2">
        <w:rPr>
          <w:rFonts w:ascii="Arial" w:hAnsi="Arial" w:cs="Arial"/>
          <w:sz w:val="22"/>
          <w:szCs w:val="22"/>
        </w:rPr>
        <w:t>indemnités</w:t>
      </w:r>
      <w:r w:rsidRPr="00D44AA2">
        <w:rPr>
          <w:rFonts w:ascii="Arial" w:hAnsi="Arial" w:cs="Arial"/>
          <w:sz w:val="22"/>
          <w:szCs w:val="22"/>
        </w:rPr>
        <w:t xml:space="preserve"> doivent </w:t>
      </w:r>
      <w:r w:rsidR="000E2914" w:rsidRPr="00D44AA2">
        <w:rPr>
          <w:rFonts w:ascii="Arial" w:hAnsi="Arial" w:cs="Arial"/>
          <w:sz w:val="22"/>
          <w:szCs w:val="22"/>
        </w:rPr>
        <w:t>être</w:t>
      </w:r>
      <w:r w:rsidRPr="00D44AA2">
        <w:rPr>
          <w:rFonts w:ascii="Arial" w:hAnsi="Arial" w:cs="Arial"/>
          <w:sz w:val="22"/>
          <w:szCs w:val="22"/>
        </w:rPr>
        <w:t xml:space="preserve"> </w:t>
      </w:r>
      <w:r w:rsidR="000E2914" w:rsidRPr="00D44AA2">
        <w:rPr>
          <w:rFonts w:ascii="Arial" w:hAnsi="Arial" w:cs="Arial"/>
          <w:sz w:val="22"/>
          <w:szCs w:val="22"/>
        </w:rPr>
        <w:t>appréciées</w:t>
      </w:r>
      <w:r w:rsidRPr="00D44AA2">
        <w:rPr>
          <w:rFonts w:ascii="Arial" w:hAnsi="Arial" w:cs="Arial"/>
          <w:sz w:val="22"/>
          <w:szCs w:val="22"/>
        </w:rPr>
        <w:t xml:space="preserve"> sur deux exercices au moins. Elles doivent </w:t>
      </w:r>
      <w:r w:rsidR="000E2914" w:rsidRPr="00D44AA2">
        <w:rPr>
          <w:rFonts w:ascii="Arial" w:hAnsi="Arial" w:cs="Arial"/>
          <w:sz w:val="22"/>
          <w:szCs w:val="22"/>
        </w:rPr>
        <w:t>être</w:t>
      </w:r>
      <w:r w:rsidRPr="00D44AA2">
        <w:rPr>
          <w:rFonts w:ascii="Arial" w:hAnsi="Arial" w:cs="Arial"/>
          <w:sz w:val="22"/>
          <w:szCs w:val="22"/>
        </w:rPr>
        <w:t xml:space="preserve"> exigeantes et n’autoriser l’indemnisation d’un dirigeant qu’en cas de </w:t>
      </w:r>
      <w:r w:rsidR="000E2914" w:rsidRPr="00D44AA2">
        <w:rPr>
          <w:rFonts w:ascii="Arial" w:hAnsi="Arial" w:cs="Arial"/>
          <w:sz w:val="22"/>
          <w:szCs w:val="22"/>
        </w:rPr>
        <w:t>départ</w:t>
      </w:r>
      <w:r w:rsidRPr="00D44AA2">
        <w:rPr>
          <w:rFonts w:ascii="Arial" w:hAnsi="Arial" w:cs="Arial"/>
          <w:sz w:val="22"/>
          <w:szCs w:val="22"/>
        </w:rPr>
        <w:t xml:space="preserve"> contraint, quelle que soit la forme que </w:t>
      </w:r>
      <w:r w:rsidR="000E2914" w:rsidRPr="00D44AA2">
        <w:rPr>
          <w:rFonts w:ascii="Arial" w:hAnsi="Arial" w:cs="Arial"/>
          <w:sz w:val="22"/>
          <w:szCs w:val="22"/>
        </w:rPr>
        <w:t>revêt</w:t>
      </w:r>
      <w:r w:rsidRPr="00D44AA2">
        <w:rPr>
          <w:rFonts w:ascii="Arial" w:hAnsi="Arial" w:cs="Arial"/>
          <w:sz w:val="22"/>
          <w:szCs w:val="22"/>
        </w:rPr>
        <w:t xml:space="preserve"> ce </w:t>
      </w:r>
      <w:r w:rsidR="000E2914" w:rsidRPr="00D44AA2">
        <w:rPr>
          <w:rFonts w:ascii="Arial" w:hAnsi="Arial" w:cs="Arial"/>
          <w:sz w:val="22"/>
          <w:szCs w:val="22"/>
        </w:rPr>
        <w:t>départ</w:t>
      </w:r>
      <w:r w:rsidRPr="00D44AA2">
        <w:rPr>
          <w:rFonts w:ascii="Arial" w:hAnsi="Arial" w:cs="Arial"/>
          <w:sz w:val="22"/>
          <w:szCs w:val="22"/>
        </w:rPr>
        <w:t xml:space="preserve">. </w:t>
      </w:r>
    </w:p>
    <w:p w14:paraId="425A9447"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Le versement d’</w:t>
      </w:r>
      <w:r w:rsidR="000E2914" w:rsidRPr="00D44AA2">
        <w:rPr>
          <w:rFonts w:ascii="Arial" w:hAnsi="Arial" w:cs="Arial"/>
          <w:sz w:val="22"/>
          <w:szCs w:val="22"/>
        </w:rPr>
        <w:t>indemnités</w:t>
      </w:r>
      <w:r w:rsidRPr="00D44AA2">
        <w:rPr>
          <w:rFonts w:ascii="Arial" w:hAnsi="Arial" w:cs="Arial"/>
          <w:sz w:val="22"/>
          <w:szCs w:val="22"/>
        </w:rPr>
        <w:t xml:space="preserve"> de </w:t>
      </w:r>
      <w:r w:rsidR="000E2914" w:rsidRPr="00D44AA2">
        <w:rPr>
          <w:rFonts w:ascii="Arial" w:hAnsi="Arial" w:cs="Arial"/>
          <w:sz w:val="22"/>
          <w:szCs w:val="22"/>
        </w:rPr>
        <w:t>départ</w:t>
      </w:r>
      <w:r w:rsidRPr="00D44AA2">
        <w:rPr>
          <w:rFonts w:ascii="Arial" w:hAnsi="Arial" w:cs="Arial"/>
          <w:sz w:val="22"/>
          <w:szCs w:val="22"/>
        </w:rPr>
        <w:t xml:space="preserve"> à un dirigeant mandataire social doit </w:t>
      </w:r>
      <w:r w:rsidR="000E2914" w:rsidRPr="00D44AA2">
        <w:rPr>
          <w:rFonts w:ascii="Arial" w:hAnsi="Arial" w:cs="Arial"/>
          <w:sz w:val="22"/>
          <w:szCs w:val="22"/>
        </w:rPr>
        <w:t>être</w:t>
      </w:r>
      <w:r w:rsidRPr="00D44AA2">
        <w:rPr>
          <w:rFonts w:ascii="Arial" w:hAnsi="Arial" w:cs="Arial"/>
          <w:sz w:val="22"/>
          <w:szCs w:val="22"/>
        </w:rPr>
        <w:t xml:space="preserve"> exclu s’il quitte à son initiative la </w:t>
      </w:r>
      <w:r w:rsidR="000E2914" w:rsidRPr="00D44AA2">
        <w:rPr>
          <w:rFonts w:ascii="Arial" w:hAnsi="Arial" w:cs="Arial"/>
          <w:sz w:val="22"/>
          <w:szCs w:val="22"/>
        </w:rPr>
        <w:t>société</w:t>
      </w:r>
      <w:r w:rsidRPr="00D44AA2">
        <w:rPr>
          <w:rFonts w:ascii="Arial" w:hAnsi="Arial" w:cs="Arial"/>
          <w:sz w:val="22"/>
          <w:szCs w:val="22"/>
        </w:rPr>
        <w:t xml:space="preserve"> pour exercer de nouvelles fonctions, ou change de fonctions à l’</w:t>
      </w:r>
      <w:r w:rsidR="000E2914" w:rsidRPr="00D44AA2">
        <w:rPr>
          <w:rFonts w:ascii="Arial" w:hAnsi="Arial" w:cs="Arial"/>
          <w:sz w:val="22"/>
          <w:szCs w:val="22"/>
        </w:rPr>
        <w:t>intérieur</w:t>
      </w:r>
      <w:r w:rsidRPr="00D44AA2">
        <w:rPr>
          <w:rFonts w:ascii="Arial" w:hAnsi="Arial" w:cs="Arial"/>
          <w:sz w:val="22"/>
          <w:szCs w:val="22"/>
        </w:rPr>
        <w:t xml:space="preserve"> d’un groupe, ou encore s’il a la </w:t>
      </w:r>
      <w:r w:rsidR="000E2914" w:rsidRPr="00D44AA2">
        <w:rPr>
          <w:rFonts w:ascii="Arial" w:hAnsi="Arial" w:cs="Arial"/>
          <w:sz w:val="22"/>
          <w:szCs w:val="22"/>
        </w:rPr>
        <w:t>possibilité</w:t>
      </w:r>
      <w:r w:rsidRPr="00D44AA2">
        <w:rPr>
          <w:rFonts w:ascii="Arial" w:hAnsi="Arial" w:cs="Arial"/>
          <w:sz w:val="22"/>
          <w:szCs w:val="22"/>
        </w:rPr>
        <w:t xml:space="preserve">́ de faire valoir ses droits à la retraite. </w:t>
      </w:r>
    </w:p>
    <w:p w14:paraId="27F7442E" w14:textId="7092AA4B"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L’</w:t>
      </w:r>
      <w:r w:rsidR="00CA4E90" w:rsidRPr="00D44AA2">
        <w:rPr>
          <w:rFonts w:ascii="Arial" w:hAnsi="Arial" w:cs="Arial"/>
          <w:sz w:val="22"/>
          <w:szCs w:val="22"/>
        </w:rPr>
        <w:t>indemnité</w:t>
      </w:r>
      <w:r w:rsidRPr="00D44AA2">
        <w:rPr>
          <w:rFonts w:ascii="Arial" w:hAnsi="Arial" w:cs="Arial"/>
          <w:sz w:val="22"/>
          <w:szCs w:val="22"/>
        </w:rPr>
        <w:t xml:space="preserve">́ de </w:t>
      </w:r>
      <w:r w:rsidR="000E2914" w:rsidRPr="00D44AA2">
        <w:rPr>
          <w:rFonts w:ascii="Arial" w:hAnsi="Arial" w:cs="Arial"/>
          <w:sz w:val="22"/>
          <w:szCs w:val="22"/>
        </w:rPr>
        <w:t>départ</w:t>
      </w:r>
      <w:r w:rsidRPr="00D44AA2">
        <w:rPr>
          <w:rFonts w:ascii="Arial" w:hAnsi="Arial" w:cs="Arial"/>
          <w:sz w:val="22"/>
          <w:szCs w:val="22"/>
        </w:rPr>
        <w:t xml:space="preserve"> ne doit pas </w:t>
      </w:r>
      <w:r w:rsidR="000E2914" w:rsidRPr="00D44AA2">
        <w:rPr>
          <w:rFonts w:ascii="Arial" w:hAnsi="Arial" w:cs="Arial"/>
          <w:sz w:val="22"/>
          <w:szCs w:val="22"/>
        </w:rPr>
        <w:t>excéder</w:t>
      </w:r>
      <w:r w:rsidRPr="00D44AA2">
        <w:rPr>
          <w:rFonts w:ascii="Arial" w:hAnsi="Arial" w:cs="Arial"/>
          <w:sz w:val="22"/>
          <w:szCs w:val="22"/>
        </w:rPr>
        <w:t xml:space="preserve">, le cas </w:t>
      </w:r>
      <w:r w:rsidR="000E2914" w:rsidRPr="00D44AA2">
        <w:rPr>
          <w:rFonts w:ascii="Arial" w:hAnsi="Arial" w:cs="Arial"/>
          <w:sz w:val="22"/>
          <w:szCs w:val="22"/>
        </w:rPr>
        <w:t>échéant</w:t>
      </w:r>
      <w:r w:rsidRPr="00D44AA2">
        <w:rPr>
          <w:rFonts w:ascii="Arial" w:hAnsi="Arial" w:cs="Arial"/>
          <w:sz w:val="22"/>
          <w:szCs w:val="22"/>
        </w:rPr>
        <w:t xml:space="preserve">, deux ans de </w:t>
      </w:r>
      <w:r w:rsidR="00CE31D6" w:rsidRPr="00D44AA2">
        <w:rPr>
          <w:rFonts w:ascii="Arial" w:hAnsi="Arial" w:cs="Arial"/>
          <w:sz w:val="22"/>
          <w:szCs w:val="22"/>
        </w:rPr>
        <w:t>rémunération</w:t>
      </w:r>
      <w:r w:rsidRPr="00D44AA2">
        <w:rPr>
          <w:rFonts w:ascii="Arial" w:hAnsi="Arial" w:cs="Arial"/>
          <w:sz w:val="22"/>
          <w:szCs w:val="22"/>
        </w:rPr>
        <w:t xml:space="preserve"> (fixe et variable annuelle). </w:t>
      </w:r>
    </w:p>
    <w:p w14:paraId="53FF7120"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 xml:space="preserve">Lorsqu’une clause de non-concurrence est en outre </w:t>
      </w:r>
      <w:r w:rsidR="000E2914" w:rsidRPr="00D44AA2">
        <w:rPr>
          <w:rFonts w:ascii="Arial" w:hAnsi="Arial" w:cs="Arial"/>
          <w:sz w:val="22"/>
          <w:szCs w:val="22"/>
        </w:rPr>
        <w:t>stipulée</w:t>
      </w:r>
      <w:r w:rsidRPr="00D44AA2">
        <w:rPr>
          <w:rFonts w:ascii="Arial" w:hAnsi="Arial" w:cs="Arial"/>
          <w:sz w:val="22"/>
          <w:szCs w:val="22"/>
        </w:rPr>
        <w:t xml:space="preserve">, le conseil se prononce sur l’application ou non de la clause au moment du </w:t>
      </w:r>
      <w:r w:rsidR="000E2914" w:rsidRPr="00D44AA2">
        <w:rPr>
          <w:rFonts w:ascii="Arial" w:hAnsi="Arial" w:cs="Arial"/>
          <w:sz w:val="22"/>
          <w:szCs w:val="22"/>
        </w:rPr>
        <w:t>départ</w:t>
      </w:r>
      <w:r w:rsidRPr="00D44AA2">
        <w:rPr>
          <w:rFonts w:ascii="Arial" w:hAnsi="Arial" w:cs="Arial"/>
          <w:sz w:val="22"/>
          <w:szCs w:val="22"/>
        </w:rPr>
        <w:t xml:space="preserve"> du dirigeant. En tout </w:t>
      </w:r>
      <w:r w:rsidR="000E2914" w:rsidRPr="00D44AA2">
        <w:rPr>
          <w:rFonts w:ascii="Arial" w:hAnsi="Arial" w:cs="Arial"/>
          <w:sz w:val="22"/>
          <w:szCs w:val="22"/>
        </w:rPr>
        <w:t>état</w:t>
      </w:r>
      <w:r w:rsidRPr="00D44AA2">
        <w:rPr>
          <w:rFonts w:ascii="Arial" w:hAnsi="Arial" w:cs="Arial"/>
          <w:sz w:val="22"/>
          <w:szCs w:val="22"/>
        </w:rPr>
        <w:t xml:space="preserve"> de cause, le cumul des deux </w:t>
      </w:r>
      <w:r w:rsidR="000E2914" w:rsidRPr="00D44AA2">
        <w:rPr>
          <w:rFonts w:ascii="Arial" w:hAnsi="Arial" w:cs="Arial"/>
          <w:sz w:val="22"/>
          <w:szCs w:val="22"/>
        </w:rPr>
        <w:t>indemnités</w:t>
      </w:r>
      <w:r w:rsidRPr="00D44AA2">
        <w:rPr>
          <w:rFonts w:ascii="Arial" w:hAnsi="Arial" w:cs="Arial"/>
          <w:sz w:val="22"/>
          <w:szCs w:val="22"/>
        </w:rPr>
        <w:t xml:space="preserve"> ne peut </w:t>
      </w:r>
      <w:r w:rsidR="000E2914" w:rsidRPr="00D44AA2">
        <w:rPr>
          <w:rFonts w:ascii="Arial" w:hAnsi="Arial" w:cs="Arial"/>
          <w:sz w:val="22"/>
          <w:szCs w:val="22"/>
        </w:rPr>
        <w:t>excéder</w:t>
      </w:r>
      <w:r w:rsidRPr="00D44AA2">
        <w:rPr>
          <w:rFonts w:ascii="Arial" w:hAnsi="Arial" w:cs="Arial"/>
          <w:sz w:val="22"/>
          <w:szCs w:val="22"/>
        </w:rPr>
        <w:t xml:space="preserve"> ce plafond. </w:t>
      </w:r>
    </w:p>
    <w:p w14:paraId="09A3BF5B"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 xml:space="preserve">Ce plafond de deux ans couvre </w:t>
      </w:r>
      <w:r w:rsidR="000E2914" w:rsidRPr="00D44AA2">
        <w:rPr>
          <w:rFonts w:ascii="Arial" w:hAnsi="Arial" w:cs="Arial"/>
          <w:sz w:val="22"/>
          <w:szCs w:val="22"/>
        </w:rPr>
        <w:t>également</w:t>
      </w:r>
      <w:r w:rsidRPr="00D44AA2">
        <w:rPr>
          <w:rFonts w:ascii="Arial" w:hAnsi="Arial" w:cs="Arial"/>
          <w:sz w:val="22"/>
          <w:szCs w:val="22"/>
        </w:rPr>
        <w:t xml:space="preserve">, le cas </w:t>
      </w:r>
      <w:r w:rsidR="000E2914" w:rsidRPr="00D44AA2">
        <w:rPr>
          <w:rFonts w:ascii="Arial" w:hAnsi="Arial" w:cs="Arial"/>
          <w:sz w:val="22"/>
          <w:szCs w:val="22"/>
        </w:rPr>
        <w:t>échéant</w:t>
      </w:r>
      <w:r w:rsidRPr="00D44AA2">
        <w:rPr>
          <w:rFonts w:ascii="Arial" w:hAnsi="Arial" w:cs="Arial"/>
          <w:sz w:val="22"/>
          <w:szCs w:val="22"/>
        </w:rPr>
        <w:t xml:space="preserve">, les </w:t>
      </w:r>
      <w:r w:rsidR="000E2914" w:rsidRPr="00D44AA2">
        <w:rPr>
          <w:rFonts w:ascii="Arial" w:hAnsi="Arial" w:cs="Arial"/>
          <w:sz w:val="22"/>
          <w:szCs w:val="22"/>
        </w:rPr>
        <w:t>indemnités</w:t>
      </w:r>
      <w:r w:rsidRPr="00D44AA2">
        <w:rPr>
          <w:rFonts w:ascii="Arial" w:hAnsi="Arial" w:cs="Arial"/>
          <w:sz w:val="22"/>
          <w:szCs w:val="22"/>
        </w:rPr>
        <w:t xml:space="preserve"> </w:t>
      </w:r>
      <w:r w:rsidR="000E2914" w:rsidRPr="00D44AA2">
        <w:rPr>
          <w:rFonts w:ascii="Arial" w:hAnsi="Arial" w:cs="Arial"/>
          <w:sz w:val="22"/>
          <w:szCs w:val="22"/>
        </w:rPr>
        <w:t>liées</w:t>
      </w:r>
      <w:r w:rsidRPr="00D44AA2">
        <w:rPr>
          <w:rFonts w:ascii="Arial" w:hAnsi="Arial" w:cs="Arial"/>
          <w:sz w:val="22"/>
          <w:szCs w:val="22"/>
        </w:rPr>
        <w:t xml:space="preserve"> à la rupture du contrat de travail. </w:t>
      </w:r>
    </w:p>
    <w:p w14:paraId="69F0BAA8" w14:textId="765A8CF8"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 xml:space="preserve">Toute augmentation artificielle de la </w:t>
      </w:r>
      <w:r w:rsidR="004224CC" w:rsidRPr="00D44AA2">
        <w:rPr>
          <w:rFonts w:ascii="Arial" w:hAnsi="Arial" w:cs="Arial"/>
          <w:sz w:val="22"/>
          <w:szCs w:val="22"/>
        </w:rPr>
        <w:t>rémunération</w:t>
      </w:r>
      <w:r w:rsidRPr="00D44AA2">
        <w:rPr>
          <w:rFonts w:ascii="Arial" w:hAnsi="Arial" w:cs="Arial"/>
          <w:sz w:val="22"/>
          <w:szCs w:val="22"/>
        </w:rPr>
        <w:t xml:space="preserve"> dans la </w:t>
      </w:r>
      <w:r w:rsidR="004224CC" w:rsidRPr="00D44AA2">
        <w:rPr>
          <w:rFonts w:ascii="Arial" w:hAnsi="Arial" w:cs="Arial"/>
          <w:sz w:val="22"/>
          <w:szCs w:val="22"/>
        </w:rPr>
        <w:t>période</w:t>
      </w:r>
      <w:r w:rsidRPr="00D44AA2">
        <w:rPr>
          <w:rFonts w:ascii="Arial" w:hAnsi="Arial" w:cs="Arial"/>
          <w:sz w:val="22"/>
          <w:szCs w:val="22"/>
        </w:rPr>
        <w:t xml:space="preserve"> </w:t>
      </w:r>
      <w:r w:rsidR="000E2914" w:rsidRPr="00D44AA2">
        <w:rPr>
          <w:rFonts w:ascii="Arial" w:hAnsi="Arial" w:cs="Arial"/>
          <w:sz w:val="22"/>
          <w:szCs w:val="22"/>
        </w:rPr>
        <w:t>préalable</w:t>
      </w:r>
      <w:r w:rsidRPr="00D44AA2">
        <w:rPr>
          <w:rFonts w:ascii="Arial" w:hAnsi="Arial" w:cs="Arial"/>
          <w:sz w:val="22"/>
          <w:szCs w:val="22"/>
        </w:rPr>
        <w:t xml:space="preserve"> au </w:t>
      </w:r>
      <w:r w:rsidR="000E2914" w:rsidRPr="00D44AA2">
        <w:rPr>
          <w:rFonts w:ascii="Arial" w:hAnsi="Arial" w:cs="Arial"/>
          <w:sz w:val="22"/>
          <w:szCs w:val="22"/>
        </w:rPr>
        <w:t>départ</w:t>
      </w:r>
      <w:r w:rsidRPr="00D44AA2">
        <w:rPr>
          <w:rFonts w:ascii="Arial" w:hAnsi="Arial" w:cs="Arial"/>
          <w:sz w:val="22"/>
          <w:szCs w:val="22"/>
        </w:rPr>
        <w:t xml:space="preserve"> est </w:t>
      </w:r>
      <w:r w:rsidR="000E2914" w:rsidRPr="00D44AA2">
        <w:rPr>
          <w:rFonts w:ascii="Arial" w:hAnsi="Arial" w:cs="Arial"/>
          <w:sz w:val="22"/>
          <w:szCs w:val="22"/>
        </w:rPr>
        <w:t>à</w:t>
      </w:r>
      <w:r w:rsidRPr="00D44AA2">
        <w:rPr>
          <w:rFonts w:ascii="Arial" w:hAnsi="Arial" w:cs="Arial"/>
          <w:sz w:val="22"/>
          <w:szCs w:val="22"/>
        </w:rPr>
        <w:t xml:space="preserve">̀ proscrire. </w:t>
      </w:r>
    </w:p>
    <w:p w14:paraId="5335AC80" w14:textId="77777777" w:rsidR="00AD2B25" w:rsidRPr="00D44AA2" w:rsidRDefault="00AD2B25" w:rsidP="00AD2B2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2"/>
          <w:szCs w:val="22"/>
        </w:rPr>
      </w:pPr>
      <w:r w:rsidRPr="00D44AA2">
        <w:rPr>
          <w:rFonts w:ascii="Arial" w:hAnsi="Arial" w:cs="Arial"/>
          <w:sz w:val="22"/>
          <w:szCs w:val="22"/>
        </w:rPr>
        <w:t xml:space="preserve">Un dirigeant mandataire social ne peut se voir attribuer des options d’actions ou des actions de performance au moment de son </w:t>
      </w:r>
      <w:r w:rsidR="000E2914" w:rsidRPr="00D44AA2">
        <w:rPr>
          <w:rFonts w:ascii="Arial" w:hAnsi="Arial" w:cs="Arial"/>
          <w:sz w:val="22"/>
          <w:szCs w:val="22"/>
        </w:rPr>
        <w:t>départ</w:t>
      </w:r>
      <w:r w:rsidRPr="00D44AA2">
        <w:rPr>
          <w:rFonts w:ascii="Arial" w:hAnsi="Arial" w:cs="Arial"/>
          <w:sz w:val="22"/>
          <w:szCs w:val="22"/>
        </w:rPr>
        <w:t xml:space="preserve">. </w:t>
      </w:r>
    </w:p>
    <w:p w14:paraId="4D2792CD" w14:textId="085ED3AA" w:rsidR="00EF1E9C" w:rsidRPr="00D44AA2" w:rsidRDefault="00AD2B25" w:rsidP="00EF1E9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D44AA2">
        <w:rPr>
          <w:rFonts w:ascii="Arial" w:hAnsi="Arial" w:cs="Arial"/>
          <w:sz w:val="22"/>
          <w:szCs w:val="22"/>
        </w:rPr>
        <w:t xml:space="preserve">En cas de </w:t>
      </w:r>
      <w:r w:rsidR="000E2914" w:rsidRPr="00D44AA2">
        <w:rPr>
          <w:rFonts w:ascii="Arial" w:hAnsi="Arial" w:cs="Arial"/>
          <w:sz w:val="22"/>
          <w:szCs w:val="22"/>
        </w:rPr>
        <w:t>départ</w:t>
      </w:r>
      <w:r w:rsidRPr="00D44AA2">
        <w:rPr>
          <w:rFonts w:ascii="Arial" w:hAnsi="Arial" w:cs="Arial"/>
          <w:sz w:val="22"/>
          <w:szCs w:val="22"/>
        </w:rPr>
        <w:t xml:space="preserve"> du dirigeant mandataire social avant l’expiration de la </w:t>
      </w:r>
      <w:r w:rsidR="000E2914" w:rsidRPr="00D44AA2">
        <w:rPr>
          <w:rFonts w:ascii="Arial" w:hAnsi="Arial" w:cs="Arial"/>
          <w:sz w:val="22"/>
          <w:szCs w:val="22"/>
        </w:rPr>
        <w:t>durée</w:t>
      </w:r>
      <w:r w:rsidRPr="00D44AA2">
        <w:rPr>
          <w:rFonts w:ascii="Arial" w:hAnsi="Arial" w:cs="Arial"/>
          <w:sz w:val="22"/>
          <w:szCs w:val="22"/>
        </w:rPr>
        <w:t xml:space="preserve"> </w:t>
      </w:r>
      <w:r w:rsidR="000E2914" w:rsidRPr="00D44AA2">
        <w:rPr>
          <w:rFonts w:ascii="Arial" w:hAnsi="Arial" w:cs="Arial"/>
          <w:sz w:val="22"/>
          <w:szCs w:val="22"/>
        </w:rPr>
        <w:t>prévue</w:t>
      </w:r>
      <w:r w:rsidRPr="00D44AA2">
        <w:rPr>
          <w:rFonts w:ascii="Arial" w:hAnsi="Arial" w:cs="Arial"/>
          <w:sz w:val="22"/>
          <w:szCs w:val="22"/>
        </w:rPr>
        <w:t xml:space="preserve"> pour l’</w:t>
      </w:r>
      <w:r w:rsidR="000E2914" w:rsidRPr="00D44AA2">
        <w:rPr>
          <w:rFonts w:ascii="Arial" w:hAnsi="Arial" w:cs="Arial"/>
          <w:sz w:val="22"/>
          <w:szCs w:val="22"/>
        </w:rPr>
        <w:t>appréciation</w:t>
      </w:r>
      <w:r w:rsidRPr="00D44AA2">
        <w:rPr>
          <w:rFonts w:ascii="Arial" w:hAnsi="Arial" w:cs="Arial"/>
          <w:sz w:val="22"/>
          <w:szCs w:val="22"/>
        </w:rPr>
        <w:t xml:space="preserve"> des </w:t>
      </w:r>
      <w:r w:rsidR="004224CC" w:rsidRPr="00D44AA2">
        <w:rPr>
          <w:rFonts w:ascii="Arial" w:hAnsi="Arial" w:cs="Arial"/>
          <w:sz w:val="22"/>
          <w:szCs w:val="22"/>
        </w:rPr>
        <w:t>critères</w:t>
      </w:r>
      <w:r w:rsidRPr="00D44AA2">
        <w:rPr>
          <w:rFonts w:ascii="Arial" w:hAnsi="Arial" w:cs="Arial"/>
          <w:sz w:val="22"/>
          <w:szCs w:val="22"/>
        </w:rPr>
        <w:t xml:space="preserve"> de performance des </w:t>
      </w:r>
      <w:r w:rsidR="000E2914" w:rsidRPr="00D44AA2">
        <w:rPr>
          <w:rFonts w:ascii="Arial" w:hAnsi="Arial" w:cs="Arial"/>
          <w:sz w:val="22"/>
          <w:szCs w:val="22"/>
        </w:rPr>
        <w:t>mécanismes</w:t>
      </w:r>
      <w:r w:rsidRPr="00D44AA2">
        <w:rPr>
          <w:rFonts w:ascii="Arial" w:hAnsi="Arial" w:cs="Arial"/>
          <w:sz w:val="22"/>
          <w:szCs w:val="22"/>
        </w:rPr>
        <w:t xml:space="preserve"> de </w:t>
      </w:r>
      <w:r w:rsidR="004224CC" w:rsidRPr="00D44AA2">
        <w:rPr>
          <w:rFonts w:ascii="Arial" w:hAnsi="Arial" w:cs="Arial"/>
          <w:sz w:val="22"/>
          <w:szCs w:val="22"/>
        </w:rPr>
        <w:t>rémunération</w:t>
      </w:r>
      <w:r w:rsidRPr="00D44AA2">
        <w:rPr>
          <w:rFonts w:ascii="Arial" w:hAnsi="Arial" w:cs="Arial"/>
          <w:sz w:val="22"/>
          <w:szCs w:val="22"/>
        </w:rPr>
        <w:t xml:space="preserve"> de long terme, le maintien en tout ou partie du </w:t>
      </w:r>
      <w:r w:rsidR="000E2914" w:rsidRPr="00D44AA2">
        <w:rPr>
          <w:rFonts w:ascii="Arial" w:hAnsi="Arial" w:cs="Arial"/>
          <w:sz w:val="22"/>
          <w:szCs w:val="22"/>
        </w:rPr>
        <w:t>bénéfice</w:t>
      </w:r>
      <w:r w:rsidRPr="00D44AA2">
        <w:rPr>
          <w:rFonts w:ascii="Arial" w:hAnsi="Arial" w:cs="Arial"/>
          <w:sz w:val="22"/>
          <w:szCs w:val="22"/>
        </w:rPr>
        <w:t xml:space="preserve"> de la </w:t>
      </w:r>
      <w:r w:rsidR="004224CC" w:rsidRPr="00D44AA2">
        <w:rPr>
          <w:rFonts w:ascii="Arial" w:hAnsi="Arial" w:cs="Arial"/>
          <w:sz w:val="22"/>
          <w:szCs w:val="22"/>
        </w:rPr>
        <w:t>rémunération</w:t>
      </w:r>
      <w:r w:rsidRPr="00D44AA2">
        <w:rPr>
          <w:rFonts w:ascii="Arial" w:hAnsi="Arial" w:cs="Arial"/>
          <w:sz w:val="22"/>
          <w:szCs w:val="22"/>
        </w:rPr>
        <w:t xml:space="preserve"> de long terme ou de son versement </w:t>
      </w:r>
      <w:r w:rsidR="000E2914" w:rsidRPr="00D44AA2">
        <w:rPr>
          <w:rFonts w:ascii="Arial" w:hAnsi="Arial" w:cs="Arial"/>
          <w:sz w:val="22"/>
          <w:szCs w:val="22"/>
        </w:rPr>
        <w:t>relève</w:t>
      </w:r>
      <w:r w:rsidRPr="00D44AA2">
        <w:rPr>
          <w:rFonts w:ascii="Arial" w:hAnsi="Arial" w:cs="Arial"/>
          <w:sz w:val="22"/>
          <w:szCs w:val="22"/>
        </w:rPr>
        <w:t xml:space="preserve"> de l’</w:t>
      </w:r>
      <w:r w:rsidR="000E2914" w:rsidRPr="00D44AA2">
        <w:rPr>
          <w:rFonts w:ascii="Arial" w:hAnsi="Arial" w:cs="Arial"/>
          <w:sz w:val="22"/>
          <w:szCs w:val="22"/>
        </w:rPr>
        <w:t>appréciation</w:t>
      </w:r>
      <w:r w:rsidRPr="00D44AA2">
        <w:rPr>
          <w:rFonts w:ascii="Arial" w:hAnsi="Arial" w:cs="Arial"/>
          <w:sz w:val="22"/>
          <w:szCs w:val="22"/>
        </w:rPr>
        <w:t xml:space="preserve"> du conseil et est </w:t>
      </w:r>
      <w:r w:rsidR="000E2914" w:rsidRPr="00D44AA2">
        <w:rPr>
          <w:rFonts w:ascii="Arial" w:hAnsi="Arial" w:cs="Arial"/>
          <w:sz w:val="22"/>
          <w:szCs w:val="22"/>
        </w:rPr>
        <w:t>motivé</w:t>
      </w:r>
      <w:r w:rsidRPr="00D44AA2">
        <w:rPr>
          <w:rFonts w:ascii="Arial" w:hAnsi="Arial" w:cs="Arial"/>
          <w:sz w:val="22"/>
          <w:szCs w:val="22"/>
        </w:rPr>
        <w:t xml:space="preserve">. </w:t>
      </w:r>
    </w:p>
    <w:p w14:paraId="02379652" w14:textId="77777777" w:rsidR="00EF1E9C" w:rsidRPr="00D44AA2" w:rsidRDefault="00EF1E9C" w:rsidP="00EF1E9C">
      <w:pPr>
        <w:jc w:val="center"/>
        <w:rPr>
          <w:rFonts w:ascii="Arial" w:hAnsi="Arial" w:cs="Arial"/>
          <w:b/>
        </w:rPr>
      </w:pPr>
    </w:p>
    <w:p w14:paraId="298E8515" w14:textId="77777777" w:rsidR="00450DC9" w:rsidRPr="00D44AA2" w:rsidRDefault="00450DC9" w:rsidP="00EF1E9C">
      <w:pPr>
        <w:jc w:val="center"/>
        <w:rPr>
          <w:rFonts w:ascii="Arial" w:hAnsi="Arial" w:cs="Arial"/>
          <w:b/>
        </w:rPr>
      </w:pPr>
    </w:p>
    <w:p w14:paraId="672468F0" w14:textId="77777777" w:rsidR="00081049" w:rsidRDefault="00081049">
      <w:pPr>
        <w:rPr>
          <w:rFonts w:ascii="Arial" w:hAnsi="Arial" w:cs="Arial"/>
          <w:b/>
        </w:rPr>
      </w:pPr>
      <w:r>
        <w:rPr>
          <w:rFonts w:ascii="Arial" w:hAnsi="Arial" w:cs="Arial"/>
          <w:b/>
        </w:rPr>
        <w:br w:type="page"/>
      </w:r>
    </w:p>
    <w:p w14:paraId="72CE46C9" w14:textId="3A3EEE47" w:rsidR="00022585" w:rsidRPr="00D44AA2" w:rsidRDefault="00186668" w:rsidP="00EF1E9C">
      <w:pPr>
        <w:jc w:val="center"/>
        <w:rPr>
          <w:rFonts w:ascii="Arial" w:hAnsi="Arial" w:cs="Arial"/>
          <w:b/>
        </w:rPr>
      </w:pPr>
      <w:r w:rsidRPr="00D44AA2">
        <w:rPr>
          <w:rFonts w:ascii="Arial" w:hAnsi="Arial" w:cs="Arial"/>
          <w:b/>
        </w:rPr>
        <w:lastRenderedPageBreak/>
        <w:t>Annexe 3 </w:t>
      </w:r>
      <w:r w:rsidR="00B06E82">
        <w:rPr>
          <w:rFonts w:ascii="Arial" w:hAnsi="Arial" w:cs="Arial"/>
          <w:b/>
        </w:rPr>
        <w:t>-</w:t>
      </w:r>
      <w:r w:rsidRPr="00D44AA2">
        <w:rPr>
          <w:rFonts w:ascii="Arial" w:hAnsi="Arial" w:cs="Arial"/>
          <w:b/>
        </w:rPr>
        <w:t xml:space="preserve"> Extrait des conditions financières de la cessation des fonctions de la </w:t>
      </w:r>
      <w:r w:rsidR="00F173E5">
        <w:rPr>
          <w:rFonts w:ascii="Arial" w:hAnsi="Arial" w:cs="Arial"/>
          <w:b/>
        </w:rPr>
        <w:t>d</w:t>
      </w:r>
      <w:r w:rsidRPr="00D44AA2">
        <w:rPr>
          <w:rFonts w:ascii="Arial" w:hAnsi="Arial" w:cs="Arial"/>
          <w:b/>
        </w:rPr>
        <w:t xml:space="preserve">irectrice </w:t>
      </w:r>
      <w:r w:rsidR="00F173E5">
        <w:rPr>
          <w:rFonts w:ascii="Arial" w:hAnsi="Arial" w:cs="Arial"/>
          <w:b/>
        </w:rPr>
        <w:t>g</w:t>
      </w:r>
      <w:r w:rsidRPr="00D44AA2">
        <w:rPr>
          <w:rFonts w:ascii="Arial" w:hAnsi="Arial" w:cs="Arial"/>
          <w:b/>
        </w:rPr>
        <w:t>énérale d’Energy+</w:t>
      </w:r>
    </w:p>
    <w:p w14:paraId="6E7E7EFC" w14:textId="77777777" w:rsidR="00186668" w:rsidRPr="00D44AA2" w:rsidRDefault="00186668" w:rsidP="00E97FBF">
      <w:pPr>
        <w:rPr>
          <w:rFonts w:ascii="Arial" w:hAnsi="Arial" w:cs="Arial"/>
          <w:b/>
        </w:rPr>
      </w:pPr>
    </w:p>
    <w:p w14:paraId="05DA6E08" w14:textId="63913290" w:rsidR="0053423A"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Cs/>
          <w:sz w:val="22"/>
          <w:szCs w:val="21"/>
        </w:rPr>
      </w:pPr>
      <w:r w:rsidRPr="00F173E5">
        <w:rPr>
          <w:rFonts w:ascii="Arial" w:hAnsi="Arial" w:cs="Arial"/>
          <w:bCs/>
          <w:sz w:val="22"/>
          <w:szCs w:val="21"/>
        </w:rPr>
        <w:t xml:space="preserve">(…) Sur recommandation du </w:t>
      </w:r>
      <w:r w:rsidR="004224CC" w:rsidRPr="00F173E5">
        <w:rPr>
          <w:rFonts w:ascii="Arial" w:hAnsi="Arial" w:cs="Arial"/>
          <w:bCs/>
          <w:sz w:val="22"/>
          <w:szCs w:val="21"/>
        </w:rPr>
        <w:t>Comité</w:t>
      </w:r>
      <w:r w:rsidRPr="00F173E5">
        <w:rPr>
          <w:rFonts w:ascii="Arial" w:hAnsi="Arial" w:cs="Arial"/>
          <w:bCs/>
          <w:sz w:val="22"/>
          <w:szCs w:val="21"/>
        </w:rPr>
        <w:t xml:space="preserve">́ des Nominations, des </w:t>
      </w:r>
      <w:r w:rsidR="004224CC" w:rsidRPr="00F173E5">
        <w:rPr>
          <w:rFonts w:ascii="Arial" w:hAnsi="Arial" w:cs="Arial"/>
          <w:bCs/>
          <w:sz w:val="22"/>
          <w:szCs w:val="21"/>
        </w:rPr>
        <w:t>Rémunérations</w:t>
      </w:r>
      <w:r w:rsidR="00C10A70">
        <w:rPr>
          <w:rFonts w:ascii="Arial" w:hAnsi="Arial" w:cs="Arial"/>
          <w:bCs/>
          <w:sz w:val="22"/>
          <w:szCs w:val="21"/>
        </w:rPr>
        <w:t xml:space="preserve"> et de la Gouvernance, le </w:t>
      </w:r>
      <w:r w:rsidRPr="00F173E5">
        <w:rPr>
          <w:rFonts w:ascii="Arial" w:hAnsi="Arial" w:cs="Arial"/>
          <w:bCs/>
          <w:sz w:val="22"/>
          <w:szCs w:val="21"/>
        </w:rPr>
        <w:t xml:space="preserve">Conseil d’administration a pris les </w:t>
      </w:r>
      <w:r w:rsidR="004224CC" w:rsidRPr="00F173E5">
        <w:rPr>
          <w:rFonts w:ascii="Arial" w:hAnsi="Arial" w:cs="Arial"/>
          <w:bCs/>
          <w:sz w:val="22"/>
          <w:szCs w:val="21"/>
        </w:rPr>
        <w:t>décisions</w:t>
      </w:r>
      <w:r w:rsidRPr="00F173E5">
        <w:rPr>
          <w:rFonts w:ascii="Arial" w:hAnsi="Arial" w:cs="Arial"/>
          <w:bCs/>
          <w:sz w:val="22"/>
          <w:szCs w:val="21"/>
        </w:rPr>
        <w:t xml:space="preserve"> suivantes :</w:t>
      </w:r>
    </w:p>
    <w:p w14:paraId="27BBCC59" w14:textId="6DFD24FD" w:rsidR="0053423A"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Cs/>
          <w:sz w:val="22"/>
          <w:szCs w:val="21"/>
        </w:rPr>
      </w:pPr>
      <w:r w:rsidRPr="00F173E5">
        <w:rPr>
          <w:rFonts w:ascii="Arial" w:hAnsi="Arial" w:cs="Arial"/>
          <w:bCs/>
          <w:sz w:val="22"/>
          <w:szCs w:val="21"/>
        </w:rPr>
        <w:t xml:space="preserve">1. </w:t>
      </w:r>
      <w:r w:rsidR="004224CC" w:rsidRPr="00F173E5">
        <w:rPr>
          <w:rFonts w:ascii="Arial" w:hAnsi="Arial" w:cs="Arial"/>
          <w:b/>
          <w:sz w:val="22"/>
          <w:szCs w:val="21"/>
        </w:rPr>
        <w:t>Rémunération</w:t>
      </w:r>
      <w:r w:rsidRPr="00F173E5">
        <w:rPr>
          <w:rFonts w:ascii="Arial" w:hAnsi="Arial" w:cs="Arial"/>
          <w:b/>
          <w:sz w:val="22"/>
          <w:szCs w:val="21"/>
        </w:rPr>
        <w:t xml:space="preserve"> fixe annuelle pour l’exercice 2020</w:t>
      </w:r>
    </w:p>
    <w:p w14:paraId="6A9B48F2" w14:textId="0E181CF2" w:rsidR="00186668"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Cs/>
          <w:sz w:val="22"/>
          <w:szCs w:val="21"/>
        </w:rPr>
      </w:pPr>
      <w:r w:rsidRPr="00F173E5">
        <w:rPr>
          <w:rFonts w:ascii="Arial" w:hAnsi="Arial" w:cs="Arial"/>
          <w:bCs/>
          <w:sz w:val="22"/>
          <w:szCs w:val="21"/>
        </w:rPr>
        <w:t xml:space="preserve">Le Conseil d’administration a </w:t>
      </w:r>
      <w:r w:rsidR="004224CC" w:rsidRPr="00F173E5">
        <w:rPr>
          <w:rFonts w:ascii="Arial" w:hAnsi="Arial" w:cs="Arial"/>
          <w:bCs/>
          <w:sz w:val="22"/>
          <w:szCs w:val="21"/>
        </w:rPr>
        <w:t>constaté</w:t>
      </w:r>
      <w:r w:rsidRPr="00F173E5">
        <w:rPr>
          <w:rFonts w:ascii="Arial" w:hAnsi="Arial" w:cs="Arial"/>
          <w:bCs/>
          <w:sz w:val="22"/>
          <w:szCs w:val="21"/>
        </w:rPr>
        <w:t xml:space="preserve">́ que la </w:t>
      </w:r>
      <w:proofErr w:type="spellStart"/>
      <w:r w:rsidRPr="00F173E5">
        <w:rPr>
          <w:rFonts w:ascii="Arial" w:hAnsi="Arial" w:cs="Arial"/>
          <w:bCs/>
          <w:sz w:val="22"/>
          <w:szCs w:val="21"/>
        </w:rPr>
        <w:t>rémunération</w:t>
      </w:r>
      <w:proofErr w:type="spellEnd"/>
      <w:r w:rsidRPr="00F173E5">
        <w:rPr>
          <w:rFonts w:ascii="Arial" w:hAnsi="Arial" w:cs="Arial"/>
          <w:bCs/>
          <w:sz w:val="22"/>
          <w:szCs w:val="21"/>
        </w:rPr>
        <w:t xml:space="preserve"> fixe au titre de l’exercice 2020 s’</w:t>
      </w:r>
      <w:proofErr w:type="spellStart"/>
      <w:r w:rsidRPr="00F173E5">
        <w:rPr>
          <w:rFonts w:ascii="Arial" w:hAnsi="Arial" w:cs="Arial"/>
          <w:bCs/>
          <w:sz w:val="22"/>
          <w:szCs w:val="21"/>
        </w:rPr>
        <w:t>élèvera</w:t>
      </w:r>
      <w:proofErr w:type="spellEnd"/>
      <w:r w:rsidRPr="00F173E5">
        <w:rPr>
          <w:rFonts w:ascii="Arial" w:hAnsi="Arial" w:cs="Arial"/>
          <w:bCs/>
          <w:sz w:val="22"/>
          <w:szCs w:val="21"/>
        </w:rPr>
        <w:t xml:space="preserve"> à 166.667 euros bruts. Elle a </w:t>
      </w:r>
      <w:proofErr w:type="spellStart"/>
      <w:r w:rsidRPr="00F173E5">
        <w:rPr>
          <w:rFonts w:ascii="Arial" w:hAnsi="Arial" w:cs="Arial"/>
          <w:bCs/>
          <w:sz w:val="22"/>
          <w:szCs w:val="21"/>
        </w:rPr>
        <w:t>éte</w:t>
      </w:r>
      <w:proofErr w:type="spellEnd"/>
      <w:r w:rsidRPr="00F173E5">
        <w:rPr>
          <w:rFonts w:ascii="Arial" w:hAnsi="Arial" w:cs="Arial"/>
          <w:bCs/>
          <w:sz w:val="22"/>
          <w:szCs w:val="21"/>
        </w:rPr>
        <w:t xml:space="preserve">́ </w:t>
      </w:r>
      <w:proofErr w:type="spellStart"/>
      <w:r w:rsidRPr="00F173E5">
        <w:rPr>
          <w:rFonts w:ascii="Arial" w:hAnsi="Arial" w:cs="Arial"/>
          <w:bCs/>
          <w:sz w:val="22"/>
          <w:szCs w:val="21"/>
        </w:rPr>
        <w:t>calculée</w:t>
      </w:r>
      <w:proofErr w:type="spellEnd"/>
      <w:r w:rsidRPr="00F173E5">
        <w:rPr>
          <w:rFonts w:ascii="Arial" w:hAnsi="Arial" w:cs="Arial"/>
          <w:bCs/>
          <w:sz w:val="22"/>
          <w:szCs w:val="21"/>
        </w:rPr>
        <w:t xml:space="preserve"> prorata </w:t>
      </w:r>
      <w:proofErr w:type="spellStart"/>
      <w:r w:rsidRPr="00F173E5">
        <w:rPr>
          <w:rFonts w:ascii="Arial" w:hAnsi="Arial" w:cs="Arial"/>
          <w:bCs/>
          <w:sz w:val="22"/>
          <w:szCs w:val="21"/>
        </w:rPr>
        <w:t>temporis</w:t>
      </w:r>
      <w:proofErr w:type="spellEnd"/>
      <w:r w:rsidRPr="00F173E5">
        <w:rPr>
          <w:rFonts w:ascii="Arial" w:hAnsi="Arial" w:cs="Arial"/>
          <w:bCs/>
          <w:sz w:val="22"/>
          <w:szCs w:val="21"/>
        </w:rPr>
        <w:t xml:space="preserve"> du 1er janvier 2020 jusqu’</w:t>
      </w:r>
      <w:proofErr w:type="spellStart"/>
      <w:r w:rsidRPr="00F173E5">
        <w:rPr>
          <w:rFonts w:ascii="Arial" w:hAnsi="Arial" w:cs="Arial"/>
          <w:bCs/>
          <w:sz w:val="22"/>
          <w:szCs w:val="21"/>
        </w:rPr>
        <w:t>a</w:t>
      </w:r>
      <w:proofErr w:type="spellEnd"/>
      <w:r w:rsidRPr="00F173E5">
        <w:rPr>
          <w:rFonts w:ascii="Arial" w:hAnsi="Arial" w:cs="Arial"/>
          <w:bCs/>
          <w:sz w:val="22"/>
          <w:szCs w:val="21"/>
        </w:rPr>
        <w:t xml:space="preserve">̀ la fin de ses fonctions de Directeur </w:t>
      </w:r>
      <w:proofErr w:type="spellStart"/>
      <w:r w:rsidRPr="00F173E5">
        <w:rPr>
          <w:rFonts w:ascii="Arial" w:hAnsi="Arial" w:cs="Arial"/>
          <w:bCs/>
          <w:sz w:val="22"/>
          <w:szCs w:val="21"/>
        </w:rPr>
        <w:t>Général</w:t>
      </w:r>
      <w:proofErr w:type="spellEnd"/>
      <w:r w:rsidRPr="00F173E5">
        <w:rPr>
          <w:rFonts w:ascii="Arial" w:hAnsi="Arial" w:cs="Arial"/>
          <w:bCs/>
          <w:sz w:val="22"/>
          <w:szCs w:val="21"/>
        </w:rPr>
        <w:t>.</w:t>
      </w:r>
    </w:p>
    <w:p w14:paraId="624A6B37" w14:textId="15575335" w:rsidR="0053423A"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
          <w:sz w:val="22"/>
          <w:szCs w:val="21"/>
        </w:rPr>
      </w:pPr>
      <w:r w:rsidRPr="00F173E5">
        <w:rPr>
          <w:rFonts w:ascii="Arial" w:hAnsi="Arial" w:cs="Arial"/>
          <w:bCs/>
          <w:sz w:val="22"/>
          <w:szCs w:val="21"/>
        </w:rPr>
        <w:t xml:space="preserve">2. </w:t>
      </w:r>
      <w:r w:rsidR="004224CC" w:rsidRPr="00F173E5">
        <w:rPr>
          <w:rFonts w:ascii="Arial" w:hAnsi="Arial" w:cs="Arial"/>
          <w:b/>
          <w:sz w:val="22"/>
          <w:szCs w:val="21"/>
        </w:rPr>
        <w:t>Rémunération</w:t>
      </w:r>
      <w:r w:rsidRPr="00F173E5">
        <w:rPr>
          <w:rFonts w:ascii="Arial" w:hAnsi="Arial" w:cs="Arial"/>
          <w:b/>
          <w:sz w:val="22"/>
          <w:szCs w:val="21"/>
        </w:rPr>
        <w:t xml:space="preserve"> variable annuelle</w:t>
      </w:r>
    </w:p>
    <w:p w14:paraId="5C000E1F" w14:textId="24F2EFF2" w:rsidR="0053423A" w:rsidRPr="00F173E5" w:rsidRDefault="0053423A" w:rsidP="00C10A70">
      <w:pPr>
        <w:pBdr>
          <w:top w:val="single" w:sz="4" w:space="1" w:color="auto"/>
          <w:left w:val="single" w:sz="4" w:space="4" w:color="auto"/>
          <w:bottom w:val="single" w:sz="4" w:space="1" w:color="auto"/>
          <w:right w:val="single" w:sz="4" w:space="4" w:color="auto"/>
        </w:pBdr>
        <w:ind w:right="-207"/>
        <w:jc w:val="both"/>
        <w:rPr>
          <w:rFonts w:ascii="Arial" w:hAnsi="Arial" w:cs="Arial"/>
          <w:bCs/>
          <w:sz w:val="22"/>
          <w:szCs w:val="21"/>
        </w:rPr>
      </w:pPr>
      <w:r w:rsidRPr="00F173E5">
        <w:rPr>
          <w:rFonts w:ascii="Arial" w:hAnsi="Arial" w:cs="Arial"/>
          <w:bCs/>
          <w:sz w:val="22"/>
          <w:szCs w:val="21"/>
        </w:rPr>
        <w:t xml:space="preserve">Pour l’exercice </w:t>
      </w:r>
      <w:r w:rsidR="00040E69" w:rsidRPr="00F173E5">
        <w:rPr>
          <w:rFonts w:ascii="Arial" w:hAnsi="Arial" w:cs="Arial"/>
          <w:bCs/>
          <w:sz w:val="22"/>
          <w:szCs w:val="21"/>
        </w:rPr>
        <w:t>2021</w:t>
      </w:r>
      <w:r w:rsidRPr="00F173E5">
        <w:rPr>
          <w:rFonts w:ascii="Arial" w:hAnsi="Arial" w:cs="Arial"/>
          <w:bCs/>
          <w:sz w:val="22"/>
          <w:szCs w:val="21"/>
        </w:rPr>
        <w:t xml:space="preserve">, le Conseil d’administration a </w:t>
      </w:r>
      <w:r w:rsidR="004224CC" w:rsidRPr="00F173E5">
        <w:rPr>
          <w:rFonts w:ascii="Arial" w:hAnsi="Arial" w:cs="Arial"/>
          <w:bCs/>
          <w:sz w:val="22"/>
          <w:szCs w:val="21"/>
        </w:rPr>
        <w:t>fixé</w:t>
      </w:r>
      <w:r w:rsidRPr="00F173E5">
        <w:rPr>
          <w:rFonts w:ascii="Arial" w:hAnsi="Arial" w:cs="Arial"/>
          <w:bCs/>
          <w:sz w:val="22"/>
          <w:szCs w:val="21"/>
        </w:rPr>
        <w:t xml:space="preserve">́ le taux de </w:t>
      </w:r>
      <w:proofErr w:type="spellStart"/>
      <w:r w:rsidRPr="00F173E5">
        <w:rPr>
          <w:rFonts w:ascii="Arial" w:hAnsi="Arial" w:cs="Arial"/>
          <w:bCs/>
          <w:sz w:val="22"/>
          <w:szCs w:val="21"/>
        </w:rPr>
        <w:t>réussite</w:t>
      </w:r>
      <w:proofErr w:type="spellEnd"/>
      <w:r w:rsidRPr="00F173E5">
        <w:rPr>
          <w:rFonts w:ascii="Arial" w:hAnsi="Arial" w:cs="Arial"/>
          <w:bCs/>
          <w:sz w:val="22"/>
          <w:szCs w:val="21"/>
        </w:rPr>
        <w:t xml:space="preserve"> des objectifs qualitatifs et quantitatifs à un taux global de 94,5% </w:t>
      </w:r>
      <w:proofErr w:type="spellStart"/>
      <w:r w:rsidRPr="00F173E5">
        <w:rPr>
          <w:rFonts w:ascii="Arial" w:hAnsi="Arial" w:cs="Arial"/>
          <w:bCs/>
          <w:sz w:val="22"/>
          <w:szCs w:val="21"/>
        </w:rPr>
        <w:t>après</w:t>
      </w:r>
      <w:proofErr w:type="spellEnd"/>
      <w:r w:rsidRPr="00F173E5">
        <w:rPr>
          <w:rFonts w:ascii="Arial" w:hAnsi="Arial" w:cs="Arial"/>
          <w:bCs/>
          <w:sz w:val="22"/>
          <w:szCs w:val="21"/>
        </w:rPr>
        <w:t xml:space="preserve"> application des </w:t>
      </w:r>
      <w:proofErr w:type="spellStart"/>
      <w:r w:rsidRPr="00F173E5">
        <w:rPr>
          <w:rFonts w:ascii="Arial" w:hAnsi="Arial" w:cs="Arial"/>
          <w:bCs/>
          <w:sz w:val="22"/>
          <w:szCs w:val="21"/>
        </w:rPr>
        <w:t>pondérations</w:t>
      </w:r>
      <w:proofErr w:type="spellEnd"/>
      <w:r w:rsidRPr="00F173E5">
        <w:rPr>
          <w:rFonts w:ascii="Arial" w:hAnsi="Arial" w:cs="Arial"/>
          <w:bCs/>
          <w:sz w:val="22"/>
          <w:szCs w:val="21"/>
        </w:rPr>
        <w:t xml:space="preserve"> respectives des </w:t>
      </w:r>
      <w:proofErr w:type="spellStart"/>
      <w:r w:rsidRPr="00F173E5">
        <w:rPr>
          <w:rFonts w:ascii="Arial" w:hAnsi="Arial" w:cs="Arial"/>
          <w:bCs/>
          <w:sz w:val="22"/>
          <w:szCs w:val="21"/>
        </w:rPr>
        <w:t>critères</w:t>
      </w:r>
      <w:proofErr w:type="spellEnd"/>
      <w:r w:rsidRPr="00F173E5">
        <w:rPr>
          <w:rFonts w:ascii="Arial" w:hAnsi="Arial" w:cs="Arial"/>
          <w:bCs/>
          <w:sz w:val="22"/>
          <w:szCs w:val="21"/>
        </w:rPr>
        <w:t xml:space="preserve"> qualitatifs (40%) et quantitatifs (60%). La </w:t>
      </w:r>
      <w:proofErr w:type="spellStart"/>
      <w:r w:rsidRPr="00F173E5">
        <w:rPr>
          <w:rFonts w:ascii="Arial" w:hAnsi="Arial" w:cs="Arial"/>
          <w:bCs/>
          <w:sz w:val="22"/>
          <w:szCs w:val="21"/>
        </w:rPr>
        <w:t>rémunération</w:t>
      </w:r>
      <w:proofErr w:type="spellEnd"/>
      <w:r w:rsidRPr="00F173E5">
        <w:rPr>
          <w:rFonts w:ascii="Arial" w:hAnsi="Arial" w:cs="Arial"/>
          <w:bCs/>
          <w:sz w:val="22"/>
          <w:szCs w:val="21"/>
        </w:rPr>
        <w:t xml:space="preserve"> va</w:t>
      </w:r>
      <w:r w:rsidR="00363047" w:rsidRPr="00F173E5">
        <w:rPr>
          <w:rFonts w:ascii="Arial" w:hAnsi="Arial" w:cs="Arial"/>
          <w:bCs/>
          <w:sz w:val="22"/>
          <w:szCs w:val="21"/>
        </w:rPr>
        <w:t>riable annuelle pour l’exercice</w:t>
      </w:r>
      <w:r w:rsidR="00F173E5">
        <w:rPr>
          <w:rFonts w:ascii="Arial" w:hAnsi="Arial" w:cs="Arial"/>
          <w:bCs/>
          <w:sz w:val="22"/>
          <w:szCs w:val="21"/>
        </w:rPr>
        <w:t xml:space="preserve"> </w:t>
      </w:r>
      <w:r w:rsidR="00040E69" w:rsidRPr="00F173E5">
        <w:rPr>
          <w:rFonts w:ascii="Arial" w:hAnsi="Arial" w:cs="Arial"/>
          <w:bCs/>
          <w:sz w:val="22"/>
          <w:szCs w:val="21"/>
        </w:rPr>
        <w:t>2021</w:t>
      </w:r>
      <w:r w:rsidRPr="00F173E5">
        <w:rPr>
          <w:rFonts w:ascii="Arial" w:hAnsi="Arial" w:cs="Arial"/>
          <w:bCs/>
          <w:sz w:val="22"/>
          <w:szCs w:val="21"/>
        </w:rPr>
        <w:t xml:space="preserve"> sera donc de 661.500 euros bruts.</w:t>
      </w:r>
    </w:p>
    <w:p w14:paraId="092A9FBF" w14:textId="487A47DB" w:rsidR="0053423A" w:rsidRPr="00F173E5" w:rsidRDefault="0053423A" w:rsidP="00C10A70">
      <w:pPr>
        <w:pBdr>
          <w:top w:val="single" w:sz="4" w:space="1" w:color="auto"/>
          <w:left w:val="single" w:sz="4" w:space="4" w:color="auto"/>
          <w:bottom w:val="single" w:sz="4" w:space="1" w:color="auto"/>
          <w:right w:val="single" w:sz="4" w:space="4" w:color="auto"/>
        </w:pBdr>
        <w:ind w:right="-207"/>
        <w:jc w:val="both"/>
        <w:rPr>
          <w:rFonts w:ascii="Arial" w:hAnsi="Arial" w:cs="Arial"/>
          <w:bCs/>
          <w:sz w:val="22"/>
          <w:szCs w:val="21"/>
        </w:rPr>
      </w:pPr>
      <w:proofErr w:type="spellStart"/>
      <w:r w:rsidRPr="00F173E5">
        <w:rPr>
          <w:rFonts w:ascii="Arial" w:hAnsi="Arial" w:cs="Arial"/>
          <w:bCs/>
          <w:sz w:val="22"/>
          <w:szCs w:val="21"/>
        </w:rPr>
        <w:t>Conformément</w:t>
      </w:r>
      <w:proofErr w:type="spellEnd"/>
      <w:r w:rsidRPr="00F173E5">
        <w:rPr>
          <w:rFonts w:ascii="Arial" w:hAnsi="Arial" w:cs="Arial"/>
          <w:bCs/>
          <w:sz w:val="22"/>
          <w:szCs w:val="21"/>
        </w:rPr>
        <w:t xml:space="preserve"> aux dispositions </w:t>
      </w:r>
      <w:proofErr w:type="spellStart"/>
      <w:r w:rsidRPr="00F173E5">
        <w:rPr>
          <w:rFonts w:ascii="Arial" w:hAnsi="Arial" w:cs="Arial"/>
          <w:bCs/>
          <w:sz w:val="22"/>
          <w:szCs w:val="21"/>
        </w:rPr>
        <w:t>légales</w:t>
      </w:r>
      <w:proofErr w:type="spellEnd"/>
      <w:r w:rsidRPr="00F173E5">
        <w:rPr>
          <w:rFonts w:ascii="Arial" w:hAnsi="Arial" w:cs="Arial"/>
          <w:bCs/>
          <w:sz w:val="22"/>
          <w:szCs w:val="21"/>
        </w:rPr>
        <w:t xml:space="preserve"> applicables, le versement de cette </w:t>
      </w:r>
      <w:proofErr w:type="spellStart"/>
      <w:r w:rsidRPr="00F173E5">
        <w:rPr>
          <w:rFonts w:ascii="Arial" w:hAnsi="Arial" w:cs="Arial"/>
          <w:bCs/>
          <w:sz w:val="22"/>
          <w:szCs w:val="21"/>
        </w:rPr>
        <w:t>rémunération</w:t>
      </w:r>
      <w:proofErr w:type="spellEnd"/>
      <w:r w:rsidRPr="00F173E5">
        <w:rPr>
          <w:rFonts w:ascii="Arial" w:hAnsi="Arial" w:cs="Arial"/>
          <w:bCs/>
          <w:sz w:val="22"/>
          <w:szCs w:val="21"/>
        </w:rPr>
        <w:t xml:space="preserve"> variable sera conditionné à l’approbation, par l’</w:t>
      </w:r>
      <w:proofErr w:type="spellStart"/>
      <w:r w:rsidRPr="00F173E5">
        <w:rPr>
          <w:rFonts w:ascii="Arial" w:hAnsi="Arial" w:cs="Arial"/>
          <w:bCs/>
          <w:sz w:val="22"/>
          <w:szCs w:val="21"/>
        </w:rPr>
        <w:t>assemblée</w:t>
      </w:r>
      <w:proofErr w:type="spellEnd"/>
      <w:r w:rsidRPr="00F173E5">
        <w:rPr>
          <w:rFonts w:ascii="Arial" w:hAnsi="Arial" w:cs="Arial"/>
          <w:bCs/>
          <w:sz w:val="22"/>
          <w:szCs w:val="21"/>
        </w:rPr>
        <w:t xml:space="preserve"> </w:t>
      </w:r>
      <w:proofErr w:type="spellStart"/>
      <w:r w:rsidRPr="00F173E5">
        <w:rPr>
          <w:rFonts w:ascii="Arial" w:hAnsi="Arial" w:cs="Arial"/>
          <w:bCs/>
          <w:sz w:val="22"/>
          <w:szCs w:val="21"/>
        </w:rPr>
        <w:t>générale</w:t>
      </w:r>
      <w:proofErr w:type="spellEnd"/>
      <w:r w:rsidRPr="00F173E5">
        <w:rPr>
          <w:rFonts w:ascii="Arial" w:hAnsi="Arial" w:cs="Arial"/>
          <w:bCs/>
          <w:sz w:val="22"/>
          <w:szCs w:val="21"/>
        </w:rPr>
        <w:t xml:space="preserve"> qui statuera en 2020 sur les comptes de l’exercice </w:t>
      </w:r>
      <w:r w:rsidR="00040E69" w:rsidRPr="00F173E5">
        <w:rPr>
          <w:rFonts w:ascii="Arial" w:hAnsi="Arial" w:cs="Arial"/>
          <w:bCs/>
          <w:sz w:val="22"/>
          <w:szCs w:val="21"/>
        </w:rPr>
        <w:t>2021</w:t>
      </w:r>
      <w:r w:rsidRPr="00F173E5">
        <w:rPr>
          <w:rFonts w:ascii="Arial" w:hAnsi="Arial" w:cs="Arial"/>
          <w:bCs/>
          <w:sz w:val="22"/>
          <w:szCs w:val="21"/>
        </w:rPr>
        <w:t xml:space="preserve">, de la </w:t>
      </w:r>
      <w:proofErr w:type="spellStart"/>
      <w:r w:rsidRPr="00F173E5">
        <w:rPr>
          <w:rFonts w:ascii="Arial" w:hAnsi="Arial" w:cs="Arial"/>
          <w:bCs/>
          <w:sz w:val="22"/>
          <w:szCs w:val="21"/>
        </w:rPr>
        <w:t>résolution</w:t>
      </w:r>
      <w:proofErr w:type="spellEnd"/>
      <w:r w:rsidRPr="00F173E5">
        <w:rPr>
          <w:rFonts w:ascii="Arial" w:hAnsi="Arial" w:cs="Arial"/>
          <w:bCs/>
          <w:sz w:val="22"/>
          <w:szCs w:val="21"/>
        </w:rPr>
        <w:t xml:space="preserve"> relative aux </w:t>
      </w:r>
      <w:proofErr w:type="spellStart"/>
      <w:r w:rsidRPr="00F173E5">
        <w:rPr>
          <w:rFonts w:ascii="Arial" w:hAnsi="Arial" w:cs="Arial"/>
          <w:bCs/>
          <w:sz w:val="22"/>
          <w:szCs w:val="21"/>
        </w:rPr>
        <w:t>éléments</w:t>
      </w:r>
      <w:proofErr w:type="spellEnd"/>
      <w:r w:rsidRPr="00F173E5">
        <w:rPr>
          <w:rFonts w:ascii="Arial" w:hAnsi="Arial" w:cs="Arial"/>
          <w:bCs/>
          <w:sz w:val="22"/>
          <w:szCs w:val="21"/>
        </w:rPr>
        <w:t xml:space="preserve"> de la </w:t>
      </w:r>
      <w:proofErr w:type="spellStart"/>
      <w:r w:rsidRPr="00F173E5">
        <w:rPr>
          <w:rFonts w:ascii="Arial" w:hAnsi="Arial" w:cs="Arial"/>
          <w:bCs/>
          <w:sz w:val="22"/>
          <w:szCs w:val="21"/>
        </w:rPr>
        <w:t>rémunération</w:t>
      </w:r>
      <w:proofErr w:type="spellEnd"/>
      <w:r w:rsidRPr="00F173E5">
        <w:rPr>
          <w:rFonts w:ascii="Arial" w:hAnsi="Arial" w:cs="Arial"/>
          <w:bCs/>
          <w:sz w:val="22"/>
          <w:szCs w:val="21"/>
        </w:rPr>
        <w:t xml:space="preserve"> due ou </w:t>
      </w:r>
      <w:proofErr w:type="spellStart"/>
      <w:r w:rsidRPr="00F173E5">
        <w:rPr>
          <w:rFonts w:ascii="Arial" w:hAnsi="Arial" w:cs="Arial"/>
          <w:bCs/>
          <w:sz w:val="22"/>
          <w:szCs w:val="21"/>
        </w:rPr>
        <w:t>attribuée</w:t>
      </w:r>
      <w:proofErr w:type="spellEnd"/>
      <w:r w:rsidRPr="00F173E5">
        <w:rPr>
          <w:rFonts w:ascii="Arial" w:hAnsi="Arial" w:cs="Arial"/>
          <w:bCs/>
          <w:sz w:val="22"/>
          <w:szCs w:val="21"/>
        </w:rPr>
        <w:t xml:space="preserve"> au titre de l’exercice </w:t>
      </w:r>
      <w:r w:rsidR="00040E69" w:rsidRPr="00F173E5">
        <w:rPr>
          <w:rFonts w:ascii="Arial" w:hAnsi="Arial" w:cs="Arial"/>
          <w:bCs/>
          <w:sz w:val="22"/>
          <w:szCs w:val="21"/>
        </w:rPr>
        <w:t>2021</w:t>
      </w:r>
      <w:r w:rsidRPr="00F173E5">
        <w:rPr>
          <w:rFonts w:ascii="Arial" w:hAnsi="Arial" w:cs="Arial"/>
          <w:bCs/>
          <w:sz w:val="22"/>
          <w:szCs w:val="21"/>
        </w:rPr>
        <w:t>.</w:t>
      </w:r>
    </w:p>
    <w:p w14:paraId="433F05C1" w14:textId="7545DAE9" w:rsidR="0053423A"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Cs/>
          <w:sz w:val="22"/>
          <w:szCs w:val="21"/>
        </w:rPr>
      </w:pPr>
      <w:r w:rsidRPr="00F173E5">
        <w:rPr>
          <w:rFonts w:ascii="Arial" w:hAnsi="Arial" w:cs="Arial"/>
          <w:bCs/>
          <w:sz w:val="22"/>
          <w:szCs w:val="21"/>
        </w:rPr>
        <w:t xml:space="preserve">Pour la </w:t>
      </w:r>
      <w:proofErr w:type="spellStart"/>
      <w:r w:rsidRPr="00F173E5">
        <w:rPr>
          <w:rFonts w:ascii="Arial" w:hAnsi="Arial" w:cs="Arial"/>
          <w:bCs/>
          <w:sz w:val="22"/>
          <w:szCs w:val="21"/>
        </w:rPr>
        <w:t>période</w:t>
      </w:r>
      <w:proofErr w:type="spellEnd"/>
      <w:r w:rsidRPr="00F173E5">
        <w:rPr>
          <w:rFonts w:ascii="Arial" w:hAnsi="Arial" w:cs="Arial"/>
          <w:bCs/>
          <w:sz w:val="22"/>
          <w:szCs w:val="21"/>
        </w:rPr>
        <w:t xml:space="preserve">, le Conseil d’administration a </w:t>
      </w:r>
      <w:proofErr w:type="spellStart"/>
      <w:r w:rsidRPr="00F173E5">
        <w:rPr>
          <w:rFonts w:ascii="Arial" w:hAnsi="Arial" w:cs="Arial"/>
          <w:bCs/>
          <w:sz w:val="22"/>
          <w:szCs w:val="21"/>
        </w:rPr>
        <w:t>arrête</w:t>
      </w:r>
      <w:proofErr w:type="spellEnd"/>
      <w:r w:rsidRPr="00F173E5">
        <w:rPr>
          <w:rFonts w:ascii="Arial" w:hAnsi="Arial" w:cs="Arial"/>
          <w:bCs/>
          <w:sz w:val="22"/>
          <w:szCs w:val="21"/>
        </w:rPr>
        <w:t>́ à 110.2</w:t>
      </w:r>
      <w:r w:rsidR="00C10A70">
        <w:rPr>
          <w:rFonts w:ascii="Arial" w:hAnsi="Arial" w:cs="Arial"/>
          <w:bCs/>
          <w:sz w:val="22"/>
          <w:szCs w:val="21"/>
        </w:rPr>
        <w:t>50 euros bruts le montant de la </w:t>
      </w:r>
      <w:proofErr w:type="spellStart"/>
      <w:r w:rsidRPr="00F173E5">
        <w:rPr>
          <w:rFonts w:ascii="Arial" w:hAnsi="Arial" w:cs="Arial"/>
          <w:bCs/>
          <w:sz w:val="22"/>
          <w:szCs w:val="21"/>
        </w:rPr>
        <w:t>rémunération</w:t>
      </w:r>
      <w:proofErr w:type="spellEnd"/>
      <w:r w:rsidRPr="00F173E5">
        <w:rPr>
          <w:rFonts w:ascii="Arial" w:hAnsi="Arial" w:cs="Arial"/>
          <w:bCs/>
          <w:sz w:val="22"/>
          <w:szCs w:val="21"/>
        </w:rPr>
        <w:t xml:space="preserve"> de sa performance prorata </w:t>
      </w:r>
      <w:proofErr w:type="spellStart"/>
      <w:r w:rsidRPr="00F173E5">
        <w:rPr>
          <w:rFonts w:ascii="Arial" w:hAnsi="Arial" w:cs="Arial"/>
          <w:bCs/>
          <w:sz w:val="22"/>
          <w:szCs w:val="21"/>
        </w:rPr>
        <w:t>temporis</w:t>
      </w:r>
      <w:proofErr w:type="spellEnd"/>
      <w:r w:rsidRPr="00F173E5">
        <w:rPr>
          <w:rFonts w:ascii="Arial" w:hAnsi="Arial" w:cs="Arial"/>
          <w:bCs/>
          <w:sz w:val="22"/>
          <w:szCs w:val="21"/>
        </w:rPr>
        <w:t xml:space="preserve">. Le paiement effectif de cet </w:t>
      </w:r>
      <w:proofErr w:type="spellStart"/>
      <w:r w:rsidRPr="00F173E5">
        <w:rPr>
          <w:rFonts w:ascii="Arial" w:hAnsi="Arial" w:cs="Arial"/>
          <w:bCs/>
          <w:sz w:val="22"/>
          <w:szCs w:val="21"/>
        </w:rPr>
        <w:t>élément</w:t>
      </w:r>
      <w:proofErr w:type="spellEnd"/>
      <w:r w:rsidRPr="00F173E5">
        <w:rPr>
          <w:rFonts w:ascii="Arial" w:hAnsi="Arial" w:cs="Arial"/>
          <w:bCs/>
          <w:sz w:val="22"/>
          <w:szCs w:val="21"/>
        </w:rPr>
        <w:t xml:space="preserve"> de </w:t>
      </w:r>
      <w:proofErr w:type="spellStart"/>
      <w:r w:rsidRPr="00F173E5">
        <w:rPr>
          <w:rFonts w:ascii="Arial" w:hAnsi="Arial" w:cs="Arial"/>
          <w:bCs/>
          <w:sz w:val="22"/>
          <w:szCs w:val="21"/>
        </w:rPr>
        <w:t>rémunération</w:t>
      </w:r>
      <w:proofErr w:type="spellEnd"/>
      <w:r w:rsidRPr="00F173E5">
        <w:rPr>
          <w:rFonts w:ascii="Arial" w:hAnsi="Arial" w:cs="Arial"/>
          <w:bCs/>
          <w:sz w:val="22"/>
          <w:szCs w:val="21"/>
        </w:rPr>
        <w:t xml:space="preserve"> demeurera soumis à son approbation par l’</w:t>
      </w:r>
      <w:proofErr w:type="spellStart"/>
      <w:r w:rsidRPr="00F173E5">
        <w:rPr>
          <w:rFonts w:ascii="Arial" w:hAnsi="Arial" w:cs="Arial"/>
          <w:bCs/>
          <w:sz w:val="22"/>
          <w:szCs w:val="21"/>
        </w:rPr>
        <w:t>assemblée</w:t>
      </w:r>
      <w:proofErr w:type="spellEnd"/>
      <w:r w:rsidRPr="00F173E5">
        <w:rPr>
          <w:rFonts w:ascii="Arial" w:hAnsi="Arial" w:cs="Arial"/>
          <w:bCs/>
          <w:sz w:val="22"/>
          <w:szCs w:val="21"/>
        </w:rPr>
        <w:t xml:space="preserve"> </w:t>
      </w:r>
      <w:proofErr w:type="spellStart"/>
      <w:r w:rsidR="00C10A70">
        <w:rPr>
          <w:rFonts w:ascii="Arial" w:hAnsi="Arial" w:cs="Arial"/>
          <w:bCs/>
          <w:sz w:val="22"/>
          <w:szCs w:val="21"/>
        </w:rPr>
        <w:t>générale</w:t>
      </w:r>
      <w:proofErr w:type="spellEnd"/>
      <w:r w:rsidR="00C10A70">
        <w:rPr>
          <w:rFonts w:ascii="Arial" w:hAnsi="Arial" w:cs="Arial"/>
          <w:bCs/>
          <w:sz w:val="22"/>
          <w:szCs w:val="21"/>
        </w:rPr>
        <w:t xml:space="preserve"> annuelle statuant en </w:t>
      </w:r>
      <w:r w:rsidRPr="00F173E5">
        <w:rPr>
          <w:rFonts w:ascii="Arial" w:hAnsi="Arial" w:cs="Arial"/>
          <w:bCs/>
          <w:sz w:val="22"/>
          <w:szCs w:val="21"/>
        </w:rPr>
        <w:t>2021 sur les comptes de l’exercice 2020.</w:t>
      </w:r>
    </w:p>
    <w:p w14:paraId="63CC8CC3" w14:textId="4CC6F948" w:rsidR="0053423A"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
          <w:sz w:val="22"/>
          <w:szCs w:val="21"/>
        </w:rPr>
      </w:pPr>
      <w:r w:rsidRPr="00F173E5">
        <w:rPr>
          <w:rFonts w:ascii="Arial" w:hAnsi="Arial" w:cs="Arial"/>
          <w:bCs/>
          <w:sz w:val="22"/>
          <w:szCs w:val="21"/>
        </w:rPr>
        <w:t xml:space="preserve">3. </w:t>
      </w:r>
      <w:r w:rsidR="004224CC" w:rsidRPr="00F173E5">
        <w:rPr>
          <w:rFonts w:ascii="Arial" w:hAnsi="Arial" w:cs="Arial"/>
          <w:b/>
          <w:sz w:val="22"/>
          <w:szCs w:val="21"/>
        </w:rPr>
        <w:t>Indemnité</w:t>
      </w:r>
      <w:r w:rsidRPr="00F173E5">
        <w:rPr>
          <w:rFonts w:ascii="Arial" w:hAnsi="Arial" w:cs="Arial"/>
          <w:b/>
          <w:sz w:val="22"/>
          <w:szCs w:val="21"/>
        </w:rPr>
        <w:t xml:space="preserve">́ transactionnelle et </w:t>
      </w:r>
      <w:r w:rsidR="004224CC" w:rsidRPr="00F173E5">
        <w:rPr>
          <w:rFonts w:ascii="Arial" w:hAnsi="Arial" w:cs="Arial"/>
          <w:b/>
          <w:sz w:val="22"/>
          <w:szCs w:val="21"/>
        </w:rPr>
        <w:t>indemnité</w:t>
      </w:r>
      <w:r w:rsidRPr="00F173E5">
        <w:rPr>
          <w:rFonts w:ascii="Arial" w:hAnsi="Arial" w:cs="Arial"/>
          <w:b/>
          <w:sz w:val="22"/>
          <w:szCs w:val="21"/>
        </w:rPr>
        <w:t>́ de non-concurrence</w:t>
      </w:r>
    </w:p>
    <w:p w14:paraId="3940F1E7" w14:textId="3495E1DF" w:rsidR="0053423A" w:rsidRPr="00F173E5" w:rsidRDefault="0053423A"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Cs/>
          <w:sz w:val="22"/>
          <w:szCs w:val="21"/>
        </w:rPr>
      </w:pPr>
      <w:r w:rsidRPr="00F173E5">
        <w:rPr>
          <w:rFonts w:ascii="Arial" w:hAnsi="Arial" w:cs="Arial"/>
          <w:bCs/>
          <w:sz w:val="22"/>
          <w:szCs w:val="21"/>
        </w:rPr>
        <w:t xml:space="preserve">Le Conseil d’administration a </w:t>
      </w:r>
      <w:r w:rsidR="000E2914" w:rsidRPr="00F173E5">
        <w:rPr>
          <w:rFonts w:ascii="Arial" w:hAnsi="Arial" w:cs="Arial"/>
          <w:bCs/>
          <w:sz w:val="22"/>
          <w:szCs w:val="21"/>
        </w:rPr>
        <w:t>constaté</w:t>
      </w:r>
      <w:r w:rsidRPr="00F173E5">
        <w:rPr>
          <w:rFonts w:ascii="Arial" w:hAnsi="Arial" w:cs="Arial"/>
          <w:bCs/>
          <w:sz w:val="22"/>
          <w:szCs w:val="21"/>
        </w:rPr>
        <w:t xml:space="preserve"> qu’aucune </w:t>
      </w:r>
      <w:proofErr w:type="spellStart"/>
      <w:r w:rsidRPr="00F173E5">
        <w:rPr>
          <w:rFonts w:ascii="Arial" w:hAnsi="Arial" w:cs="Arial"/>
          <w:bCs/>
          <w:sz w:val="22"/>
          <w:szCs w:val="21"/>
        </w:rPr>
        <w:t>indemnite</w:t>
      </w:r>
      <w:proofErr w:type="spellEnd"/>
      <w:r w:rsidRPr="00F173E5">
        <w:rPr>
          <w:rFonts w:ascii="Arial" w:hAnsi="Arial" w:cs="Arial"/>
          <w:bCs/>
          <w:sz w:val="22"/>
          <w:szCs w:val="21"/>
        </w:rPr>
        <w:t xml:space="preserve">́ de cessation de fonctions en faveur des dirigeants mandataires sociaux n’est en vigueur au sein de la </w:t>
      </w:r>
      <w:r w:rsidR="000E2914" w:rsidRPr="00F173E5">
        <w:rPr>
          <w:rFonts w:ascii="Arial" w:hAnsi="Arial" w:cs="Arial"/>
          <w:bCs/>
          <w:sz w:val="22"/>
          <w:szCs w:val="21"/>
        </w:rPr>
        <w:t>Société</w:t>
      </w:r>
      <w:r w:rsidRPr="00F173E5">
        <w:rPr>
          <w:rFonts w:ascii="Arial" w:hAnsi="Arial" w:cs="Arial"/>
          <w:bCs/>
          <w:sz w:val="22"/>
          <w:szCs w:val="21"/>
        </w:rPr>
        <w:t xml:space="preserve">́, et qu’aucun engagement de non- concurrence n’avait </w:t>
      </w:r>
      <w:proofErr w:type="spellStart"/>
      <w:r w:rsidRPr="00F173E5">
        <w:rPr>
          <w:rFonts w:ascii="Arial" w:hAnsi="Arial" w:cs="Arial"/>
          <w:bCs/>
          <w:sz w:val="22"/>
          <w:szCs w:val="21"/>
        </w:rPr>
        <w:t>éte</w:t>
      </w:r>
      <w:proofErr w:type="spellEnd"/>
      <w:r w:rsidRPr="00F173E5">
        <w:rPr>
          <w:rFonts w:ascii="Arial" w:hAnsi="Arial" w:cs="Arial"/>
          <w:bCs/>
          <w:sz w:val="22"/>
          <w:szCs w:val="21"/>
        </w:rPr>
        <w:t xml:space="preserve">́ mis </w:t>
      </w:r>
      <w:proofErr w:type="spellStart"/>
      <w:r w:rsidRPr="00F173E5">
        <w:rPr>
          <w:rFonts w:ascii="Arial" w:hAnsi="Arial" w:cs="Arial"/>
          <w:bCs/>
          <w:sz w:val="22"/>
          <w:szCs w:val="21"/>
        </w:rPr>
        <w:t>a</w:t>
      </w:r>
      <w:proofErr w:type="spellEnd"/>
      <w:r w:rsidRPr="00F173E5">
        <w:rPr>
          <w:rFonts w:ascii="Arial" w:hAnsi="Arial" w:cs="Arial"/>
          <w:bCs/>
          <w:sz w:val="22"/>
          <w:szCs w:val="21"/>
        </w:rPr>
        <w:t>̀ la charge. Le Conseil d’administration a toutefois auto</w:t>
      </w:r>
      <w:r w:rsidR="00C10A70">
        <w:rPr>
          <w:rFonts w:ascii="Arial" w:hAnsi="Arial" w:cs="Arial"/>
          <w:bCs/>
          <w:sz w:val="22"/>
          <w:szCs w:val="21"/>
        </w:rPr>
        <w:t>risé la </w:t>
      </w:r>
      <w:r w:rsidRPr="00F173E5">
        <w:rPr>
          <w:rFonts w:ascii="Arial" w:hAnsi="Arial" w:cs="Arial"/>
          <w:bCs/>
          <w:sz w:val="22"/>
          <w:szCs w:val="21"/>
        </w:rPr>
        <w:t xml:space="preserve">conclusion d’un protocole d’accord transactionnel, dans le contexte de cessation de ses fonctions de Directeur </w:t>
      </w:r>
      <w:proofErr w:type="spellStart"/>
      <w:r w:rsidRPr="00F173E5">
        <w:rPr>
          <w:rFonts w:ascii="Arial" w:hAnsi="Arial" w:cs="Arial"/>
          <w:bCs/>
          <w:sz w:val="22"/>
          <w:szCs w:val="21"/>
        </w:rPr>
        <w:t>Général</w:t>
      </w:r>
      <w:proofErr w:type="spellEnd"/>
      <w:r w:rsidRPr="00F173E5">
        <w:rPr>
          <w:rFonts w:ascii="Arial" w:hAnsi="Arial" w:cs="Arial"/>
          <w:bCs/>
          <w:sz w:val="22"/>
          <w:szCs w:val="21"/>
        </w:rPr>
        <w:t xml:space="preserve">. Le Protocole d’Accord </w:t>
      </w:r>
      <w:r w:rsidR="000E2914" w:rsidRPr="00F173E5">
        <w:rPr>
          <w:rFonts w:ascii="Arial" w:hAnsi="Arial" w:cs="Arial"/>
          <w:bCs/>
          <w:sz w:val="22"/>
          <w:szCs w:val="21"/>
        </w:rPr>
        <w:t>prévoit</w:t>
      </w:r>
      <w:r w:rsidRPr="00F173E5">
        <w:rPr>
          <w:rFonts w:ascii="Arial" w:hAnsi="Arial" w:cs="Arial"/>
          <w:bCs/>
          <w:sz w:val="22"/>
          <w:szCs w:val="21"/>
        </w:rPr>
        <w:t xml:space="preserve"> le versement d’une </w:t>
      </w:r>
      <w:proofErr w:type="spellStart"/>
      <w:r w:rsidRPr="00F173E5">
        <w:rPr>
          <w:rFonts w:ascii="Arial" w:hAnsi="Arial" w:cs="Arial"/>
          <w:bCs/>
          <w:sz w:val="22"/>
          <w:szCs w:val="21"/>
        </w:rPr>
        <w:t>indemnite</w:t>
      </w:r>
      <w:proofErr w:type="spellEnd"/>
      <w:r w:rsidRPr="00F173E5">
        <w:rPr>
          <w:rFonts w:ascii="Arial" w:hAnsi="Arial" w:cs="Arial"/>
          <w:bCs/>
          <w:sz w:val="22"/>
          <w:szCs w:val="21"/>
        </w:rPr>
        <w:t xml:space="preserve">́ transactionnelle, et la mise en place d’un engagement de non-concurrence. La conclusion de ce Protocole est apparue </w:t>
      </w:r>
      <w:r w:rsidR="000E2914" w:rsidRPr="00F173E5">
        <w:rPr>
          <w:rFonts w:ascii="Arial" w:hAnsi="Arial" w:cs="Arial"/>
          <w:bCs/>
          <w:sz w:val="22"/>
          <w:szCs w:val="21"/>
        </w:rPr>
        <w:t>nécessaire</w:t>
      </w:r>
      <w:r w:rsidRPr="00F173E5">
        <w:rPr>
          <w:rFonts w:ascii="Arial" w:hAnsi="Arial" w:cs="Arial"/>
          <w:bCs/>
          <w:sz w:val="22"/>
          <w:szCs w:val="21"/>
        </w:rPr>
        <w:t xml:space="preserve"> à Energy+ afin de </w:t>
      </w:r>
      <w:r w:rsidR="000E2914" w:rsidRPr="00F173E5">
        <w:rPr>
          <w:rFonts w:ascii="Arial" w:hAnsi="Arial" w:cs="Arial"/>
          <w:bCs/>
          <w:sz w:val="22"/>
          <w:szCs w:val="21"/>
        </w:rPr>
        <w:t>préserver</w:t>
      </w:r>
      <w:r w:rsidRPr="00F173E5">
        <w:rPr>
          <w:rFonts w:ascii="Arial" w:hAnsi="Arial" w:cs="Arial"/>
          <w:bCs/>
          <w:sz w:val="22"/>
          <w:szCs w:val="21"/>
        </w:rPr>
        <w:t xml:space="preserve"> ses </w:t>
      </w:r>
      <w:r w:rsidR="000E2914" w:rsidRPr="00F173E5">
        <w:rPr>
          <w:rFonts w:ascii="Arial" w:hAnsi="Arial" w:cs="Arial"/>
          <w:bCs/>
          <w:sz w:val="22"/>
          <w:szCs w:val="21"/>
        </w:rPr>
        <w:t>intérêts</w:t>
      </w:r>
      <w:r w:rsidRPr="00F173E5">
        <w:rPr>
          <w:rFonts w:ascii="Arial" w:hAnsi="Arial" w:cs="Arial"/>
          <w:bCs/>
          <w:sz w:val="22"/>
          <w:szCs w:val="21"/>
        </w:rPr>
        <w:t xml:space="preserve"> dans le contexte de </w:t>
      </w:r>
      <w:r w:rsidR="000E2914" w:rsidRPr="00F173E5">
        <w:rPr>
          <w:rFonts w:ascii="Arial" w:hAnsi="Arial" w:cs="Arial"/>
          <w:bCs/>
          <w:sz w:val="22"/>
          <w:szCs w:val="21"/>
        </w:rPr>
        <w:t>départ</w:t>
      </w:r>
      <w:r w:rsidRPr="00F173E5">
        <w:rPr>
          <w:rFonts w:ascii="Arial" w:hAnsi="Arial" w:cs="Arial"/>
          <w:bCs/>
          <w:sz w:val="22"/>
          <w:szCs w:val="21"/>
        </w:rPr>
        <w:t xml:space="preserve"> de son ancien dirigeant, dont le contrat de travail </w:t>
      </w:r>
      <w:r w:rsidR="000E2914" w:rsidRPr="00F173E5">
        <w:rPr>
          <w:rFonts w:ascii="Arial" w:hAnsi="Arial" w:cs="Arial"/>
          <w:bCs/>
          <w:sz w:val="22"/>
          <w:szCs w:val="21"/>
        </w:rPr>
        <w:t>entait</w:t>
      </w:r>
      <w:r w:rsidRPr="00F173E5">
        <w:rPr>
          <w:rFonts w:ascii="Arial" w:hAnsi="Arial" w:cs="Arial"/>
          <w:bCs/>
          <w:sz w:val="22"/>
          <w:szCs w:val="21"/>
        </w:rPr>
        <w:t xml:space="preserve"> suspendu, en </w:t>
      </w:r>
      <w:r w:rsidR="000E2914" w:rsidRPr="00F173E5">
        <w:rPr>
          <w:rFonts w:ascii="Arial" w:hAnsi="Arial" w:cs="Arial"/>
          <w:bCs/>
          <w:sz w:val="22"/>
          <w:szCs w:val="21"/>
        </w:rPr>
        <w:t>prévoyant</w:t>
      </w:r>
      <w:r w:rsidRPr="00F173E5">
        <w:rPr>
          <w:rFonts w:ascii="Arial" w:hAnsi="Arial" w:cs="Arial"/>
          <w:bCs/>
          <w:sz w:val="22"/>
          <w:szCs w:val="21"/>
        </w:rPr>
        <w:t xml:space="preserve"> une renonciation </w:t>
      </w:r>
      <w:r w:rsidR="000E2914" w:rsidRPr="00F173E5">
        <w:rPr>
          <w:rFonts w:ascii="Arial" w:hAnsi="Arial" w:cs="Arial"/>
          <w:bCs/>
          <w:sz w:val="22"/>
          <w:szCs w:val="21"/>
        </w:rPr>
        <w:t>à</w:t>
      </w:r>
      <w:r w:rsidRPr="00F173E5">
        <w:rPr>
          <w:rFonts w:ascii="Arial" w:hAnsi="Arial" w:cs="Arial"/>
          <w:bCs/>
          <w:sz w:val="22"/>
          <w:szCs w:val="21"/>
        </w:rPr>
        <w:t>̀ tout recours de ce dernier qui serait fondé sur l’</w:t>
      </w:r>
      <w:r w:rsidR="000E2914" w:rsidRPr="00F173E5">
        <w:rPr>
          <w:rFonts w:ascii="Arial" w:hAnsi="Arial" w:cs="Arial"/>
          <w:bCs/>
          <w:sz w:val="22"/>
          <w:szCs w:val="21"/>
        </w:rPr>
        <w:t>exécution</w:t>
      </w:r>
      <w:r w:rsidRPr="00F173E5">
        <w:rPr>
          <w:rFonts w:ascii="Arial" w:hAnsi="Arial" w:cs="Arial"/>
          <w:bCs/>
          <w:sz w:val="22"/>
          <w:szCs w:val="21"/>
        </w:rPr>
        <w:t xml:space="preserve"> et/ou la cessation de ses fonctions au sein du Groupe et en mettant à sa charge une obligation de non-concurrence d’une </w:t>
      </w:r>
      <w:r w:rsidR="000E2914" w:rsidRPr="00F173E5">
        <w:rPr>
          <w:rFonts w:ascii="Arial" w:hAnsi="Arial" w:cs="Arial"/>
          <w:bCs/>
          <w:sz w:val="22"/>
          <w:szCs w:val="21"/>
        </w:rPr>
        <w:t>durée</w:t>
      </w:r>
      <w:r w:rsidRPr="00F173E5">
        <w:rPr>
          <w:rFonts w:ascii="Arial" w:hAnsi="Arial" w:cs="Arial"/>
          <w:bCs/>
          <w:sz w:val="22"/>
          <w:szCs w:val="21"/>
        </w:rPr>
        <w:t xml:space="preserve"> de dix-huit (18) mois. Les engagements financiers pris par Energy+ dans le cadre du Protocole d’Accord sont </w:t>
      </w:r>
      <w:r w:rsidR="000E2914" w:rsidRPr="00F173E5">
        <w:rPr>
          <w:rFonts w:ascii="Arial" w:hAnsi="Arial" w:cs="Arial"/>
          <w:bCs/>
          <w:sz w:val="22"/>
          <w:szCs w:val="21"/>
        </w:rPr>
        <w:t>conditionn</w:t>
      </w:r>
      <w:r w:rsidR="004D22B7" w:rsidRPr="00F173E5">
        <w:rPr>
          <w:rFonts w:ascii="Arial" w:hAnsi="Arial" w:cs="Arial"/>
          <w:bCs/>
          <w:sz w:val="22"/>
          <w:szCs w:val="21"/>
        </w:rPr>
        <w:t>é</w:t>
      </w:r>
      <w:r w:rsidR="000E2914" w:rsidRPr="00F173E5">
        <w:rPr>
          <w:rFonts w:ascii="Arial" w:hAnsi="Arial" w:cs="Arial"/>
          <w:bCs/>
          <w:sz w:val="22"/>
          <w:szCs w:val="21"/>
        </w:rPr>
        <w:t>s</w:t>
      </w:r>
      <w:r w:rsidRPr="00F173E5">
        <w:rPr>
          <w:rFonts w:ascii="Arial" w:hAnsi="Arial" w:cs="Arial"/>
          <w:bCs/>
          <w:sz w:val="22"/>
          <w:szCs w:val="21"/>
        </w:rPr>
        <w:t xml:space="preserve"> à leur approbation par l’</w:t>
      </w:r>
      <w:proofErr w:type="spellStart"/>
      <w:r w:rsidRPr="00F173E5">
        <w:rPr>
          <w:rFonts w:ascii="Arial" w:hAnsi="Arial" w:cs="Arial"/>
          <w:bCs/>
          <w:sz w:val="22"/>
          <w:szCs w:val="21"/>
        </w:rPr>
        <w:t>assemblée</w:t>
      </w:r>
      <w:proofErr w:type="spellEnd"/>
      <w:r w:rsidRPr="00F173E5">
        <w:rPr>
          <w:rFonts w:ascii="Arial" w:hAnsi="Arial" w:cs="Arial"/>
          <w:bCs/>
          <w:sz w:val="22"/>
          <w:szCs w:val="21"/>
        </w:rPr>
        <w:t xml:space="preserve"> </w:t>
      </w:r>
      <w:proofErr w:type="spellStart"/>
      <w:r w:rsidRPr="00F173E5">
        <w:rPr>
          <w:rFonts w:ascii="Arial" w:hAnsi="Arial" w:cs="Arial"/>
          <w:bCs/>
          <w:sz w:val="22"/>
          <w:szCs w:val="21"/>
        </w:rPr>
        <w:t>générale</w:t>
      </w:r>
      <w:proofErr w:type="spellEnd"/>
      <w:r w:rsidRPr="00F173E5">
        <w:rPr>
          <w:rFonts w:ascii="Arial" w:hAnsi="Arial" w:cs="Arial"/>
          <w:bCs/>
          <w:sz w:val="22"/>
          <w:szCs w:val="21"/>
        </w:rPr>
        <w:t xml:space="preserve"> des actionnaires qui statuera en 2020 sur les comptes de l’exercice </w:t>
      </w:r>
      <w:r w:rsidR="00040E69" w:rsidRPr="00F173E5">
        <w:rPr>
          <w:rFonts w:ascii="Arial" w:hAnsi="Arial" w:cs="Arial"/>
          <w:bCs/>
          <w:sz w:val="22"/>
          <w:szCs w:val="21"/>
        </w:rPr>
        <w:t>2021</w:t>
      </w:r>
      <w:r w:rsidRPr="00F173E5">
        <w:rPr>
          <w:rFonts w:ascii="Arial" w:hAnsi="Arial" w:cs="Arial"/>
          <w:bCs/>
          <w:sz w:val="22"/>
          <w:szCs w:val="21"/>
        </w:rPr>
        <w:t xml:space="preserve">, ces engagements </w:t>
      </w:r>
      <w:r w:rsidR="000E2914" w:rsidRPr="00F173E5">
        <w:rPr>
          <w:rFonts w:ascii="Arial" w:hAnsi="Arial" w:cs="Arial"/>
          <w:bCs/>
          <w:sz w:val="22"/>
          <w:szCs w:val="21"/>
        </w:rPr>
        <w:t>étant</w:t>
      </w:r>
      <w:r w:rsidRPr="00F173E5">
        <w:rPr>
          <w:rFonts w:ascii="Arial" w:hAnsi="Arial" w:cs="Arial"/>
          <w:bCs/>
          <w:sz w:val="22"/>
          <w:szCs w:val="21"/>
        </w:rPr>
        <w:t xml:space="preserve"> caducs à </w:t>
      </w:r>
      <w:r w:rsidR="000E2914" w:rsidRPr="00F173E5">
        <w:rPr>
          <w:rFonts w:ascii="Arial" w:hAnsi="Arial" w:cs="Arial"/>
          <w:bCs/>
          <w:sz w:val="22"/>
          <w:szCs w:val="21"/>
        </w:rPr>
        <w:t>défaut</w:t>
      </w:r>
      <w:r w:rsidRPr="00F173E5">
        <w:rPr>
          <w:rFonts w:ascii="Arial" w:hAnsi="Arial" w:cs="Arial"/>
          <w:bCs/>
          <w:sz w:val="22"/>
          <w:szCs w:val="21"/>
        </w:rPr>
        <w:t xml:space="preserve"> d’approbation. La conclusion de ce Protocole d’Accord est </w:t>
      </w:r>
      <w:r w:rsidR="000E2914" w:rsidRPr="00F173E5">
        <w:rPr>
          <w:rFonts w:ascii="Arial" w:hAnsi="Arial" w:cs="Arial"/>
          <w:bCs/>
          <w:sz w:val="22"/>
          <w:szCs w:val="21"/>
        </w:rPr>
        <w:t>dès</w:t>
      </w:r>
      <w:r w:rsidRPr="00F173E5">
        <w:rPr>
          <w:rFonts w:ascii="Arial" w:hAnsi="Arial" w:cs="Arial"/>
          <w:bCs/>
          <w:sz w:val="22"/>
          <w:szCs w:val="21"/>
        </w:rPr>
        <w:t xml:space="preserve"> lors apparue conforme aux objectifs du Code AFEP-MEDEF.</w:t>
      </w:r>
    </w:p>
    <w:p w14:paraId="0B8CF553" w14:textId="77777777" w:rsidR="000344A5" w:rsidRPr="00F173E5" w:rsidRDefault="000344A5" w:rsidP="00C10A70">
      <w:pPr>
        <w:pBdr>
          <w:top w:val="single" w:sz="4" w:space="1" w:color="auto"/>
          <w:left w:val="single" w:sz="4" w:space="4" w:color="auto"/>
          <w:bottom w:val="single" w:sz="4" w:space="1" w:color="auto"/>
          <w:right w:val="single" w:sz="4" w:space="4" w:color="auto"/>
        </w:pBdr>
        <w:ind w:right="-207"/>
        <w:jc w:val="both"/>
        <w:rPr>
          <w:rFonts w:ascii="Arial" w:hAnsi="Arial" w:cs="Arial"/>
          <w:bCs/>
          <w:i/>
          <w:iCs/>
          <w:sz w:val="22"/>
          <w:szCs w:val="21"/>
        </w:rPr>
      </w:pPr>
      <w:r w:rsidRPr="00F173E5">
        <w:rPr>
          <w:rFonts w:ascii="Arial" w:hAnsi="Arial" w:cs="Arial"/>
          <w:bCs/>
          <w:i/>
          <w:iCs/>
          <w:sz w:val="22"/>
          <w:szCs w:val="21"/>
        </w:rPr>
        <w:t xml:space="preserve">3.1 </w:t>
      </w:r>
      <w:proofErr w:type="spellStart"/>
      <w:r w:rsidRPr="00F173E5">
        <w:rPr>
          <w:rFonts w:ascii="Arial" w:hAnsi="Arial" w:cs="Arial"/>
          <w:bCs/>
          <w:i/>
          <w:iCs/>
          <w:sz w:val="22"/>
          <w:szCs w:val="21"/>
        </w:rPr>
        <w:t>Indemnite</w:t>
      </w:r>
      <w:proofErr w:type="spellEnd"/>
      <w:r w:rsidRPr="00F173E5">
        <w:rPr>
          <w:rFonts w:ascii="Arial" w:hAnsi="Arial" w:cs="Arial"/>
          <w:bCs/>
          <w:i/>
          <w:iCs/>
          <w:sz w:val="22"/>
          <w:szCs w:val="21"/>
        </w:rPr>
        <w:t xml:space="preserve">́ transactionnelle et </w:t>
      </w:r>
      <w:proofErr w:type="spellStart"/>
      <w:r w:rsidRPr="00F173E5">
        <w:rPr>
          <w:rFonts w:ascii="Arial" w:hAnsi="Arial" w:cs="Arial"/>
          <w:bCs/>
          <w:i/>
          <w:iCs/>
          <w:sz w:val="22"/>
          <w:szCs w:val="21"/>
        </w:rPr>
        <w:t>indemnite</w:t>
      </w:r>
      <w:proofErr w:type="spellEnd"/>
      <w:r w:rsidRPr="00F173E5">
        <w:rPr>
          <w:rFonts w:ascii="Arial" w:hAnsi="Arial" w:cs="Arial"/>
          <w:bCs/>
          <w:i/>
          <w:iCs/>
          <w:sz w:val="22"/>
          <w:szCs w:val="21"/>
        </w:rPr>
        <w:t>́ de rupture du contrat de travail</w:t>
      </w:r>
    </w:p>
    <w:p w14:paraId="39AC32CA" w14:textId="043329A1" w:rsidR="000344A5" w:rsidRPr="00F173E5" w:rsidRDefault="000344A5" w:rsidP="00C10A70">
      <w:pPr>
        <w:pBdr>
          <w:top w:val="single" w:sz="4" w:space="1" w:color="auto"/>
          <w:left w:val="single" w:sz="4" w:space="4" w:color="auto"/>
          <w:bottom w:val="single" w:sz="4" w:space="1" w:color="auto"/>
          <w:right w:val="single" w:sz="4" w:space="4" w:color="auto"/>
        </w:pBdr>
        <w:spacing w:after="120"/>
        <w:ind w:right="-207"/>
        <w:jc w:val="both"/>
        <w:rPr>
          <w:rFonts w:ascii="Arial" w:hAnsi="Arial" w:cs="Arial"/>
          <w:bCs/>
          <w:sz w:val="22"/>
          <w:szCs w:val="21"/>
        </w:rPr>
      </w:pPr>
      <w:r w:rsidRPr="00F173E5">
        <w:rPr>
          <w:rFonts w:ascii="Arial" w:hAnsi="Arial" w:cs="Arial"/>
          <w:bCs/>
          <w:sz w:val="22"/>
          <w:szCs w:val="21"/>
        </w:rPr>
        <w:t xml:space="preserve">Il a </w:t>
      </w:r>
      <w:proofErr w:type="spellStart"/>
      <w:r w:rsidRPr="00F173E5">
        <w:rPr>
          <w:rFonts w:ascii="Arial" w:hAnsi="Arial" w:cs="Arial"/>
          <w:bCs/>
          <w:sz w:val="22"/>
          <w:szCs w:val="21"/>
        </w:rPr>
        <w:t>éte</w:t>
      </w:r>
      <w:proofErr w:type="spellEnd"/>
      <w:r w:rsidRPr="00F173E5">
        <w:rPr>
          <w:rFonts w:ascii="Arial" w:hAnsi="Arial" w:cs="Arial"/>
          <w:bCs/>
          <w:sz w:val="22"/>
          <w:szCs w:val="21"/>
        </w:rPr>
        <w:t xml:space="preserve">́ convenu aux termes du Protocole d’Accord du versement d’une </w:t>
      </w:r>
      <w:proofErr w:type="spellStart"/>
      <w:r w:rsidRPr="00F173E5">
        <w:rPr>
          <w:rFonts w:ascii="Arial" w:hAnsi="Arial" w:cs="Arial"/>
          <w:bCs/>
          <w:sz w:val="22"/>
          <w:szCs w:val="21"/>
        </w:rPr>
        <w:t>i</w:t>
      </w:r>
      <w:r w:rsidR="00C10A70">
        <w:rPr>
          <w:rFonts w:ascii="Arial" w:hAnsi="Arial" w:cs="Arial"/>
          <w:bCs/>
          <w:sz w:val="22"/>
          <w:szCs w:val="21"/>
        </w:rPr>
        <w:t>ndemnite</w:t>
      </w:r>
      <w:proofErr w:type="spellEnd"/>
      <w:r w:rsidR="00C10A70">
        <w:rPr>
          <w:rFonts w:ascii="Arial" w:hAnsi="Arial" w:cs="Arial"/>
          <w:bCs/>
          <w:sz w:val="22"/>
          <w:szCs w:val="21"/>
        </w:rPr>
        <w:t>́ transactionnelle d’un</w:t>
      </w:r>
      <w:r w:rsidR="00C10A70">
        <w:rPr>
          <w:rFonts w:ascii="MingLiU-ExtB" w:eastAsia="MingLiU-ExtB" w:hAnsi="MingLiU-ExtB" w:cs="MingLiU-ExtB" w:hint="eastAsia"/>
          <w:bCs/>
          <w:sz w:val="22"/>
          <w:szCs w:val="21"/>
        </w:rPr>
        <w:t> </w:t>
      </w:r>
      <w:r w:rsidRPr="00F173E5">
        <w:rPr>
          <w:rFonts w:ascii="Arial" w:hAnsi="Arial" w:cs="Arial"/>
          <w:bCs/>
          <w:sz w:val="22"/>
          <w:szCs w:val="21"/>
        </w:rPr>
        <w:t xml:space="preserve">montant de 672.736 euros bruts aux fins de </w:t>
      </w:r>
      <w:r w:rsidR="000E2914" w:rsidRPr="00F173E5">
        <w:rPr>
          <w:rFonts w:ascii="Arial" w:hAnsi="Arial" w:cs="Arial"/>
          <w:bCs/>
          <w:sz w:val="22"/>
          <w:szCs w:val="21"/>
        </w:rPr>
        <w:t>régler</w:t>
      </w:r>
      <w:r w:rsidRPr="00F173E5">
        <w:rPr>
          <w:rFonts w:ascii="Arial" w:hAnsi="Arial" w:cs="Arial"/>
          <w:bCs/>
          <w:sz w:val="22"/>
          <w:szCs w:val="21"/>
        </w:rPr>
        <w:t xml:space="preserve"> à l’amiable et de </w:t>
      </w:r>
      <w:r w:rsidR="000E2914" w:rsidRPr="00F173E5">
        <w:rPr>
          <w:rFonts w:ascii="Arial" w:hAnsi="Arial" w:cs="Arial"/>
          <w:bCs/>
          <w:sz w:val="22"/>
          <w:szCs w:val="21"/>
        </w:rPr>
        <w:t>manière</w:t>
      </w:r>
      <w:r w:rsidRPr="00F173E5">
        <w:rPr>
          <w:rFonts w:ascii="Arial" w:hAnsi="Arial" w:cs="Arial"/>
          <w:bCs/>
          <w:sz w:val="22"/>
          <w:szCs w:val="21"/>
        </w:rPr>
        <w:t xml:space="preserve"> </w:t>
      </w:r>
      <w:r w:rsidR="000E2914" w:rsidRPr="00F173E5">
        <w:rPr>
          <w:rFonts w:ascii="Arial" w:hAnsi="Arial" w:cs="Arial"/>
          <w:bCs/>
          <w:sz w:val="22"/>
          <w:szCs w:val="21"/>
        </w:rPr>
        <w:t>définitive</w:t>
      </w:r>
      <w:r w:rsidRPr="00F173E5">
        <w:rPr>
          <w:rFonts w:ascii="Arial" w:hAnsi="Arial" w:cs="Arial"/>
          <w:bCs/>
          <w:sz w:val="22"/>
          <w:szCs w:val="21"/>
        </w:rPr>
        <w:t xml:space="preserve"> les </w:t>
      </w:r>
      <w:r w:rsidR="000E2914" w:rsidRPr="00F173E5">
        <w:rPr>
          <w:rFonts w:ascii="Arial" w:hAnsi="Arial" w:cs="Arial"/>
          <w:bCs/>
          <w:sz w:val="22"/>
          <w:szCs w:val="21"/>
        </w:rPr>
        <w:t>modalités</w:t>
      </w:r>
      <w:r w:rsidRPr="00F173E5">
        <w:rPr>
          <w:rFonts w:ascii="Arial" w:hAnsi="Arial" w:cs="Arial"/>
          <w:bCs/>
          <w:sz w:val="22"/>
          <w:szCs w:val="21"/>
        </w:rPr>
        <w:t xml:space="preserve"> de cessation des fonctions de Directeur </w:t>
      </w:r>
      <w:proofErr w:type="spellStart"/>
      <w:r w:rsidRPr="00F173E5">
        <w:rPr>
          <w:rFonts w:ascii="Arial" w:hAnsi="Arial" w:cs="Arial"/>
          <w:bCs/>
          <w:sz w:val="22"/>
          <w:szCs w:val="21"/>
        </w:rPr>
        <w:t>Général</w:t>
      </w:r>
      <w:proofErr w:type="spellEnd"/>
      <w:r w:rsidRPr="00F173E5">
        <w:rPr>
          <w:rFonts w:ascii="Arial" w:hAnsi="Arial" w:cs="Arial"/>
          <w:bCs/>
          <w:sz w:val="22"/>
          <w:szCs w:val="21"/>
        </w:rPr>
        <w:t xml:space="preserve">. Le versement de cette </w:t>
      </w:r>
      <w:proofErr w:type="spellStart"/>
      <w:r w:rsidRPr="00F173E5">
        <w:rPr>
          <w:rFonts w:ascii="Arial" w:hAnsi="Arial" w:cs="Arial"/>
          <w:bCs/>
          <w:sz w:val="22"/>
          <w:szCs w:val="21"/>
        </w:rPr>
        <w:t>indemnite</w:t>
      </w:r>
      <w:proofErr w:type="spellEnd"/>
      <w:r w:rsidRPr="00F173E5">
        <w:rPr>
          <w:rFonts w:ascii="Arial" w:hAnsi="Arial" w:cs="Arial"/>
          <w:bCs/>
          <w:sz w:val="22"/>
          <w:szCs w:val="21"/>
        </w:rPr>
        <w:t>́ transactionnelle est conditionné à l’approbation par l’</w:t>
      </w:r>
      <w:proofErr w:type="spellStart"/>
      <w:r w:rsidRPr="00F173E5">
        <w:rPr>
          <w:rFonts w:ascii="Arial" w:hAnsi="Arial" w:cs="Arial"/>
          <w:bCs/>
          <w:sz w:val="22"/>
          <w:szCs w:val="21"/>
        </w:rPr>
        <w:t>assemblée</w:t>
      </w:r>
      <w:proofErr w:type="spellEnd"/>
      <w:r w:rsidRPr="00F173E5">
        <w:rPr>
          <w:rFonts w:ascii="Arial" w:hAnsi="Arial" w:cs="Arial"/>
          <w:bCs/>
          <w:sz w:val="22"/>
          <w:szCs w:val="21"/>
        </w:rPr>
        <w:t xml:space="preserve"> </w:t>
      </w:r>
      <w:proofErr w:type="spellStart"/>
      <w:r w:rsidRPr="00F173E5">
        <w:rPr>
          <w:rFonts w:ascii="Arial" w:hAnsi="Arial" w:cs="Arial"/>
          <w:bCs/>
          <w:sz w:val="22"/>
          <w:szCs w:val="21"/>
        </w:rPr>
        <w:t>générale</w:t>
      </w:r>
      <w:proofErr w:type="spellEnd"/>
      <w:r w:rsidRPr="00F173E5">
        <w:rPr>
          <w:rFonts w:ascii="Arial" w:hAnsi="Arial" w:cs="Arial"/>
          <w:bCs/>
          <w:sz w:val="22"/>
          <w:szCs w:val="21"/>
        </w:rPr>
        <w:t xml:space="preserve"> des actionnair</w:t>
      </w:r>
      <w:r w:rsidR="00C10A70">
        <w:rPr>
          <w:rFonts w:ascii="Arial" w:hAnsi="Arial" w:cs="Arial"/>
          <w:bCs/>
          <w:sz w:val="22"/>
          <w:szCs w:val="21"/>
        </w:rPr>
        <w:t>es qui statuera en 2020 sur les </w:t>
      </w:r>
      <w:r w:rsidRPr="00F173E5">
        <w:rPr>
          <w:rFonts w:ascii="Arial" w:hAnsi="Arial" w:cs="Arial"/>
          <w:bCs/>
          <w:sz w:val="22"/>
          <w:szCs w:val="21"/>
        </w:rPr>
        <w:t xml:space="preserve">comptes de l’exercice </w:t>
      </w:r>
      <w:r w:rsidR="00040E69" w:rsidRPr="00F173E5">
        <w:rPr>
          <w:rFonts w:ascii="Arial" w:hAnsi="Arial" w:cs="Arial"/>
          <w:bCs/>
          <w:sz w:val="22"/>
          <w:szCs w:val="21"/>
        </w:rPr>
        <w:t>2021</w:t>
      </w:r>
      <w:r w:rsidRPr="00F173E5">
        <w:rPr>
          <w:rFonts w:ascii="Arial" w:hAnsi="Arial" w:cs="Arial"/>
          <w:bCs/>
          <w:sz w:val="22"/>
          <w:szCs w:val="21"/>
        </w:rPr>
        <w:t xml:space="preserve"> des engagements financiers pris dans le cadre du Protocole d’Accord.</w:t>
      </w:r>
    </w:p>
    <w:p w14:paraId="1E254DB8" w14:textId="77777777" w:rsidR="000344A5" w:rsidRPr="00F173E5" w:rsidRDefault="000344A5" w:rsidP="00C10A70">
      <w:pPr>
        <w:pBdr>
          <w:top w:val="single" w:sz="4" w:space="1" w:color="auto"/>
          <w:left w:val="single" w:sz="4" w:space="4" w:color="auto"/>
          <w:bottom w:val="single" w:sz="4" w:space="1" w:color="auto"/>
          <w:right w:val="single" w:sz="4" w:space="4" w:color="auto"/>
        </w:pBdr>
        <w:ind w:right="-207"/>
        <w:jc w:val="both"/>
        <w:rPr>
          <w:rFonts w:ascii="Arial" w:hAnsi="Arial" w:cs="Arial"/>
          <w:bCs/>
          <w:i/>
          <w:iCs/>
          <w:sz w:val="22"/>
          <w:szCs w:val="21"/>
        </w:rPr>
      </w:pPr>
      <w:r w:rsidRPr="00F173E5">
        <w:rPr>
          <w:rFonts w:ascii="Arial" w:hAnsi="Arial" w:cs="Arial"/>
          <w:bCs/>
          <w:i/>
          <w:iCs/>
          <w:sz w:val="22"/>
          <w:szCs w:val="21"/>
        </w:rPr>
        <w:t xml:space="preserve">3.2 </w:t>
      </w:r>
      <w:proofErr w:type="spellStart"/>
      <w:r w:rsidRPr="00F173E5">
        <w:rPr>
          <w:rFonts w:ascii="Arial" w:hAnsi="Arial" w:cs="Arial"/>
          <w:bCs/>
          <w:i/>
          <w:iCs/>
          <w:sz w:val="22"/>
          <w:szCs w:val="21"/>
        </w:rPr>
        <w:t>Indemnite</w:t>
      </w:r>
      <w:proofErr w:type="spellEnd"/>
      <w:r w:rsidRPr="00F173E5">
        <w:rPr>
          <w:rFonts w:ascii="Arial" w:hAnsi="Arial" w:cs="Arial"/>
          <w:bCs/>
          <w:i/>
          <w:iCs/>
          <w:sz w:val="22"/>
          <w:szCs w:val="21"/>
        </w:rPr>
        <w:t>́ de non-concurrence</w:t>
      </w:r>
    </w:p>
    <w:p w14:paraId="1823599F" w14:textId="25F59706" w:rsidR="000344A5" w:rsidRPr="00F173E5" w:rsidRDefault="000344A5" w:rsidP="00C10A70">
      <w:pPr>
        <w:pBdr>
          <w:top w:val="single" w:sz="4" w:space="1" w:color="auto"/>
          <w:left w:val="single" w:sz="4" w:space="4" w:color="auto"/>
          <w:bottom w:val="single" w:sz="4" w:space="1" w:color="auto"/>
          <w:right w:val="single" w:sz="4" w:space="4" w:color="auto"/>
        </w:pBdr>
        <w:ind w:right="-207"/>
        <w:jc w:val="both"/>
        <w:rPr>
          <w:rFonts w:ascii="Arial" w:hAnsi="Arial" w:cs="Arial"/>
          <w:bCs/>
          <w:sz w:val="22"/>
          <w:szCs w:val="21"/>
        </w:rPr>
      </w:pPr>
      <w:r w:rsidRPr="00F173E5">
        <w:rPr>
          <w:rFonts w:ascii="Arial" w:hAnsi="Arial" w:cs="Arial"/>
          <w:bCs/>
          <w:sz w:val="22"/>
          <w:szCs w:val="21"/>
        </w:rPr>
        <w:t xml:space="preserve">Dans le contexte de cessation des fonctions de Directeur </w:t>
      </w:r>
      <w:proofErr w:type="spellStart"/>
      <w:r w:rsidRPr="00F173E5">
        <w:rPr>
          <w:rFonts w:ascii="Arial" w:hAnsi="Arial" w:cs="Arial"/>
          <w:bCs/>
          <w:sz w:val="22"/>
          <w:szCs w:val="21"/>
        </w:rPr>
        <w:t>Général</w:t>
      </w:r>
      <w:proofErr w:type="spellEnd"/>
      <w:r w:rsidRPr="00F173E5">
        <w:rPr>
          <w:rFonts w:ascii="Arial" w:hAnsi="Arial" w:cs="Arial"/>
          <w:bCs/>
          <w:sz w:val="22"/>
          <w:szCs w:val="21"/>
        </w:rPr>
        <w:t>, compte tenu de la n</w:t>
      </w:r>
      <w:r w:rsidR="00C10A70">
        <w:rPr>
          <w:rFonts w:ascii="Arial" w:hAnsi="Arial" w:cs="Arial"/>
          <w:bCs/>
          <w:sz w:val="22"/>
          <w:szCs w:val="21"/>
        </w:rPr>
        <w:t>ature de ses </w:t>
      </w:r>
      <w:r w:rsidRPr="00F173E5">
        <w:rPr>
          <w:rFonts w:ascii="Arial" w:hAnsi="Arial" w:cs="Arial"/>
          <w:bCs/>
          <w:sz w:val="22"/>
          <w:szCs w:val="21"/>
        </w:rPr>
        <w:t xml:space="preserve">fonctions </w:t>
      </w:r>
      <w:r w:rsidR="000E2914" w:rsidRPr="00F173E5">
        <w:rPr>
          <w:rFonts w:ascii="Arial" w:hAnsi="Arial" w:cs="Arial"/>
          <w:bCs/>
          <w:sz w:val="22"/>
          <w:szCs w:val="21"/>
        </w:rPr>
        <w:t>exercées</w:t>
      </w:r>
      <w:r w:rsidRPr="00F173E5">
        <w:rPr>
          <w:rFonts w:ascii="Arial" w:hAnsi="Arial" w:cs="Arial"/>
          <w:bCs/>
          <w:sz w:val="22"/>
          <w:szCs w:val="21"/>
        </w:rPr>
        <w:t xml:space="preserve"> au sein d’Energy+, ainsi que du </w:t>
      </w:r>
      <w:r w:rsidR="000E2914" w:rsidRPr="00F173E5">
        <w:rPr>
          <w:rFonts w:ascii="Arial" w:hAnsi="Arial" w:cs="Arial"/>
          <w:bCs/>
          <w:sz w:val="22"/>
          <w:szCs w:val="21"/>
        </w:rPr>
        <w:t>marché</w:t>
      </w:r>
      <w:r w:rsidRPr="00F173E5">
        <w:rPr>
          <w:rFonts w:ascii="Arial" w:hAnsi="Arial" w:cs="Arial"/>
          <w:bCs/>
          <w:sz w:val="22"/>
          <w:szCs w:val="21"/>
        </w:rPr>
        <w:t xml:space="preserve">́ dans lequel s’inscrivent les </w:t>
      </w:r>
      <w:r w:rsidR="000E2914" w:rsidRPr="00F173E5">
        <w:rPr>
          <w:rFonts w:ascii="Arial" w:hAnsi="Arial" w:cs="Arial"/>
          <w:bCs/>
          <w:sz w:val="22"/>
          <w:szCs w:val="21"/>
        </w:rPr>
        <w:t>activités</w:t>
      </w:r>
      <w:r w:rsidRPr="00F173E5">
        <w:rPr>
          <w:rFonts w:ascii="Arial" w:hAnsi="Arial" w:cs="Arial"/>
          <w:bCs/>
          <w:sz w:val="22"/>
          <w:szCs w:val="21"/>
        </w:rPr>
        <w:t xml:space="preserve"> du Groupe, il est apparu important de </w:t>
      </w:r>
      <w:r w:rsidR="000E2914" w:rsidRPr="00F173E5">
        <w:rPr>
          <w:rFonts w:ascii="Arial" w:hAnsi="Arial" w:cs="Arial"/>
          <w:bCs/>
          <w:sz w:val="22"/>
          <w:szCs w:val="21"/>
        </w:rPr>
        <w:t>protéger</w:t>
      </w:r>
      <w:r w:rsidRPr="00F173E5">
        <w:rPr>
          <w:rFonts w:ascii="Arial" w:hAnsi="Arial" w:cs="Arial"/>
          <w:bCs/>
          <w:sz w:val="22"/>
          <w:szCs w:val="21"/>
        </w:rPr>
        <w:t xml:space="preserve"> les </w:t>
      </w:r>
      <w:r w:rsidR="000E2914" w:rsidRPr="00F173E5">
        <w:rPr>
          <w:rFonts w:ascii="Arial" w:hAnsi="Arial" w:cs="Arial"/>
          <w:bCs/>
          <w:sz w:val="22"/>
          <w:szCs w:val="21"/>
        </w:rPr>
        <w:t>intérêts</w:t>
      </w:r>
      <w:r w:rsidRPr="00F173E5">
        <w:rPr>
          <w:rFonts w:ascii="Arial" w:hAnsi="Arial" w:cs="Arial"/>
          <w:bCs/>
          <w:sz w:val="22"/>
          <w:szCs w:val="21"/>
        </w:rPr>
        <w:t xml:space="preserve"> </w:t>
      </w:r>
      <w:r w:rsidR="000E2914" w:rsidRPr="00F173E5">
        <w:rPr>
          <w:rFonts w:ascii="Arial" w:hAnsi="Arial" w:cs="Arial"/>
          <w:bCs/>
          <w:sz w:val="22"/>
          <w:szCs w:val="21"/>
        </w:rPr>
        <w:t>légitimes</w:t>
      </w:r>
      <w:r w:rsidRPr="00F173E5">
        <w:rPr>
          <w:rFonts w:ascii="Arial" w:hAnsi="Arial" w:cs="Arial"/>
          <w:bCs/>
          <w:sz w:val="22"/>
          <w:szCs w:val="21"/>
        </w:rPr>
        <w:t xml:space="preserve"> du Groupe.</w:t>
      </w:r>
    </w:p>
    <w:p w14:paraId="1F31F112" w14:textId="2E386C87" w:rsidR="000344A5" w:rsidRPr="00F173E5" w:rsidRDefault="000344A5" w:rsidP="00C10A70">
      <w:pPr>
        <w:pBdr>
          <w:top w:val="single" w:sz="4" w:space="1" w:color="auto"/>
          <w:left w:val="single" w:sz="4" w:space="4" w:color="auto"/>
          <w:bottom w:val="single" w:sz="4" w:space="1" w:color="auto"/>
          <w:right w:val="single" w:sz="4" w:space="4" w:color="auto"/>
        </w:pBdr>
        <w:ind w:right="-207"/>
        <w:jc w:val="both"/>
        <w:rPr>
          <w:rFonts w:ascii="Arial" w:hAnsi="Arial" w:cs="Arial"/>
          <w:bCs/>
          <w:sz w:val="22"/>
          <w:szCs w:val="21"/>
        </w:rPr>
      </w:pPr>
      <w:r w:rsidRPr="00F173E5">
        <w:rPr>
          <w:rFonts w:ascii="Arial" w:hAnsi="Arial" w:cs="Arial"/>
          <w:bCs/>
          <w:sz w:val="22"/>
          <w:szCs w:val="21"/>
        </w:rPr>
        <w:t xml:space="preserve">En contrepartie de cet engagement de non-concurrence, d’une </w:t>
      </w:r>
      <w:r w:rsidR="000E2914" w:rsidRPr="00F173E5">
        <w:rPr>
          <w:rFonts w:ascii="Arial" w:hAnsi="Arial" w:cs="Arial"/>
          <w:bCs/>
          <w:sz w:val="22"/>
          <w:szCs w:val="21"/>
        </w:rPr>
        <w:t>durée</w:t>
      </w:r>
      <w:r w:rsidRPr="00F173E5">
        <w:rPr>
          <w:rFonts w:ascii="Arial" w:hAnsi="Arial" w:cs="Arial"/>
          <w:bCs/>
          <w:sz w:val="22"/>
          <w:szCs w:val="21"/>
        </w:rPr>
        <w:t xml:space="preserve"> de 18 mois, une </w:t>
      </w:r>
      <w:proofErr w:type="spellStart"/>
      <w:r w:rsidRPr="00F173E5">
        <w:rPr>
          <w:rFonts w:ascii="Arial" w:hAnsi="Arial" w:cs="Arial"/>
          <w:bCs/>
          <w:sz w:val="22"/>
          <w:szCs w:val="21"/>
        </w:rPr>
        <w:t>indemnite</w:t>
      </w:r>
      <w:proofErr w:type="spellEnd"/>
      <w:r w:rsidRPr="00F173E5">
        <w:rPr>
          <w:rFonts w:ascii="Arial" w:hAnsi="Arial" w:cs="Arial"/>
          <w:bCs/>
          <w:sz w:val="22"/>
          <w:szCs w:val="21"/>
        </w:rPr>
        <w:t xml:space="preserve">́ compensatrice d’un montant total de 1.231.320 euros bruts serait perçue. Cette </w:t>
      </w:r>
      <w:proofErr w:type="spellStart"/>
      <w:r w:rsidRPr="00F173E5">
        <w:rPr>
          <w:rFonts w:ascii="Arial" w:hAnsi="Arial" w:cs="Arial"/>
          <w:bCs/>
          <w:sz w:val="22"/>
          <w:szCs w:val="21"/>
        </w:rPr>
        <w:t>indemnite</w:t>
      </w:r>
      <w:proofErr w:type="spellEnd"/>
      <w:r w:rsidRPr="00F173E5">
        <w:rPr>
          <w:rFonts w:ascii="Arial" w:hAnsi="Arial" w:cs="Arial"/>
          <w:bCs/>
          <w:sz w:val="22"/>
          <w:szCs w:val="21"/>
        </w:rPr>
        <w:t xml:space="preserve">́, </w:t>
      </w:r>
      <w:r w:rsidR="000E2914" w:rsidRPr="00F173E5">
        <w:rPr>
          <w:rFonts w:ascii="Arial" w:hAnsi="Arial" w:cs="Arial"/>
          <w:bCs/>
          <w:sz w:val="22"/>
          <w:szCs w:val="21"/>
        </w:rPr>
        <w:t>rapportée</w:t>
      </w:r>
      <w:r w:rsidRPr="00F173E5">
        <w:rPr>
          <w:rFonts w:ascii="Arial" w:hAnsi="Arial" w:cs="Arial"/>
          <w:bCs/>
          <w:sz w:val="22"/>
          <w:szCs w:val="21"/>
        </w:rPr>
        <w:t xml:space="preserve"> </w:t>
      </w:r>
      <w:proofErr w:type="spellStart"/>
      <w:r w:rsidRPr="00F173E5">
        <w:rPr>
          <w:rFonts w:ascii="Arial" w:hAnsi="Arial" w:cs="Arial"/>
          <w:bCs/>
          <w:sz w:val="22"/>
          <w:szCs w:val="21"/>
        </w:rPr>
        <w:t>a</w:t>
      </w:r>
      <w:proofErr w:type="spellEnd"/>
      <w:r w:rsidRPr="00F173E5">
        <w:rPr>
          <w:rFonts w:ascii="Arial" w:hAnsi="Arial" w:cs="Arial"/>
          <w:bCs/>
          <w:sz w:val="22"/>
          <w:szCs w:val="21"/>
        </w:rPr>
        <w:t xml:space="preserve">̀ la </w:t>
      </w:r>
      <w:r w:rsidR="000E2914" w:rsidRPr="00F173E5">
        <w:rPr>
          <w:rFonts w:ascii="Arial" w:hAnsi="Arial" w:cs="Arial"/>
          <w:bCs/>
          <w:sz w:val="22"/>
          <w:szCs w:val="21"/>
        </w:rPr>
        <w:t>durée</w:t>
      </w:r>
      <w:r w:rsidRPr="00F173E5">
        <w:rPr>
          <w:rFonts w:ascii="Arial" w:hAnsi="Arial" w:cs="Arial"/>
          <w:bCs/>
          <w:sz w:val="22"/>
          <w:szCs w:val="21"/>
        </w:rPr>
        <w:t xml:space="preserve"> de l’engagement de non-concurrence, correspond </w:t>
      </w:r>
      <w:r w:rsidR="000E2914" w:rsidRPr="00F173E5">
        <w:rPr>
          <w:rFonts w:ascii="Arial" w:hAnsi="Arial" w:cs="Arial"/>
          <w:bCs/>
          <w:sz w:val="22"/>
          <w:szCs w:val="21"/>
        </w:rPr>
        <w:t>à</w:t>
      </w:r>
      <w:r w:rsidR="00C10A70">
        <w:rPr>
          <w:rFonts w:ascii="Arial" w:hAnsi="Arial" w:cs="Arial"/>
          <w:bCs/>
          <w:sz w:val="22"/>
          <w:szCs w:val="21"/>
        </w:rPr>
        <w:t>̀ 50 % de la moyenne de ses </w:t>
      </w:r>
      <w:r w:rsidR="000E2914" w:rsidRPr="00F173E5">
        <w:rPr>
          <w:rFonts w:ascii="Arial" w:hAnsi="Arial" w:cs="Arial"/>
          <w:bCs/>
          <w:sz w:val="22"/>
          <w:szCs w:val="21"/>
        </w:rPr>
        <w:t>rémunérations</w:t>
      </w:r>
      <w:r w:rsidRPr="00F173E5">
        <w:rPr>
          <w:rFonts w:ascii="Arial" w:hAnsi="Arial" w:cs="Arial"/>
          <w:bCs/>
          <w:sz w:val="22"/>
          <w:szCs w:val="21"/>
        </w:rPr>
        <w:t xml:space="preserve"> mensuelles brutes fixes et variables (variable annuel) – </w:t>
      </w:r>
      <w:r w:rsidR="000E2914" w:rsidRPr="00F173E5">
        <w:rPr>
          <w:rFonts w:ascii="Arial" w:hAnsi="Arial" w:cs="Arial"/>
          <w:bCs/>
          <w:sz w:val="22"/>
          <w:szCs w:val="21"/>
        </w:rPr>
        <w:t>perçues</w:t>
      </w:r>
      <w:r w:rsidR="00C10A70">
        <w:rPr>
          <w:rFonts w:ascii="Arial" w:hAnsi="Arial" w:cs="Arial"/>
          <w:bCs/>
          <w:sz w:val="22"/>
          <w:szCs w:val="21"/>
        </w:rPr>
        <w:t xml:space="preserve"> au cours des </w:t>
      </w:r>
      <w:r w:rsidR="00F173E5">
        <w:rPr>
          <w:rFonts w:ascii="Arial" w:hAnsi="Arial" w:cs="Arial"/>
          <w:bCs/>
          <w:sz w:val="22"/>
          <w:szCs w:val="21"/>
        </w:rPr>
        <w:t>12 </w:t>
      </w:r>
      <w:r w:rsidRPr="00F173E5">
        <w:rPr>
          <w:rFonts w:ascii="Arial" w:hAnsi="Arial" w:cs="Arial"/>
          <w:bCs/>
          <w:sz w:val="22"/>
          <w:szCs w:val="21"/>
        </w:rPr>
        <w:t xml:space="preserve">derniers mois </w:t>
      </w:r>
      <w:r w:rsidR="000E2914" w:rsidRPr="00F173E5">
        <w:rPr>
          <w:rFonts w:ascii="Arial" w:hAnsi="Arial" w:cs="Arial"/>
          <w:bCs/>
          <w:sz w:val="22"/>
          <w:szCs w:val="21"/>
        </w:rPr>
        <w:t>précédant</w:t>
      </w:r>
      <w:r w:rsidRPr="00F173E5">
        <w:rPr>
          <w:rFonts w:ascii="Arial" w:hAnsi="Arial" w:cs="Arial"/>
          <w:bCs/>
          <w:sz w:val="22"/>
          <w:szCs w:val="21"/>
        </w:rPr>
        <w:t xml:space="preserve"> la date de cessation effective de ses fonctions de Directeur </w:t>
      </w:r>
      <w:proofErr w:type="spellStart"/>
      <w:r w:rsidRPr="00F173E5">
        <w:rPr>
          <w:rFonts w:ascii="Arial" w:hAnsi="Arial" w:cs="Arial"/>
          <w:bCs/>
          <w:sz w:val="22"/>
          <w:szCs w:val="21"/>
        </w:rPr>
        <w:t>Général</w:t>
      </w:r>
      <w:proofErr w:type="spellEnd"/>
      <w:r w:rsidRPr="00F173E5">
        <w:rPr>
          <w:rFonts w:ascii="Arial" w:hAnsi="Arial" w:cs="Arial"/>
          <w:bCs/>
          <w:sz w:val="22"/>
          <w:szCs w:val="21"/>
        </w:rPr>
        <w:t>.</w:t>
      </w:r>
    </w:p>
    <w:p w14:paraId="07504ABD" w14:textId="167F3A9D" w:rsidR="004D1EDA" w:rsidRPr="00D44AA2" w:rsidRDefault="004D1EDA" w:rsidP="00D44AA2">
      <w:pPr>
        <w:keepNext/>
        <w:jc w:val="center"/>
        <w:rPr>
          <w:rFonts w:ascii="Arial" w:hAnsi="Arial" w:cs="Arial"/>
          <w:b/>
        </w:rPr>
      </w:pPr>
      <w:r w:rsidRPr="00D44AA2">
        <w:rPr>
          <w:rFonts w:ascii="Arial" w:hAnsi="Arial" w:cs="Arial"/>
          <w:b/>
        </w:rPr>
        <w:lastRenderedPageBreak/>
        <w:t>Annexe 4 </w:t>
      </w:r>
      <w:r w:rsidR="00B06E82">
        <w:rPr>
          <w:rFonts w:ascii="Arial" w:hAnsi="Arial" w:cs="Arial"/>
          <w:b/>
        </w:rPr>
        <w:t>-</w:t>
      </w:r>
      <w:r w:rsidRPr="00D44AA2">
        <w:rPr>
          <w:rFonts w:ascii="Arial" w:hAnsi="Arial" w:cs="Arial"/>
          <w:b/>
        </w:rPr>
        <w:t xml:space="preserve"> Rémunérations de la directrice générale</w:t>
      </w:r>
    </w:p>
    <w:p w14:paraId="2E4FE25E" w14:textId="77777777" w:rsidR="004D1EDA" w:rsidRPr="00D44AA2" w:rsidRDefault="004D1EDA" w:rsidP="00E97FBF">
      <w:pPr>
        <w:rPr>
          <w:rFonts w:ascii="Arial" w:hAnsi="Arial" w:cs="Arial"/>
          <w:b/>
        </w:rPr>
      </w:pPr>
    </w:p>
    <w:tbl>
      <w:tblPr>
        <w:tblStyle w:val="Grilledutableau"/>
        <w:tblW w:w="0" w:type="auto"/>
        <w:jc w:val="center"/>
        <w:tblLook w:val="04A0" w:firstRow="1" w:lastRow="0" w:firstColumn="1" w:lastColumn="0" w:noHBand="0" w:noVBand="1"/>
      </w:tblPr>
      <w:tblGrid>
        <w:gridCol w:w="3018"/>
        <w:gridCol w:w="3019"/>
        <w:gridCol w:w="3019"/>
      </w:tblGrid>
      <w:tr w:rsidR="004D1EDA" w:rsidRPr="00D44AA2" w14:paraId="757620DB" w14:textId="77777777" w:rsidTr="00F11B1D">
        <w:trPr>
          <w:jc w:val="center"/>
        </w:trPr>
        <w:tc>
          <w:tcPr>
            <w:tcW w:w="3018" w:type="dxa"/>
            <w:shd w:val="clear" w:color="auto" w:fill="F2F2F2" w:themeFill="background1" w:themeFillShade="F2"/>
          </w:tcPr>
          <w:p w14:paraId="49AC0258" w14:textId="77777777" w:rsidR="004D1EDA" w:rsidRPr="00D44AA2" w:rsidRDefault="004D1EDA" w:rsidP="005B3600">
            <w:pPr>
              <w:jc w:val="center"/>
              <w:rPr>
                <w:rFonts w:ascii="Arial" w:hAnsi="Arial" w:cs="Arial"/>
                <w:b/>
              </w:rPr>
            </w:pPr>
          </w:p>
        </w:tc>
        <w:tc>
          <w:tcPr>
            <w:tcW w:w="3019" w:type="dxa"/>
            <w:shd w:val="clear" w:color="auto" w:fill="F2F2F2" w:themeFill="background1" w:themeFillShade="F2"/>
          </w:tcPr>
          <w:p w14:paraId="66E2CDC5" w14:textId="7FCA4823" w:rsidR="004D1EDA" w:rsidRPr="00D44AA2" w:rsidRDefault="00040E69" w:rsidP="005B3600">
            <w:pPr>
              <w:jc w:val="center"/>
              <w:rPr>
                <w:rFonts w:ascii="Arial" w:hAnsi="Arial" w:cs="Arial"/>
                <w:b/>
              </w:rPr>
            </w:pPr>
            <w:r>
              <w:rPr>
                <w:rFonts w:ascii="Arial" w:hAnsi="Arial" w:cs="Arial"/>
                <w:b/>
              </w:rPr>
              <w:t>2021</w:t>
            </w:r>
          </w:p>
        </w:tc>
        <w:tc>
          <w:tcPr>
            <w:tcW w:w="3019" w:type="dxa"/>
            <w:shd w:val="clear" w:color="auto" w:fill="F2F2F2" w:themeFill="background1" w:themeFillShade="F2"/>
          </w:tcPr>
          <w:p w14:paraId="25FCFCAC" w14:textId="2F8E4322" w:rsidR="004D1EDA" w:rsidRPr="00D44AA2" w:rsidRDefault="00040E69" w:rsidP="005B3600">
            <w:pPr>
              <w:jc w:val="center"/>
              <w:rPr>
                <w:rFonts w:ascii="Arial" w:hAnsi="Arial" w:cs="Arial"/>
                <w:b/>
              </w:rPr>
            </w:pPr>
            <w:r>
              <w:rPr>
                <w:rFonts w:ascii="Arial" w:hAnsi="Arial" w:cs="Arial"/>
                <w:b/>
              </w:rPr>
              <w:t>2020</w:t>
            </w:r>
          </w:p>
        </w:tc>
      </w:tr>
      <w:tr w:rsidR="004D1EDA" w:rsidRPr="00D44AA2" w14:paraId="05A995E6" w14:textId="77777777" w:rsidTr="00F11B1D">
        <w:trPr>
          <w:jc w:val="center"/>
        </w:trPr>
        <w:tc>
          <w:tcPr>
            <w:tcW w:w="3018" w:type="dxa"/>
          </w:tcPr>
          <w:p w14:paraId="4FD7719C" w14:textId="77777777" w:rsidR="004D1EDA" w:rsidRPr="00D44AA2" w:rsidRDefault="004D1EDA" w:rsidP="004D1EDA">
            <w:pPr>
              <w:rPr>
                <w:rFonts w:ascii="Arial" w:hAnsi="Arial" w:cs="Arial"/>
                <w:bCs/>
              </w:rPr>
            </w:pPr>
            <w:r w:rsidRPr="00D44AA2">
              <w:rPr>
                <w:rFonts w:ascii="Arial" w:hAnsi="Arial" w:cs="Arial"/>
                <w:bCs/>
              </w:rPr>
              <w:t xml:space="preserve">Fixe </w:t>
            </w:r>
          </w:p>
        </w:tc>
        <w:tc>
          <w:tcPr>
            <w:tcW w:w="3019" w:type="dxa"/>
          </w:tcPr>
          <w:p w14:paraId="172E57D9" w14:textId="77777777" w:rsidR="004D1EDA" w:rsidRPr="00D44AA2" w:rsidRDefault="004D1EDA" w:rsidP="004D1EDA">
            <w:pPr>
              <w:rPr>
                <w:rFonts w:ascii="Arial" w:hAnsi="Arial" w:cs="Arial"/>
                <w:bCs/>
              </w:rPr>
            </w:pPr>
            <w:r w:rsidRPr="00D44AA2">
              <w:rPr>
                <w:rFonts w:ascii="Arial" w:hAnsi="Arial" w:cs="Arial"/>
                <w:bCs/>
              </w:rPr>
              <w:t>1 000 000 euros</w:t>
            </w:r>
          </w:p>
        </w:tc>
        <w:tc>
          <w:tcPr>
            <w:tcW w:w="3019" w:type="dxa"/>
          </w:tcPr>
          <w:p w14:paraId="67ECE211" w14:textId="77777777" w:rsidR="004D1EDA" w:rsidRPr="00D44AA2" w:rsidRDefault="004D1EDA" w:rsidP="004D1EDA">
            <w:pPr>
              <w:rPr>
                <w:rFonts w:ascii="Arial" w:hAnsi="Arial" w:cs="Arial"/>
                <w:bCs/>
              </w:rPr>
            </w:pPr>
            <w:r w:rsidRPr="00D44AA2">
              <w:rPr>
                <w:rFonts w:ascii="Arial" w:hAnsi="Arial" w:cs="Arial"/>
                <w:bCs/>
              </w:rPr>
              <w:t>1 000 000 euros</w:t>
            </w:r>
          </w:p>
        </w:tc>
      </w:tr>
      <w:tr w:rsidR="004D1EDA" w:rsidRPr="00D44AA2" w14:paraId="642D15B5" w14:textId="77777777" w:rsidTr="00F11B1D">
        <w:trPr>
          <w:jc w:val="center"/>
        </w:trPr>
        <w:tc>
          <w:tcPr>
            <w:tcW w:w="3018" w:type="dxa"/>
          </w:tcPr>
          <w:p w14:paraId="55E8455C" w14:textId="77777777" w:rsidR="004D1EDA" w:rsidRPr="00D44AA2" w:rsidRDefault="004D1EDA" w:rsidP="004D1EDA">
            <w:pPr>
              <w:rPr>
                <w:rFonts w:ascii="Arial" w:hAnsi="Arial" w:cs="Arial"/>
                <w:bCs/>
              </w:rPr>
            </w:pPr>
            <w:r w:rsidRPr="00D44AA2">
              <w:rPr>
                <w:rFonts w:ascii="Arial" w:hAnsi="Arial" w:cs="Arial"/>
                <w:bCs/>
              </w:rPr>
              <w:t xml:space="preserve">Variables </w:t>
            </w:r>
          </w:p>
        </w:tc>
        <w:tc>
          <w:tcPr>
            <w:tcW w:w="3019" w:type="dxa"/>
          </w:tcPr>
          <w:p w14:paraId="4AB9CC16" w14:textId="77777777" w:rsidR="004D1EDA" w:rsidRPr="00D44AA2" w:rsidRDefault="004D1EDA" w:rsidP="004D1EDA">
            <w:pPr>
              <w:rPr>
                <w:rFonts w:ascii="Arial" w:hAnsi="Arial" w:cs="Arial"/>
                <w:bCs/>
              </w:rPr>
            </w:pPr>
            <w:r w:rsidRPr="00D44AA2">
              <w:rPr>
                <w:rFonts w:ascii="Arial" w:hAnsi="Arial" w:cs="Arial"/>
                <w:bCs/>
              </w:rPr>
              <w:t>661 500 euros</w:t>
            </w:r>
          </w:p>
        </w:tc>
        <w:tc>
          <w:tcPr>
            <w:tcW w:w="3019" w:type="dxa"/>
          </w:tcPr>
          <w:p w14:paraId="54D756E3" w14:textId="77777777" w:rsidR="004D1EDA" w:rsidRPr="00D44AA2" w:rsidRDefault="004D1EDA" w:rsidP="004D1EDA">
            <w:pPr>
              <w:rPr>
                <w:rFonts w:ascii="Arial" w:hAnsi="Arial" w:cs="Arial"/>
                <w:bCs/>
              </w:rPr>
            </w:pPr>
            <w:r w:rsidRPr="00D44AA2">
              <w:rPr>
                <w:rFonts w:ascii="Arial" w:hAnsi="Arial" w:cs="Arial"/>
                <w:bCs/>
              </w:rPr>
              <w:t>641 760 euros</w:t>
            </w:r>
          </w:p>
        </w:tc>
      </w:tr>
      <w:tr w:rsidR="004D1EDA" w:rsidRPr="00D44AA2" w14:paraId="4901C3E8" w14:textId="77777777" w:rsidTr="00F11B1D">
        <w:trPr>
          <w:jc w:val="center"/>
        </w:trPr>
        <w:tc>
          <w:tcPr>
            <w:tcW w:w="3018" w:type="dxa"/>
          </w:tcPr>
          <w:p w14:paraId="30A6B964" w14:textId="77777777" w:rsidR="004D1EDA" w:rsidRPr="00D44AA2" w:rsidRDefault="004D1EDA" w:rsidP="004D1EDA">
            <w:pPr>
              <w:rPr>
                <w:rFonts w:ascii="Arial" w:hAnsi="Arial" w:cs="Arial"/>
                <w:bCs/>
              </w:rPr>
            </w:pPr>
            <w:r w:rsidRPr="00D44AA2">
              <w:rPr>
                <w:rFonts w:ascii="Arial" w:hAnsi="Arial" w:cs="Arial"/>
                <w:bCs/>
              </w:rPr>
              <w:t>Avantages en nature</w:t>
            </w:r>
          </w:p>
        </w:tc>
        <w:tc>
          <w:tcPr>
            <w:tcW w:w="3019" w:type="dxa"/>
          </w:tcPr>
          <w:p w14:paraId="0722F5BE" w14:textId="77777777" w:rsidR="004D1EDA" w:rsidRPr="00D44AA2" w:rsidRDefault="004D1EDA" w:rsidP="004D1EDA">
            <w:pPr>
              <w:rPr>
                <w:rFonts w:ascii="Arial" w:hAnsi="Arial" w:cs="Arial"/>
                <w:bCs/>
              </w:rPr>
            </w:pPr>
            <w:r w:rsidRPr="00D44AA2">
              <w:rPr>
                <w:rFonts w:ascii="Arial" w:hAnsi="Arial" w:cs="Arial"/>
                <w:bCs/>
              </w:rPr>
              <w:t>6 012 euros</w:t>
            </w:r>
          </w:p>
        </w:tc>
        <w:tc>
          <w:tcPr>
            <w:tcW w:w="3019" w:type="dxa"/>
          </w:tcPr>
          <w:p w14:paraId="633A2747" w14:textId="77777777" w:rsidR="004D1EDA" w:rsidRPr="00D44AA2" w:rsidRDefault="004D1EDA" w:rsidP="004D1EDA">
            <w:pPr>
              <w:rPr>
                <w:rFonts w:ascii="Arial" w:hAnsi="Arial" w:cs="Arial"/>
                <w:bCs/>
              </w:rPr>
            </w:pPr>
            <w:r w:rsidRPr="00D44AA2">
              <w:rPr>
                <w:rFonts w:ascii="Arial" w:hAnsi="Arial" w:cs="Arial"/>
                <w:bCs/>
              </w:rPr>
              <w:t>6 012 euros</w:t>
            </w:r>
          </w:p>
        </w:tc>
      </w:tr>
    </w:tbl>
    <w:p w14:paraId="289E1E46" w14:textId="77777777" w:rsidR="000E2914" w:rsidRPr="00D44AA2" w:rsidRDefault="000E2914" w:rsidP="00E97FBF">
      <w:pPr>
        <w:rPr>
          <w:rFonts w:ascii="Arial" w:hAnsi="Arial" w:cs="Arial"/>
          <w:b/>
        </w:rPr>
      </w:pPr>
    </w:p>
    <w:p w14:paraId="3D72A2FE" w14:textId="77777777" w:rsidR="00C10A70" w:rsidRDefault="00C10A70" w:rsidP="00EF1E9C">
      <w:pPr>
        <w:jc w:val="center"/>
        <w:rPr>
          <w:rFonts w:ascii="Arial" w:hAnsi="Arial" w:cs="Arial"/>
          <w:b/>
        </w:rPr>
      </w:pPr>
    </w:p>
    <w:p w14:paraId="54FC2092" w14:textId="4F3849C3" w:rsidR="004D1EDA" w:rsidRPr="00D44AA2" w:rsidRDefault="006C6E9D" w:rsidP="00EF1E9C">
      <w:pPr>
        <w:jc w:val="center"/>
        <w:rPr>
          <w:rFonts w:ascii="Arial" w:hAnsi="Arial" w:cs="Arial"/>
          <w:b/>
        </w:rPr>
      </w:pPr>
      <w:r w:rsidRPr="00D44AA2">
        <w:rPr>
          <w:rFonts w:ascii="Arial" w:hAnsi="Arial" w:cs="Arial"/>
          <w:b/>
        </w:rPr>
        <w:t>Annexe 5</w:t>
      </w:r>
      <w:r w:rsidR="00C75E3B" w:rsidRPr="00D44AA2">
        <w:rPr>
          <w:rFonts w:ascii="Arial" w:hAnsi="Arial" w:cs="Arial"/>
          <w:b/>
        </w:rPr>
        <w:t> </w:t>
      </w:r>
      <w:r w:rsidR="00B06E82">
        <w:rPr>
          <w:rFonts w:ascii="Arial" w:hAnsi="Arial" w:cs="Arial"/>
          <w:b/>
        </w:rPr>
        <w:t>-</w:t>
      </w:r>
      <w:r w:rsidRPr="00D44AA2">
        <w:rPr>
          <w:rFonts w:ascii="Arial" w:hAnsi="Arial" w:cs="Arial"/>
          <w:b/>
        </w:rPr>
        <w:t xml:space="preserve"> Cours de clôture de l’action </w:t>
      </w:r>
      <w:r w:rsidR="00C75E3B" w:rsidRPr="00D44AA2">
        <w:rPr>
          <w:rFonts w:ascii="Arial" w:hAnsi="Arial" w:cs="Arial"/>
          <w:b/>
        </w:rPr>
        <w:t xml:space="preserve">Energy+ autour de la date d’annonce (J) de </w:t>
      </w:r>
      <w:r w:rsidR="00D44AA2" w:rsidRPr="00D44AA2">
        <w:rPr>
          <w:rFonts w:ascii="Arial" w:hAnsi="Arial" w:cs="Arial"/>
          <w:b/>
        </w:rPr>
        <w:t>non-renouvellement</w:t>
      </w:r>
      <w:r w:rsidR="00C75E3B" w:rsidRPr="00D44AA2">
        <w:rPr>
          <w:rFonts w:ascii="Arial" w:hAnsi="Arial" w:cs="Arial"/>
          <w:b/>
        </w:rPr>
        <w:t xml:space="preserve"> du mandat de la directrice Générale par le conseil d’administration</w:t>
      </w:r>
    </w:p>
    <w:p w14:paraId="5D3F2CED" w14:textId="77777777" w:rsidR="00C75E3B" w:rsidRPr="00D44AA2" w:rsidRDefault="00C8316E" w:rsidP="008065E1">
      <w:pPr>
        <w:jc w:val="center"/>
        <w:rPr>
          <w:rFonts w:ascii="Arial" w:hAnsi="Arial" w:cs="Arial"/>
          <w:b/>
        </w:rPr>
      </w:pPr>
      <w:r w:rsidRPr="00D44AA2">
        <w:rPr>
          <w:rFonts w:ascii="Arial" w:hAnsi="Arial" w:cs="Arial"/>
          <w:noProof/>
          <w:color w:val="FF0000"/>
        </w:rPr>
        <mc:AlternateContent>
          <mc:Choice Requires="wps">
            <w:drawing>
              <wp:anchor distT="0" distB="0" distL="114300" distR="114300" simplePos="0" relativeHeight="251659264" behindDoc="0" locked="0" layoutInCell="1" allowOverlap="1" wp14:anchorId="1727273A" wp14:editId="36AAE6E3">
                <wp:simplePos x="0" y="0"/>
                <wp:positionH relativeFrom="column">
                  <wp:posOffset>3238022</wp:posOffset>
                </wp:positionH>
                <wp:positionV relativeFrom="paragraph">
                  <wp:posOffset>273685</wp:posOffset>
                </wp:positionV>
                <wp:extent cx="0" cy="2137025"/>
                <wp:effectExtent l="63500" t="38100" r="63500" b="60325"/>
                <wp:wrapNone/>
                <wp:docPr id="2" name="Connecteur droit 2"/>
                <wp:cNvGraphicFramePr/>
                <a:graphic xmlns:a="http://schemas.openxmlformats.org/drawingml/2006/main">
                  <a:graphicData uri="http://schemas.microsoft.com/office/word/2010/wordprocessingShape">
                    <wps:wsp>
                      <wps:cNvCnPr/>
                      <wps:spPr>
                        <a:xfrm flipV="1">
                          <a:off x="0" y="0"/>
                          <a:ext cx="0" cy="2137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E8815E"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4.95pt,21.55pt" to="254.95pt,1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" strokecolor="red" strokeweight="2pt">
                <v:shadow on="t" color="black" opacity="24903f" origin=",.5" offset="0,.55556mm"/>
              </v:line>
            </w:pict>
          </mc:Fallback>
        </mc:AlternateContent>
      </w:r>
      <w:r w:rsidR="00C75E3B" w:rsidRPr="00D44AA2">
        <w:rPr>
          <w:rFonts w:ascii="Arial" w:hAnsi="Arial" w:cs="Arial"/>
          <w:noProof/>
        </w:rPr>
        <w:drawing>
          <wp:inline distT="0" distB="0" distL="0" distR="0" wp14:anchorId="4E2DB52F" wp14:editId="46A1650E">
            <wp:extent cx="5661061" cy="2630184"/>
            <wp:effectExtent l="0" t="0" r="15875" b="11430"/>
            <wp:docPr id="1" name="Graphique 1">
              <a:extLst xmlns:a="http://schemas.openxmlformats.org/drawingml/2006/main">
                <a:ext uri="{FF2B5EF4-FFF2-40B4-BE49-F238E27FC236}">
                  <a16:creationId xmlns:a16="http://schemas.microsoft.com/office/drawing/2014/main" id="{D32E96AE-6D1C-D34B-A299-5335E6BC28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AB5849" w14:textId="333421E7" w:rsidR="004D1EDA" w:rsidRDefault="004D1EDA" w:rsidP="00E97FBF">
      <w:pPr>
        <w:rPr>
          <w:rFonts w:ascii="Arial" w:hAnsi="Arial" w:cs="Arial"/>
          <w:b/>
        </w:rPr>
      </w:pPr>
    </w:p>
    <w:p w14:paraId="7205652B" w14:textId="77777777" w:rsidR="00C10A70" w:rsidRPr="00D44AA2" w:rsidRDefault="00C10A70" w:rsidP="00E97FBF">
      <w:pPr>
        <w:rPr>
          <w:rFonts w:ascii="Arial" w:hAnsi="Arial" w:cs="Arial"/>
          <w:b/>
        </w:rPr>
      </w:pPr>
    </w:p>
    <w:p w14:paraId="6B00B3B3" w14:textId="43D2FB7D" w:rsidR="00B347C0" w:rsidRPr="00D44AA2" w:rsidRDefault="00B347C0" w:rsidP="00EF1E9C">
      <w:pPr>
        <w:jc w:val="center"/>
        <w:rPr>
          <w:rFonts w:ascii="Arial" w:hAnsi="Arial" w:cs="Arial"/>
          <w:b/>
        </w:rPr>
      </w:pPr>
      <w:r w:rsidRPr="00D44AA2">
        <w:rPr>
          <w:rFonts w:ascii="Arial" w:hAnsi="Arial" w:cs="Arial"/>
          <w:b/>
        </w:rPr>
        <w:t>Annexe 6 </w:t>
      </w:r>
      <w:r w:rsidR="00B06E82">
        <w:rPr>
          <w:rFonts w:ascii="Arial" w:hAnsi="Arial" w:cs="Arial"/>
          <w:b/>
        </w:rPr>
        <w:t>-</w:t>
      </w:r>
      <w:r w:rsidRPr="00D44AA2">
        <w:rPr>
          <w:rFonts w:ascii="Arial" w:hAnsi="Arial" w:cs="Arial"/>
          <w:b/>
        </w:rPr>
        <w:t xml:space="preserve"> Matrice de matérialité d’Energy+</w:t>
      </w:r>
    </w:p>
    <w:p w14:paraId="72BEA75A" w14:textId="1006B50B" w:rsidR="00B347C0" w:rsidRPr="00D44AA2" w:rsidRDefault="008065E1" w:rsidP="00D44AA2">
      <w:pPr>
        <w:jc w:val="center"/>
        <w:rPr>
          <w:rFonts w:ascii="Arial" w:hAnsi="Arial" w:cs="Arial"/>
        </w:rPr>
      </w:pPr>
      <w:r w:rsidRPr="00D44AA2">
        <w:rPr>
          <w:rFonts w:ascii="Arial" w:hAnsi="Arial" w:cs="Arial"/>
          <w:noProof/>
        </w:rPr>
        <w:drawing>
          <wp:anchor distT="0" distB="0" distL="114300" distR="114300" simplePos="0" relativeHeight="251661312" behindDoc="0" locked="0" layoutInCell="1" allowOverlap="1" wp14:anchorId="69A11815" wp14:editId="64D6A6B1">
            <wp:simplePos x="0" y="0"/>
            <wp:positionH relativeFrom="column">
              <wp:posOffset>466090</wp:posOffset>
            </wp:positionH>
            <wp:positionV relativeFrom="paragraph">
              <wp:posOffset>86995</wp:posOffset>
            </wp:positionV>
            <wp:extent cx="5048250" cy="3586006"/>
            <wp:effectExtent l="0" t="0" r="0" b="0"/>
            <wp:wrapSquare wrapText="bothSides"/>
            <wp:docPr id="3" name="Image 3" descr="Matrice de matérial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rice de matérialité"/>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3586006"/>
                    </a:xfrm>
                    <a:prstGeom prst="rect">
                      <a:avLst/>
                    </a:prstGeom>
                    <a:noFill/>
                    <a:ln>
                      <a:noFill/>
                    </a:ln>
                  </pic:spPr>
                </pic:pic>
              </a:graphicData>
            </a:graphic>
          </wp:anchor>
        </w:drawing>
      </w:r>
      <w:r w:rsidR="00B347C0" w:rsidRPr="00D44AA2">
        <w:rPr>
          <w:rFonts w:ascii="Arial" w:hAnsi="Arial" w:cs="Arial"/>
          <w:noProof/>
        </w:rPr>
        <mc:AlternateContent>
          <mc:Choice Requires="wps">
            <w:drawing>
              <wp:anchor distT="0" distB="0" distL="114300" distR="114300" simplePos="0" relativeHeight="251660288" behindDoc="0" locked="0" layoutInCell="1" allowOverlap="1" wp14:anchorId="130A798F" wp14:editId="422910DE">
                <wp:simplePos x="0" y="0"/>
                <wp:positionH relativeFrom="column">
                  <wp:posOffset>3313430</wp:posOffset>
                </wp:positionH>
                <wp:positionV relativeFrom="paragraph">
                  <wp:posOffset>3385820</wp:posOffset>
                </wp:positionV>
                <wp:extent cx="355600" cy="95250"/>
                <wp:effectExtent l="0" t="0" r="6350" b="0"/>
                <wp:wrapNone/>
                <wp:docPr id="4" name="Rectangle 4"/>
                <wp:cNvGraphicFramePr/>
                <a:graphic xmlns:a="http://schemas.openxmlformats.org/drawingml/2006/main">
                  <a:graphicData uri="http://schemas.microsoft.com/office/word/2010/wordprocessingShape">
                    <wps:wsp>
                      <wps:cNvSpPr/>
                      <wps:spPr>
                        <a:xfrm>
                          <a:off x="0" y="0"/>
                          <a:ext cx="355600" cy="95250"/>
                        </a:xfrm>
                        <a:prstGeom prst="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DC95B" id="Rectangle 4" o:spid="_x0000_s1026" style="position:absolute;margin-left:260.9pt;margin-top:266.6pt;width:2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" fillcolor="#698235 [2150]" stroked="f">
                <v:fill color2="#c2d69b [1942]" rotate="t" angle="180" colors="0 #6a8336;31457f #9ebd5e;1 #c3d69b" focus="100%" type="gradient"/>
              </v:rect>
            </w:pict>
          </mc:Fallback>
        </mc:AlternateContent>
      </w:r>
      <w:r w:rsidR="00B347C0" w:rsidRPr="00D44AA2">
        <w:rPr>
          <w:rFonts w:ascii="Arial" w:hAnsi="Arial" w:cs="Arial"/>
        </w:rPr>
        <w:fldChar w:fldCharType="begin"/>
      </w:r>
      <w:r w:rsidR="005B3600" w:rsidRPr="00D44AA2">
        <w:rPr>
          <w:rFonts w:ascii="Arial" w:hAnsi="Arial" w:cs="Arial"/>
        </w:rPr>
        <w:instrText xml:space="preserve"> INCLUDEPICTURE "C:\\var\\folders\\36\\p2dvs4911fz_tyst85l26k7h0000gn\\T\\com.microsoft.Word\\WebArchiveCopyPasteTempFiles\\tableau_matrice_materialite3_0.png" \* MERGEFORMAT </w:instrText>
      </w:r>
      <w:r w:rsidR="00B347C0" w:rsidRPr="00D44AA2">
        <w:rPr>
          <w:rFonts w:ascii="Arial" w:hAnsi="Arial" w:cs="Arial"/>
        </w:rPr>
        <w:fldChar w:fldCharType="end"/>
      </w:r>
    </w:p>
    <w:sectPr w:rsidR="00B347C0" w:rsidRPr="00D44AA2" w:rsidSect="00F173E5">
      <w:footerReference w:type="even" r:id="rId11"/>
      <w:footerReference w:type="default" r:id="rId12"/>
      <w:pgSz w:w="11900" w:h="16840"/>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FD6E" w14:textId="77777777" w:rsidR="00903901" w:rsidRDefault="00903901" w:rsidP="001F7114">
      <w:r>
        <w:separator/>
      </w:r>
    </w:p>
  </w:endnote>
  <w:endnote w:type="continuationSeparator" w:id="0">
    <w:p w14:paraId="3DA9E7DF" w14:textId="77777777" w:rsidR="00903901" w:rsidRDefault="00903901" w:rsidP="001F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AB76" w14:textId="15D05A0A" w:rsidR="00DE7058" w:rsidRDefault="00582F15" w:rsidP="00E611FD">
    <w:pPr>
      <w:pStyle w:val="Pieddepage"/>
      <w:framePr w:wrap="around" w:vAnchor="text" w:hAnchor="margin" w:xAlign="right" w:y="1"/>
      <w:rPr>
        <w:rStyle w:val="Numrodepage"/>
      </w:rPr>
    </w:pPr>
    <w:r>
      <w:rPr>
        <w:rStyle w:val="Numrodepage"/>
      </w:rPr>
      <w:fldChar w:fldCharType="begin"/>
    </w:r>
    <w:r w:rsidR="00DE7058">
      <w:rPr>
        <w:rStyle w:val="Numrodepage"/>
      </w:rPr>
      <w:instrText xml:space="preserve">PAGE  </w:instrText>
    </w:r>
    <w:r w:rsidR="00F14F9B">
      <w:rPr>
        <w:rStyle w:val="Numrodepage"/>
      </w:rPr>
      <w:fldChar w:fldCharType="separate"/>
    </w:r>
    <w:r w:rsidR="00F14F9B">
      <w:rPr>
        <w:rStyle w:val="Numrodepage"/>
        <w:noProof/>
      </w:rPr>
      <w:t>3</w:t>
    </w:r>
    <w:r>
      <w:rPr>
        <w:rStyle w:val="Numrodepage"/>
      </w:rPr>
      <w:fldChar w:fldCharType="end"/>
    </w:r>
  </w:p>
  <w:p w14:paraId="3C068158" w14:textId="77777777" w:rsidR="00DE7058" w:rsidRDefault="00DE7058" w:rsidP="001F711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8251" w14:textId="2DB5DB67" w:rsidR="00DE7058" w:rsidRDefault="00F14F9B" w:rsidP="00F14F9B">
    <w:pPr>
      <w:pStyle w:val="Pieddepage"/>
      <w:tabs>
        <w:tab w:val="clear" w:pos="9072"/>
        <w:tab w:val="right" w:pos="9781"/>
      </w:tabs>
      <w:ind w:right="360"/>
    </w:pPr>
    <w:r>
      <w:rPr>
        <w:rFonts w:ascii="Arial" w:hAnsi="Arial" w:cs="Arial"/>
        <w:sz w:val="20"/>
        <w:szCs w:val="20"/>
      </w:rPr>
      <w:t>2022 DSCG-UE2</w:t>
    </w:r>
    <w:r w:rsidR="009649CB" w:rsidRPr="00EF1E9C">
      <w:rPr>
        <w:rFonts w:ascii="Arial" w:hAnsi="Arial" w:cs="Arial"/>
        <w:sz w:val="20"/>
        <w:szCs w:val="20"/>
      </w:rPr>
      <w:tab/>
      <w:t>FINANCE</w:t>
    </w:r>
    <w:r w:rsidR="009649CB" w:rsidRPr="00EF1E9C">
      <w:rPr>
        <w:rFonts w:ascii="Arial" w:hAnsi="Arial" w:cs="Arial"/>
        <w:sz w:val="20"/>
        <w:szCs w:val="20"/>
      </w:rPr>
      <w:tab/>
      <w:t xml:space="preserve">Page </w:t>
    </w:r>
    <w:r w:rsidR="009649CB" w:rsidRPr="00EF1E9C">
      <w:rPr>
        <w:rFonts w:ascii="Arial" w:hAnsi="Arial" w:cs="Arial"/>
        <w:b/>
        <w:bCs/>
        <w:sz w:val="20"/>
        <w:szCs w:val="20"/>
      </w:rPr>
      <w:fldChar w:fldCharType="begin"/>
    </w:r>
    <w:r w:rsidR="009649CB" w:rsidRPr="00EF1E9C">
      <w:rPr>
        <w:rFonts w:ascii="Arial" w:hAnsi="Arial" w:cs="Arial"/>
        <w:b/>
        <w:bCs/>
        <w:sz w:val="20"/>
        <w:szCs w:val="20"/>
      </w:rPr>
      <w:instrText>PAGE  \* Arabic  \* MERGEFORMAT</w:instrText>
    </w:r>
    <w:r w:rsidR="009649CB" w:rsidRPr="00EF1E9C">
      <w:rPr>
        <w:rFonts w:ascii="Arial" w:hAnsi="Arial" w:cs="Arial"/>
        <w:b/>
        <w:bCs/>
        <w:sz w:val="20"/>
        <w:szCs w:val="20"/>
      </w:rPr>
      <w:fldChar w:fldCharType="separate"/>
    </w:r>
    <w:r w:rsidR="00A40791">
      <w:rPr>
        <w:rFonts w:ascii="Arial" w:hAnsi="Arial" w:cs="Arial"/>
        <w:b/>
        <w:bCs/>
        <w:noProof/>
        <w:sz w:val="20"/>
        <w:szCs w:val="20"/>
      </w:rPr>
      <w:t>1</w:t>
    </w:r>
    <w:r w:rsidR="009649CB" w:rsidRPr="00EF1E9C">
      <w:rPr>
        <w:rFonts w:ascii="Arial" w:hAnsi="Arial" w:cs="Arial"/>
        <w:b/>
        <w:bCs/>
        <w:sz w:val="20"/>
        <w:szCs w:val="20"/>
      </w:rPr>
      <w:fldChar w:fldCharType="end"/>
    </w:r>
    <w:r w:rsidR="009649CB" w:rsidRPr="00EF1E9C">
      <w:rPr>
        <w:rFonts w:ascii="Arial" w:hAnsi="Arial" w:cs="Arial"/>
        <w:sz w:val="20"/>
        <w:szCs w:val="20"/>
      </w:rPr>
      <w:t>/</w:t>
    </w:r>
    <w:r w:rsidR="009649CB" w:rsidRPr="00EF1E9C">
      <w:rPr>
        <w:rFonts w:ascii="Arial" w:hAnsi="Arial" w:cs="Arial"/>
        <w:b/>
        <w:bCs/>
        <w:sz w:val="20"/>
        <w:szCs w:val="20"/>
      </w:rPr>
      <w:fldChar w:fldCharType="begin"/>
    </w:r>
    <w:r w:rsidR="009649CB" w:rsidRPr="00EF1E9C">
      <w:rPr>
        <w:rFonts w:ascii="Arial" w:hAnsi="Arial" w:cs="Arial"/>
        <w:b/>
        <w:bCs/>
        <w:sz w:val="20"/>
        <w:szCs w:val="20"/>
      </w:rPr>
      <w:instrText>NUMPAGES  \* Arabic  \* MERGEFORMAT</w:instrText>
    </w:r>
    <w:r w:rsidR="009649CB" w:rsidRPr="00EF1E9C">
      <w:rPr>
        <w:rFonts w:ascii="Arial" w:hAnsi="Arial" w:cs="Arial"/>
        <w:b/>
        <w:bCs/>
        <w:sz w:val="20"/>
        <w:szCs w:val="20"/>
      </w:rPr>
      <w:fldChar w:fldCharType="separate"/>
    </w:r>
    <w:r w:rsidR="00A40791">
      <w:rPr>
        <w:rFonts w:ascii="Arial" w:hAnsi="Arial" w:cs="Arial"/>
        <w:b/>
        <w:bCs/>
        <w:noProof/>
        <w:sz w:val="20"/>
        <w:szCs w:val="20"/>
      </w:rPr>
      <w:t>7</w:t>
    </w:r>
    <w:r w:rsidR="009649CB" w:rsidRPr="00EF1E9C">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551C" w14:textId="77777777" w:rsidR="00903901" w:rsidRDefault="00903901" w:rsidP="001F7114">
      <w:r>
        <w:separator/>
      </w:r>
    </w:p>
  </w:footnote>
  <w:footnote w:type="continuationSeparator" w:id="0">
    <w:p w14:paraId="107329CF" w14:textId="77777777" w:rsidR="00903901" w:rsidRDefault="00903901" w:rsidP="001F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7CD"/>
    <w:multiLevelType w:val="hybridMultilevel"/>
    <w:tmpl w:val="2866260A"/>
    <w:lvl w:ilvl="0" w:tplc="C8F29762">
      <w:start w:val="3"/>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15214B"/>
    <w:multiLevelType w:val="hybridMultilevel"/>
    <w:tmpl w:val="F838134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1535625"/>
    <w:multiLevelType w:val="hybridMultilevel"/>
    <w:tmpl w:val="714A80F2"/>
    <w:lvl w:ilvl="0" w:tplc="E40411F0">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192442"/>
    <w:multiLevelType w:val="hybridMultilevel"/>
    <w:tmpl w:val="5E9026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1CB2E0F"/>
    <w:multiLevelType w:val="multilevel"/>
    <w:tmpl w:val="696252E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42D23014"/>
    <w:multiLevelType w:val="hybridMultilevel"/>
    <w:tmpl w:val="573066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C87E88"/>
    <w:multiLevelType w:val="hybridMultilevel"/>
    <w:tmpl w:val="F838134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6945571E"/>
    <w:multiLevelType w:val="hybridMultilevel"/>
    <w:tmpl w:val="F838134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6FFD1335"/>
    <w:multiLevelType w:val="hybridMultilevel"/>
    <w:tmpl w:val="18FA8AE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00F444C"/>
    <w:multiLevelType w:val="hybridMultilevel"/>
    <w:tmpl w:val="F838134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1250577990">
    <w:abstractNumId w:val="8"/>
  </w:num>
  <w:num w:numId="2" w16cid:durableId="393772011">
    <w:abstractNumId w:val="3"/>
  </w:num>
  <w:num w:numId="3" w16cid:durableId="2073960366">
    <w:abstractNumId w:val="4"/>
  </w:num>
  <w:num w:numId="4" w16cid:durableId="664941046">
    <w:abstractNumId w:val="5"/>
  </w:num>
  <w:num w:numId="5" w16cid:durableId="723800647">
    <w:abstractNumId w:val="0"/>
  </w:num>
  <w:num w:numId="6" w16cid:durableId="1543440054">
    <w:abstractNumId w:val="6"/>
  </w:num>
  <w:num w:numId="7" w16cid:durableId="900603544">
    <w:abstractNumId w:val="9"/>
  </w:num>
  <w:num w:numId="8" w16cid:durableId="378096421">
    <w:abstractNumId w:val="1"/>
  </w:num>
  <w:num w:numId="9" w16cid:durableId="1789936291">
    <w:abstractNumId w:val="7"/>
  </w:num>
  <w:num w:numId="10" w16cid:durableId="1725831885">
    <w:abstractNumId w:val="2"/>
  </w:num>
  <w:num w:numId="11" w16cid:durableId="19528585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20"/>
    <w:rsid w:val="00004C36"/>
    <w:rsid w:val="00006F29"/>
    <w:rsid w:val="000202DE"/>
    <w:rsid w:val="00022585"/>
    <w:rsid w:val="00024B47"/>
    <w:rsid w:val="000344A5"/>
    <w:rsid w:val="00040E69"/>
    <w:rsid w:val="00042B78"/>
    <w:rsid w:val="0005054D"/>
    <w:rsid w:val="000769A4"/>
    <w:rsid w:val="00081049"/>
    <w:rsid w:val="00081E0A"/>
    <w:rsid w:val="000823D9"/>
    <w:rsid w:val="000937A4"/>
    <w:rsid w:val="000A7106"/>
    <w:rsid w:val="000B29A0"/>
    <w:rsid w:val="000E2914"/>
    <w:rsid w:val="000E5B79"/>
    <w:rsid w:val="000F75DC"/>
    <w:rsid w:val="001117C3"/>
    <w:rsid w:val="00114DB7"/>
    <w:rsid w:val="00120152"/>
    <w:rsid w:val="00127515"/>
    <w:rsid w:val="00150711"/>
    <w:rsid w:val="00155308"/>
    <w:rsid w:val="00166330"/>
    <w:rsid w:val="001726A0"/>
    <w:rsid w:val="00172983"/>
    <w:rsid w:val="001768CC"/>
    <w:rsid w:val="00186668"/>
    <w:rsid w:val="001C6D57"/>
    <w:rsid w:val="001D7AAA"/>
    <w:rsid w:val="001E5C3D"/>
    <w:rsid w:val="001E6EBA"/>
    <w:rsid w:val="001F2494"/>
    <w:rsid w:val="001F49DE"/>
    <w:rsid w:val="001F7114"/>
    <w:rsid w:val="00203212"/>
    <w:rsid w:val="00221520"/>
    <w:rsid w:val="00235439"/>
    <w:rsid w:val="00262E7E"/>
    <w:rsid w:val="00275A30"/>
    <w:rsid w:val="00282E00"/>
    <w:rsid w:val="00296C17"/>
    <w:rsid w:val="002A4939"/>
    <w:rsid w:val="002B36AA"/>
    <w:rsid w:val="002C16FC"/>
    <w:rsid w:val="002D3EC0"/>
    <w:rsid w:val="002E7C95"/>
    <w:rsid w:val="002F02F0"/>
    <w:rsid w:val="002F0C23"/>
    <w:rsid w:val="002F4E87"/>
    <w:rsid w:val="003009BB"/>
    <w:rsid w:val="00301D15"/>
    <w:rsid w:val="00316757"/>
    <w:rsid w:val="0032430B"/>
    <w:rsid w:val="00336FCE"/>
    <w:rsid w:val="00346845"/>
    <w:rsid w:val="00363047"/>
    <w:rsid w:val="00376740"/>
    <w:rsid w:val="003849E7"/>
    <w:rsid w:val="00393037"/>
    <w:rsid w:val="003A09CB"/>
    <w:rsid w:val="003A6EE7"/>
    <w:rsid w:val="003B7DE8"/>
    <w:rsid w:val="003C11A0"/>
    <w:rsid w:val="003C172B"/>
    <w:rsid w:val="003D01D3"/>
    <w:rsid w:val="003E1A62"/>
    <w:rsid w:val="003E5ED8"/>
    <w:rsid w:val="003F0256"/>
    <w:rsid w:val="003F24F9"/>
    <w:rsid w:val="0040037F"/>
    <w:rsid w:val="00413BE3"/>
    <w:rsid w:val="004224CC"/>
    <w:rsid w:val="00444404"/>
    <w:rsid w:val="00450DC9"/>
    <w:rsid w:val="0048220C"/>
    <w:rsid w:val="00486987"/>
    <w:rsid w:val="004872C0"/>
    <w:rsid w:val="00492002"/>
    <w:rsid w:val="004B4A7F"/>
    <w:rsid w:val="004D1EDA"/>
    <w:rsid w:val="004D22B7"/>
    <w:rsid w:val="004E5341"/>
    <w:rsid w:val="004F16BA"/>
    <w:rsid w:val="004F214C"/>
    <w:rsid w:val="00507FF8"/>
    <w:rsid w:val="005168BA"/>
    <w:rsid w:val="005202D1"/>
    <w:rsid w:val="0053423A"/>
    <w:rsid w:val="005506DF"/>
    <w:rsid w:val="005508B9"/>
    <w:rsid w:val="00553A19"/>
    <w:rsid w:val="00563057"/>
    <w:rsid w:val="00564A00"/>
    <w:rsid w:val="00564F6E"/>
    <w:rsid w:val="00573870"/>
    <w:rsid w:val="00580841"/>
    <w:rsid w:val="00582F15"/>
    <w:rsid w:val="005B3600"/>
    <w:rsid w:val="005B3CEE"/>
    <w:rsid w:val="005B613B"/>
    <w:rsid w:val="005D499F"/>
    <w:rsid w:val="005D49D6"/>
    <w:rsid w:val="005D57AE"/>
    <w:rsid w:val="005D6297"/>
    <w:rsid w:val="005D6AAF"/>
    <w:rsid w:val="005E28C6"/>
    <w:rsid w:val="006035C3"/>
    <w:rsid w:val="00606C03"/>
    <w:rsid w:val="00630725"/>
    <w:rsid w:val="006350BC"/>
    <w:rsid w:val="006365A9"/>
    <w:rsid w:val="0064615F"/>
    <w:rsid w:val="00650979"/>
    <w:rsid w:val="006613DE"/>
    <w:rsid w:val="0068668C"/>
    <w:rsid w:val="006876A6"/>
    <w:rsid w:val="006A2124"/>
    <w:rsid w:val="006B5688"/>
    <w:rsid w:val="006B5CA4"/>
    <w:rsid w:val="006B6EC5"/>
    <w:rsid w:val="006C18E8"/>
    <w:rsid w:val="006C1FF8"/>
    <w:rsid w:val="006C4D12"/>
    <w:rsid w:val="006C6E9D"/>
    <w:rsid w:val="006E70A5"/>
    <w:rsid w:val="006F143D"/>
    <w:rsid w:val="006F365A"/>
    <w:rsid w:val="00722D75"/>
    <w:rsid w:val="007257A1"/>
    <w:rsid w:val="00731BE8"/>
    <w:rsid w:val="00731CBB"/>
    <w:rsid w:val="00744ECF"/>
    <w:rsid w:val="00751391"/>
    <w:rsid w:val="00767088"/>
    <w:rsid w:val="00770DBA"/>
    <w:rsid w:val="00772474"/>
    <w:rsid w:val="00777D6C"/>
    <w:rsid w:val="00784148"/>
    <w:rsid w:val="00787033"/>
    <w:rsid w:val="007879FB"/>
    <w:rsid w:val="00796E0D"/>
    <w:rsid w:val="007B27A0"/>
    <w:rsid w:val="007C5B7A"/>
    <w:rsid w:val="007F20E4"/>
    <w:rsid w:val="007F7BE1"/>
    <w:rsid w:val="00800B5D"/>
    <w:rsid w:val="008065E1"/>
    <w:rsid w:val="008078B0"/>
    <w:rsid w:val="00807958"/>
    <w:rsid w:val="0081113A"/>
    <w:rsid w:val="00813A4B"/>
    <w:rsid w:val="00820CCB"/>
    <w:rsid w:val="00826A86"/>
    <w:rsid w:val="00834423"/>
    <w:rsid w:val="0084687E"/>
    <w:rsid w:val="00850C87"/>
    <w:rsid w:val="00853CD2"/>
    <w:rsid w:val="00865B4F"/>
    <w:rsid w:val="008735E9"/>
    <w:rsid w:val="00874DC0"/>
    <w:rsid w:val="00892AB7"/>
    <w:rsid w:val="008C4727"/>
    <w:rsid w:val="008D2390"/>
    <w:rsid w:val="008E4119"/>
    <w:rsid w:val="00903901"/>
    <w:rsid w:val="00906B0D"/>
    <w:rsid w:val="009123B2"/>
    <w:rsid w:val="0094064C"/>
    <w:rsid w:val="009524F4"/>
    <w:rsid w:val="0096174B"/>
    <w:rsid w:val="009649CB"/>
    <w:rsid w:val="00971019"/>
    <w:rsid w:val="0098204A"/>
    <w:rsid w:val="00984394"/>
    <w:rsid w:val="009A3D6C"/>
    <w:rsid w:val="009B0F47"/>
    <w:rsid w:val="009C5560"/>
    <w:rsid w:val="009C7529"/>
    <w:rsid w:val="009D12C8"/>
    <w:rsid w:val="009D3755"/>
    <w:rsid w:val="009D47B2"/>
    <w:rsid w:val="00A04C63"/>
    <w:rsid w:val="00A13DEB"/>
    <w:rsid w:val="00A14960"/>
    <w:rsid w:val="00A2459F"/>
    <w:rsid w:val="00A30B37"/>
    <w:rsid w:val="00A40791"/>
    <w:rsid w:val="00A51605"/>
    <w:rsid w:val="00A56C04"/>
    <w:rsid w:val="00A949AE"/>
    <w:rsid w:val="00AA48FD"/>
    <w:rsid w:val="00AD2B25"/>
    <w:rsid w:val="00AD6C5A"/>
    <w:rsid w:val="00AD6D0B"/>
    <w:rsid w:val="00AF7DB8"/>
    <w:rsid w:val="00B03E89"/>
    <w:rsid w:val="00B06E82"/>
    <w:rsid w:val="00B254EC"/>
    <w:rsid w:val="00B30831"/>
    <w:rsid w:val="00B3370F"/>
    <w:rsid w:val="00B347C0"/>
    <w:rsid w:val="00B379E6"/>
    <w:rsid w:val="00B422A4"/>
    <w:rsid w:val="00B6331D"/>
    <w:rsid w:val="00B820C7"/>
    <w:rsid w:val="00B93F27"/>
    <w:rsid w:val="00B9495A"/>
    <w:rsid w:val="00BC4658"/>
    <w:rsid w:val="00BF2221"/>
    <w:rsid w:val="00BF269D"/>
    <w:rsid w:val="00BF32AE"/>
    <w:rsid w:val="00BF773D"/>
    <w:rsid w:val="00C00B19"/>
    <w:rsid w:val="00C00C56"/>
    <w:rsid w:val="00C05C09"/>
    <w:rsid w:val="00C10A70"/>
    <w:rsid w:val="00C12E85"/>
    <w:rsid w:val="00C322C1"/>
    <w:rsid w:val="00C36AA9"/>
    <w:rsid w:val="00C40AAB"/>
    <w:rsid w:val="00C40AFF"/>
    <w:rsid w:val="00C62728"/>
    <w:rsid w:val="00C63E00"/>
    <w:rsid w:val="00C72553"/>
    <w:rsid w:val="00C75E3B"/>
    <w:rsid w:val="00C80044"/>
    <w:rsid w:val="00C8267D"/>
    <w:rsid w:val="00C8316E"/>
    <w:rsid w:val="00C84FD4"/>
    <w:rsid w:val="00CA1E0A"/>
    <w:rsid w:val="00CA4E90"/>
    <w:rsid w:val="00CA7D5B"/>
    <w:rsid w:val="00CB7F92"/>
    <w:rsid w:val="00CC10B4"/>
    <w:rsid w:val="00CD115A"/>
    <w:rsid w:val="00CD3F52"/>
    <w:rsid w:val="00CE31D6"/>
    <w:rsid w:val="00CF2309"/>
    <w:rsid w:val="00CF4102"/>
    <w:rsid w:val="00D126ED"/>
    <w:rsid w:val="00D33E8C"/>
    <w:rsid w:val="00D340F9"/>
    <w:rsid w:val="00D44557"/>
    <w:rsid w:val="00D44AA2"/>
    <w:rsid w:val="00D47DD5"/>
    <w:rsid w:val="00D507F1"/>
    <w:rsid w:val="00D5350F"/>
    <w:rsid w:val="00D65C76"/>
    <w:rsid w:val="00D72412"/>
    <w:rsid w:val="00D73974"/>
    <w:rsid w:val="00D96672"/>
    <w:rsid w:val="00DC2B5A"/>
    <w:rsid w:val="00DC4A07"/>
    <w:rsid w:val="00DD142F"/>
    <w:rsid w:val="00DE7058"/>
    <w:rsid w:val="00E1218A"/>
    <w:rsid w:val="00E13407"/>
    <w:rsid w:val="00E15D66"/>
    <w:rsid w:val="00E37048"/>
    <w:rsid w:val="00E46554"/>
    <w:rsid w:val="00E51D5D"/>
    <w:rsid w:val="00E611FD"/>
    <w:rsid w:val="00E701E7"/>
    <w:rsid w:val="00E849FC"/>
    <w:rsid w:val="00E86C51"/>
    <w:rsid w:val="00E86D16"/>
    <w:rsid w:val="00E97FBF"/>
    <w:rsid w:val="00ED4BFC"/>
    <w:rsid w:val="00ED5118"/>
    <w:rsid w:val="00EE77EE"/>
    <w:rsid w:val="00EF1E9C"/>
    <w:rsid w:val="00EF4304"/>
    <w:rsid w:val="00F07DEC"/>
    <w:rsid w:val="00F11B1D"/>
    <w:rsid w:val="00F14F9B"/>
    <w:rsid w:val="00F173E5"/>
    <w:rsid w:val="00F2050F"/>
    <w:rsid w:val="00F22C9B"/>
    <w:rsid w:val="00F3185C"/>
    <w:rsid w:val="00F40424"/>
    <w:rsid w:val="00F41DC9"/>
    <w:rsid w:val="00F46C88"/>
    <w:rsid w:val="00F50F5A"/>
    <w:rsid w:val="00F5269A"/>
    <w:rsid w:val="00F56261"/>
    <w:rsid w:val="00F6685B"/>
    <w:rsid w:val="00F71112"/>
    <w:rsid w:val="00F80C27"/>
    <w:rsid w:val="00FA14F1"/>
    <w:rsid w:val="00FC2A06"/>
    <w:rsid w:val="00FE6F1F"/>
    <w:rsid w:val="00FE76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62F1B4"/>
  <w15:docId w15:val="{952626B9-D696-497F-8BF4-11423BBF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E90"/>
    <w:rPr>
      <w:rFonts w:ascii="Times New Roman" w:eastAsia="Times New Roman" w:hAnsi="Times New Roman" w:cs="Times New Roman"/>
    </w:rPr>
  </w:style>
  <w:style w:type="paragraph" w:styleId="Titre1">
    <w:name w:val="heading 1"/>
    <w:basedOn w:val="Normal"/>
    <w:next w:val="Normal"/>
    <w:link w:val="Titre1Car"/>
    <w:qFormat/>
    <w:rsid w:val="006C1FF8"/>
    <w:pPr>
      <w:keepNext/>
      <w:jc w:val="both"/>
      <w:outlineLvl w:val="0"/>
    </w:pPr>
    <w:rPr>
      <w:b/>
      <w:bCs/>
      <w:sz w:val="36"/>
      <w:szCs w:val="36"/>
    </w:rPr>
  </w:style>
  <w:style w:type="paragraph" w:styleId="Titre2">
    <w:name w:val="heading 2"/>
    <w:basedOn w:val="Normal"/>
    <w:next w:val="Normal"/>
    <w:link w:val="Titre2Car"/>
    <w:qFormat/>
    <w:rsid w:val="006C1FF8"/>
    <w:pPr>
      <w:keepNext/>
      <w:jc w:val="right"/>
      <w:outlineLvl w:val="1"/>
    </w:pPr>
    <w:rPr>
      <w:sz w:val="28"/>
      <w:szCs w:val="28"/>
    </w:rPr>
  </w:style>
  <w:style w:type="paragraph" w:styleId="Titre3">
    <w:name w:val="heading 3"/>
    <w:basedOn w:val="Normal"/>
    <w:next w:val="Normal"/>
    <w:link w:val="Titre3Car"/>
    <w:qFormat/>
    <w:rsid w:val="006C1FF8"/>
    <w:pPr>
      <w:keepNext/>
      <w:spacing w:line="259" w:lineRule="auto"/>
      <w:jc w:val="center"/>
      <w:outlineLvl w:val="2"/>
    </w:pPr>
    <w:rPr>
      <w:b/>
      <w:sz w:val="32"/>
      <w:szCs w:val="32"/>
    </w:rPr>
  </w:style>
  <w:style w:type="paragraph" w:styleId="Titre6">
    <w:name w:val="heading 6"/>
    <w:basedOn w:val="Normal"/>
    <w:next w:val="Normal"/>
    <w:link w:val="Titre6Car"/>
    <w:qFormat/>
    <w:rsid w:val="006C1FF8"/>
    <w:pPr>
      <w:keepNext/>
      <w:shd w:val="clear" w:color="auto" w:fill="FFFFFF"/>
      <w:tabs>
        <w:tab w:val="left" w:pos="284"/>
        <w:tab w:val="left" w:pos="9356"/>
      </w:tabs>
      <w:jc w:val="both"/>
      <w:outlineLvl w:val="5"/>
    </w:pPr>
    <w:rPr>
      <w:b/>
      <w:bCs/>
      <w:color w:val="000000"/>
      <w:spacing w:val="-14"/>
      <w:sz w:val="22"/>
      <w:szCs w:val="22"/>
    </w:rPr>
  </w:style>
  <w:style w:type="paragraph" w:styleId="Titre7">
    <w:name w:val="heading 7"/>
    <w:basedOn w:val="Normal"/>
    <w:next w:val="Normal"/>
    <w:link w:val="Titre7Car"/>
    <w:uiPriority w:val="9"/>
    <w:semiHidden/>
    <w:unhideWhenUsed/>
    <w:qFormat/>
    <w:rsid w:val="00DE7058"/>
    <w:pPr>
      <w:keepNext/>
      <w:keepLines/>
      <w:spacing w:before="200"/>
      <w:outlineLvl w:val="6"/>
    </w:pPr>
    <w:rPr>
      <w:rFonts w:eastAsiaTheme="majorEastAsia" w:cstheme="majorBidi"/>
      <w:i/>
      <w:iCs/>
      <w:color w:val="404040" w:themeColor="text1" w:themeTint="BF"/>
    </w:rPr>
  </w:style>
  <w:style w:type="paragraph" w:styleId="Titre8">
    <w:name w:val="heading 8"/>
    <w:basedOn w:val="Normal"/>
    <w:next w:val="Normal"/>
    <w:link w:val="Titre8Car"/>
    <w:uiPriority w:val="9"/>
    <w:semiHidden/>
    <w:unhideWhenUsed/>
    <w:qFormat/>
    <w:rsid w:val="009649CB"/>
    <w:pPr>
      <w:keepNext/>
      <w:keepLines/>
      <w:spacing w:before="40"/>
      <w:outlineLvl w:val="7"/>
    </w:pPr>
    <w:rPr>
      <w:rFonts w:eastAsiaTheme="majorEastAsia"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892AB7"/>
    <w:pPr>
      <w:spacing w:after="200"/>
    </w:pPr>
    <w:rPr>
      <w:b/>
      <w:bCs/>
      <w:sz w:val="22"/>
      <w:szCs w:val="18"/>
    </w:rPr>
  </w:style>
  <w:style w:type="table" w:styleId="Grilledutableau">
    <w:name w:val="Table Grid"/>
    <w:basedOn w:val="TableauNormal"/>
    <w:uiPriority w:val="59"/>
    <w:rsid w:val="003C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0B5D"/>
    <w:pPr>
      <w:ind w:left="720"/>
      <w:contextualSpacing/>
    </w:pPr>
  </w:style>
  <w:style w:type="paragraph" w:styleId="Pieddepage">
    <w:name w:val="footer"/>
    <w:basedOn w:val="Normal"/>
    <w:link w:val="PieddepageCar"/>
    <w:unhideWhenUsed/>
    <w:rsid w:val="001F7114"/>
    <w:pPr>
      <w:tabs>
        <w:tab w:val="center" w:pos="4536"/>
        <w:tab w:val="right" w:pos="9072"/>
      </w:tabs>
    </w:pPr>
  </w:style>
  <w:style w:type="character" w:customStyle="1" w:styleId="PieddepageCar">
    <w:name w:val="Pied de page Car"/>
    <w:basedOn w:val="Policepardfaut"/>
    <w:link w:val="Pieddepage"/>
    <w:uiPriority w:val="99"/>
    <w:rsid w:val="001F7114"/>
  </w:style>
  <w:style w:type="character" w:styleId="Numrodepage">
    <w:name w:val="page number"/>
    <w:basedOn w:val="Policepardfaut"/>
    <w:unhideWhenUsed/>
    <w:rsid w:val="001F7114"/>
  </w:style>
  <w:style w:type="character" w:customStyle="1" w:styleId="Titre1Car">
    <w:name w:val="Titre 1 Car"/>
    <w:basedOn w:val="Policepardfaut"/>
    <w:link w:val="Titre1"/>
    <w:rsid w:val="006C1FF8"/>
    <w:rPr>
      <w:rFonts w:ascii="Times New Roman" w:eastAsia="Times New Roman" w:hAnsi="Times New Roman" w:cs="Times New Roman"/>
      <w:b/>
      <w:bCs/>
      <w:sz w:val="36"/>
      <w:szCs w:val="36"/>
    </w:rPr>
  </w:style>
  <w:style w:type="character" w:customStyle="1" w:styleId="Titre2Car">
    <w:name w:val="Titre 2 Car"/>
    <w:basedOn w:val="Policepardfaut"/>
    <w:link w:val="Titre2"/>
    <w:rsid w:val="006C1FF8"/>
    <w:rPr>
      <w:rFonts w:ascii="Times New Roman" w:eastAsia="Times New Roman" w:hAnsi="Times New Roman" w:cs="Times New Roman"/>
      <w:sz w:val="28"/>
      <w:szCs w:val="28"/>
    </w:rPr>
  </w:style>
  <w:style w:type="character" w:customStyle="1" w:styleId="Titre3Car">
    <w:name w:val="Titre 3 Car"/>
    <w:basedOn w:val="Policepardfaut"/>
    <w:link w:val="Titre3"/>
    <w:rsid w:val="006C1FF8"/>
    <w:rPr>
      <w:rFonts w:ascii="Times New Roman" w:eastAsia="Times New Roman" w:hAnsi="Times New Roman" w:cs="Times New Roman"/>
      <w:b/>
      <w:sz w:val="32"/>
      <w:szCs w:val="32"/>
    </w:rPr>
  </w:style>
  <w:style w:type="character" w:customStyle="1" w:styleId="Titre6Car">
    <w:name w:val="Titre 6 Car"/>
    <w:basedOn w:val="Policepardfaut"/>
    <w:link w:val="Titre6"/>
    <w:rsid w:val="006C1FF8"/>
    <w:rPr>
      <w:rFonts w:ascii="Times New Roman" w:eastAsia="Times New Roman" w:hAnsi="Times New Roman" w:cs="Times New Roman"/>
      <w:b/>
      <w:bCs/>
      <w:color w:val="000000"/>
      <w:spacing w:val="-14"/>
      <w:sz w:val="22"/>
      <w:szCs w:val="22"/>
      <w:shd w:val="clear" w:color="auto" w:fill="FFFFFF"/>
    </w:rPr>
  </w:style>
  <w:style w:type="paragraph" w:styleId="Titre">
    <w:name w:val="Title"/>
    <w:basedOn w:val="Normal"/>
    <w:link w:val="TitreCar"/>
    <w:qFormat/>
    <w:rsid w:val="006C1FF8"/>
    <w:pPr>
      <w:widowControl w:val="0"/>
      <w:overflowPunct w:val="0"/>
      <w:autoSpaceDE w:val="0"/>
      <w:autoSpaceDN w:val="0"/>
      <w:adjustRightInd w:val="0"/>
      <w:jc w:val="center"/>
      <w:textAlignment w:val="baseline"/>
    </w:pPr>
    <w:rPr>
      <w:noProof/>
      <w:sz w:val="28"/>
      <w:szCs w:val="28"/>
    </w:rPr>
  </w:style>
  <w:style w:type="character" w:customStyle="1" w:styleId="TitreCar">
    <w:name w:val="Titre Car"/>
    <w:basedOn w:val="Policepardfaut"/>
    <w:link w:val="Titre"/>
    <w:rsid w:val="006C1FF8"/>
    <w:rPr>
      <w:rFonts w:ascii="Times New Roman" w:eastAsia="Times New Roman" w:hAnsi="Times New Roman" w:cs="Times New Roman"/>
      <w:noProof/>
      <w:sz w:val="28"/>
      <w:szCs w:val="28"/>
    </w:rPr>
  </w:style>
  <w:style w:type="character" w:customStyle="1" w:styleId="Titre7Car">
    <w:name w:val="Titre 7 Car"/>
    <w:basedOn w:val="Policepardfaut"/>
    <w:link w:val="Titre7"/>
    <w:uiPriority w:val="9"/>
    <w:semiHidden/>
    <w:rsid w:val="00DE7058"/>
    <w:rPr>
      <w:rFonts w:eastAsiaTheme="majorEastAsia" w:cstheme="majorBidi"/>
      <w:i/>
      <w:iCs/>
      <w:color w:val="404040" w:themeColor="text1" w:themeTint="BF"/>
    </w:rPr>
  </w:style>
  <w:style w:type="paragraph" w:styleId="Commentaire">
    <w:name w:val="annotation text"/>
    <w:basedOn w:val="Normal"/>
    <w:link w:val="CommentaireCar"/>
    <w:uiPriority w:val="99"/>
    <w:semiHidden/>
    <w:rsid w:val="00DE7058"/>
    <w:pPr>
      <w:widowControl w:val="0"/>
      <w:autoSpaceDE w:val="0"/>
      <w:autoSpaceDN w:val="0"/>
      <w:adjustRightInd w:val="0"/>
    </w:pPr>
    <w:rPr>
      <w:rFonts w:ascii="Arial" w:hAnsi="Arial" w:cs="Arial"/>
      <w:b/>
      <w:bCs/>
      <w:sz w:val="20"/>
      <w:szCs w:val="20"/>
    </w:rPr>
  </w:style>
  <w:style w:type="character" w:customStyle="1" w:styleId="CommentaireCar">
    <w:name w:val="Commentaire Car"/>
    <w:basedOn w:val="Policepardfaut"/>
    <w:link w:val="Commentaire"/>
    <w:uiPriority w:val="99"/>
    <w:semiHidden/>
    <w:rsid w:val="00DE7058"/>
    <w:rPr>
      <w:rFonts w:ascii="Arial" w:eastAsia="Times New Roman" w:hAnsi="Arial" w:cs="Arial"/>
      <w:b/>
      <w:bCs/>
      <w:sz w:val="20"/>
      <w:szCs w:val="20"/>
    </w:rPr>
  </w:style>
  <w:style w:type="paragraph" w:styleId="Sous-titre">
    <w:name w:val="Subtitle"/>
    <w:basedOn w:val="Normal"/>
    <w:link w:val="Sous-titreCar"/>
    <w:qFormat/>
    <w:rsid w:val="00DE7058"/>
    <w:pPr>
      <w:widowControl w:val="0"/>
      <w:shd w:val="clear" w:color="auto" w:fill="FFFFFF"/>
      <w:autoSpaceDE w:val="0"/>
      <w:autoSpaceDN w:val="0"/>
      <w:adjustRightInd w:val="0"/>
      <w:spacing w:before="230"/>
      <w:ind w:right="98"/>
      <w:jc w:val="center"/>
    </w:pPr>
    <w:rPr>
      <w:rFonts w:ascii="Arial" w:hAnsi="Arial" w:cs="Arial"/>
      <w:b/>
      <w:bCs/>
      <w:color w:val="000000"/>
      <w:spacing w:val="-5"/>
      <w:sz w:val="22"/>
      <w:szCs w:val="22"/>
    </w:rPr>
  </w:style>
  <w:style w:type="character" w:customStyle="1" w:styleId="Sous-titreCar">
    <w:name w:val="Sous-titre Car"/>
    <w:basedOn w:val="Policepardfaut"/>
    <w:link w:val="Sous-titre"/>
    <w:rsid w:val="00DE7058"/>
    <w:rPr>
      <w:rFonts w:ascii="Arial" w:eastAsia="Times New Roman" w:hAnsi="Arial" w:cs="Arial"/>
      <w:b/>
      <w:bCs/>
      <w:color w:val="000000"/>
      <w:spacing w:val="-5"/>
      <w:sz w:val="22"/>
      <w:szCs w:val="22"/>
      <w:shd w:val="clear" w:color="auto" w:fill="FFFFFF"/>
    </w:rPr>
  </w:style>
  <w:style w:type="paragraph" w:styleId="Textedebulles">
    <w:name w:val="Balloon Text"/>
    <w:basedOn w:val="Normal"/>
    <w:link w:val="TextedebullesCar"/>
    <w:uiPriority w:val="99"/>
    <w:semiHidden/>
    <w:unhideWhenUsed/>
    <w:rsid w:val="00DC2B5A"/>
    <w:rPr>
      <w:rFonts w:ascii="Tahoma" w:hAnsi="Tahoma" w:cs="Tahoma"/>
      <w:sz w:val="16"/>
      <w:szCs w:val="16"/>
    </w:rPr>
  </w:style>
  <w:style w:type="character" w:customStyle="1" w:styleId="TextedebullesCar">
    <w:name w:val="Texte de bulles Car"/>
    <w:basedOn w:val="Policepardfaut"/>
    <w:link w:val="Textedebulles"/>
    <w:uiPriority w:val="99"/>
    <w:semiHidden/>
    <w:rsid w:val="00DC2B5A"/>
    <w:rPr>
      <w:rFonts w:ascii="Tahoma" w:hAnsi="Tahoma" w:cs="Tahoma"/>
      <w:sz w:val="16"/>
      <w:szCs w:val="16"/>
    </w:rPr>
  </w:style>
  <w:style w:type="character" w:styleId="Marquedecommentaire">
    <w:name w:val="annotation reference"/>
    <w:basedOn w:val="Policepardfaut"/>
    <w:uiPriority w:val="99"/>
    <w:semiHidden/>
    <w:unhideWhenUsed/>
    <w:rsid w:val="00AF7DB8"/>
    <w:rPr>
      <w:sz w:val="16"/>
      <w:szCs w:val="16"/>
    </w:rPr>
  </w:style>
  <w:style w:type="paragraph" w:styleId="Objetducommentaire">
    <w:name w:val="annotation subject"/>
    <w:basedOn w:val="Commentaire"/>
    <w:next w:val="Commentaire"/>
    <w:link w:val="ObjetducommentaireCar"/>
    <w:uiPriority w:val="99"/>
    <w:semiHidden/>
    <w:unhideWhenUsed/>
    <w:rsid w:val="00AF7DB8"/>
    <w:pPr>
      <w:widowControl/>
      <w:autoSpaceDE/>
      <w:autoSpaceDN/>
      <w:adjustRightInd/>
    </w:pPr>
    <w:rPr>
      <w:rFonts w:asciiTheme="majorHAnsi" w:eastAsiaTheme="minorEastAsia" w:hAnsiTheme="majorHAnsi" w:cstheme="minorBidi"/>
    </w:rPr>
  </w:style>
  <w:style w:type="character" w:customStyle="1" w:styleId="ObjetducommentaireCar">
    <w:name w:val="Objet du commentaire Car"/>
    <w:basedOn w:val="CommentaireCar"/>
    <w:link w:val="Objetducommentaire"/>
    <w:uiPriority w:val="99"/>
    <w:semiHidden/>
    <w:rsid w:val="00AF7DB8"/>
    <w:rPr>
      <w:rFonts w:ascii="Arial" w:eastAsia="Times New Roman" w:hAnsi="Arial" w:cs="Arial"/>
      <w:b/>
      <w:bCs/>
      <w:sz w:val="20"/>
      <w:szCs w:val="20"/>
    </w:rPr>
  </w:style>
  <w:style w:type="paragraph" w:styleId="En-tte">
    <w:name w:val="header"/>
    <w:basedOn w:val="Normal"/>
    <w:link w:val="En-tteCar"/>
    <w:uiPriority w:val="99"/>
    <w:unhideWhenUsed/>
    <w:rsid w:val="00787033"/>
    <w:pPr>
      <w:tabs>
        <w:tab w:val="center" w:pos="4536"/>
        <w:tab w:val="right" w:pos="9072"/>
      </w:tabs>
    </w:pPr>
  </w:style>
  <w:style w:type="character" w:customStyle="1" w:styleId="En-tteCar">
    <w:name w:val="En-tête Car"/>
    <w:basedOn w:val="Policepardfaut"/>
    <w:link w:val="En-tte"/>
    <w:uiPriority w:val="99"/>
    <w:rsid w:val="00787033"/>
  </w:style>
  <w:style w:type="character" w:customStyle="1" w:styleId="Titre8Car">
    <w:name w:val="Titre 8 Car"/>
    <w:basedOn w:val="Policepardfaut"/>
    <w:link w:val="Titre8"/>
    <w:uiPriority w:val="9"/>
    <w:semiHidden/>
    <w:rsid w:val="009649CB"/>
    <w:rPr>
      <w:rFonts w:eastAsiaTheme="majorEastAsia" w:cstheme="majorBidi"/>
      <w:color w:val="272727" w:themeColor="text1" w:themeTint="D8"/>
      <w:sz w:val="21"/>
      <w:szCs w:val="21"/>
    </w:rPr>
  </w:style>
  <w:style w:type="paragraph" w:styleId="NormalWeb">
    <w:name w:val="Normal (Web)"/>
    <w:basedOn w:val="Normal"/>
    <w:uiPriority w:val="99"/>
    <w:semiHidden/>
    <w:unhideWhenUsed/>
    <w:rsid w:val="00AD2B25"/>
    <w:pPr>
      <w:spacing w:before="100" w:beforeAutospacing="1" w:after="100" w:afterAutospacing="1"/>
    </w:pPr>
  </w:style>
  <w:style w:type="paragraph" w:styleId="Rvision">
    <w:name w:val="Revision"/>
    <w:hidden/>
    <w:uiPriority w:val="99"/>
    <w:semiHidden/>
    <w:rsid w:val="00D44AA2"/>
    <w:rPr>
      <w:rFonts w:ascii="Times New Roman" w:eastAsia="Times New Roman" w:hAnsi="Times New Roman" w:cs="Times New Roman"/>
    </w:rPr>
  </w:style>
  <w:style w:type="character" w:styleId="Textedelespacerserv">
    <w:name w:val="Placeholder Text"/>
    <w:basedOn w:val="Policepardfaut"/>
    <w:uiPriority w:val="99"/>
    <w:semiHidden/>
    <w:rsid w:val="00C10A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069">
      <w:bodyDiv w:val="1"/>
      <w:marLeft w:val="0"/>
      <w:marRight w:val="0"/>
      <w:marTop w:val="0"/>
      <w:marBottom w:val="0"/>
      <w:divBdr>
        <w:top w:val="none" w:sz="0" w:space="0" w:color="auto"/>
        <w:left w:val="none" w:sz="0" w:space="0" w:color="auto"/>
        <w:bottom w:val="none" w:sz="0" w:space="0" w:color="auto"/>
        <w:right w:val="none" w:sz="0" w:space="0" w:color="auto"/>
      </w:divBdr>
    </w:div>
    <w:div w:id="141429179">
      <w:bodyDiv w:val="1"/>
      <w:marLeft w:val="0"/>
      <w:marRight w:val="0"/>
      <w:marTop w:val="0"/>
      <w:marBottom w:val="0"/>
      <w:divBdr>
        <w:top w:val="none" w:sz="0" w:space="0" w:color="auto"/>
        <w:left w:val="none" w:sz="0" w:space="0" w:color="auto"/>
        <w:bottom w:val="none" w:sz="0" w:space="0" w:color="auto"/>
        <w:right w:val="none" w:sz="0" w:space="0" w:color="auto"/>
      </w:divBdr>
    </w:div>
    <w:div w:id="171074192">
      <w:bodyDiv w:val="1"/>
      <w:marLeft w:val="0"/>
      <w:marRight w:val="0"/>
      <w:marTop w:val="0"/>
      <w:marBottom w:val="0"/>
      <w:divBdr>
        <w:top w:val="none" w:sz="0" w:space="0" w:color="auto"/>
        <w:left w:val="none" w:sz="0" w:space="0" w:color="auto"/>
        <w:bottom w:val="none" w:sz="0" w:space="0" w:color="auto"/>
        <w:right w:val="none" w:sz="0" w:space="0" w:color="auto"/>
      </w:divBdr>
      <w:divsChild>
        <w:div w:id="1369181946">
          <w:marLeft w:val="0"/>
          <w:marRight w:val="0"/>
          <w:marTop w:val="0"/>
          <w:marBottom w:val="0"/>
          <w:divBdr>
            <w:top w:val="none" w:sz="0" w:space="0" w:color="auto"/>
            <w:left w:val="none" w:sz="0" w:space="0" w:color="auto"/>
            <w:bottom w:val="none" w:sz="0" w:space="0" w:color="auto"/>
            <w:right w:val="none" w:sz="0" w:space="0" w:color="auto"/>
          </w:divBdr>
          <w:divsChild>
            <w:div w:id="1771465504">
              <w:marLeft w:val="0"/>
              <w:marRight w:val="0"/>
              <w:marTop w:val="0"/>
              <w:marBottom w:val="0"/>
              <w:divBdr>
                <w:top w:val="none" w:sz="0" w:space="0" w:color="auto"/>
                <w:left w:val="none" w:sz="0" w:space="0" w:color="auto"/>
                <w:bottom w:val="none" w:sz="0" w:space="0" w:color="auto"/>
                <w:right w:val="none" w:sz="0" w:space="0" w:color="auto"/>
              </w:divBdr>
              <w:divsChild>
                <w:div w:id="21438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81239">
      <w:bodyDiv w:val="1"/>
      <w:marLeft w:val="0"/>
      <w:marRight w:val="0"/>
      <w:marTop w:val="0"/>
      <w:marBottom w:val="0"/>
      <w:divBdr>
        <w:top w:val="none" w:sz="0" w:space="0" w:color="auto"/>
        <w:left w:val="none" w:sz="0" w:space="0" w:color="auto"/>
        <w:bottom w:val="none" w:sz="0" w:space="0" w:color="auto"/>
        <w:right w:val="none" w:sz="0" w:space="0" w:color="auto"/>
      </w:divBdr>
    </w:div>
    <w:div w:id="355082512">
      <w:bodyDiv w:val="1"/>
      <w:marLeft w:val="0"/>
      <w:marRight w:val="0"/>
      <w:marTop w:val="0"/>
      <w:marBottom w:val="0"/>
      <w:divBdr>
        <w:top w:val="none" w:sz="0" w:space="0" w:color="auto"/>
        <w:left w:val="none" w:sz="0" w:space="0" w:color="auto"/>
        <w:bottom w:val="none" w:sz="0" w:space="0" w:color="auto"/>
        <w:right w:val="none" w:sz="0" w:space="0" w:color="auto"/>
      </w:divBdr>
    </w:div>
    <w:div w:id="404298516">
      <w:bodyDiv w:val="1"/>
      <w:marLeft w:val="0"/>
      <w:marRight w:val="0"/>
      <w:marTop w:val="0"/>
      <w:marBottom w:val="0"/>
      <w:divBdr>
        <w:top w:val="none" w:sz="0" w:space="0" w:color="auto"/>
        <w:left w:val="none" w:sz="0" w:space="0" w:color="auto"/>
        <w:bottom w:val="none" w:sz="0" w:space="0" w:color="auto"/>
        <w:right w:val="none" w:sz="0" w:space="0" w:color="auto"/>
      </w:divBdr>
    </w:div>
    <w:div w:id="472210324">
      <w:bodyDiv w:val="1"/>
      <w:marLeft w:val="0"/>
      <w:marRight w:val="0"/>
      <w:marTop w:val="0"/>
      <w:marBottom w:val="0"/>
      <w:divBdr>
        <w:top w:val="none" w:sz="0" w:space="0" w:color="auto"/>
        <w:left w:val="none" w:sz="0" w:space="0" w:color="auto"/>
        <w:bottom w:val="none" w:sz="0" w:space="0" w:color="auto"/>
        <w:right w:val="none" w:sz="0" w:space="0" w:color="auto"/>
      </w:divBdr>
    </w:div>
    <w:div w:id="477305049">
      <w:bodyDiv w:val="1"/>
      <w:marLeft w:val="0"/>
      <w:marRight w:val="0"/>
      <w:marTop w:val="0"/>
      <w:marBottom w:val="0"/>
      <w:divBdr>
        <w:top w:val="none" w:sz="0" w:space="0" w:color="auto"/>
        <w:left w:val="none" w:sz="0" w:space="0" w:color="auto"/>
        <w:bottom w:val="none" w:sz="0" w:space="0" w:color="auto"/>
        <w:right w:val="none" w:sz="0" w:space="0" w:color="auto"/>
      </w:divBdr>
    </w:div>
    <w:div w:id="481385907">
      <w:bodyDiv w:val="1"/>
      <w:marLeft w:val="0"/>
      <w:marRight w:val="0"/>
      <w:marTop w:val="0"/>
      <w:marBottom w:val="0"/>
      <w:divBdr>
        <w:top w:val="none" w:sz="0" w:space="0" w:color="auto"/>
        <w:left w:val="none" w:sz="0" w:space="0" w:color="auto"/>
        <w:bottom w:val="none" w:sz="0" w:space="0" w:color="auto"/>
        <w:right w:val="none" w:sz="0" w:space="0" w:color="auto"/>
      </w:divBdr>
    </w:div>
    <w:div w:id="538276537">
      <w:bodyDiv w:val="1"/>
      <w:marLeft w:val="0"/>
      <w:marRight w:val="0"/>
      <w:marTop w:val="0"/>
      <w:marBottom w:val="0"/>
      <w:divBdr>
        <w:top w:val="none" w:sz="0" w:space="0" w:color="auto"/>
        <w:left w:val="none" w:sz="0" w:space="0" w:color="auto"/>
        <w:bottom w:val="none" w:sz="0" w:space="0" w:color="auto"/>
        <w:right w:val="none" w:sz="0" w:space="0" w:color="auto"/>
      </w:divBdr>
      <w:divsChild>
        <w:div w:id="139464412">
          <w:marLeft w:val="0"/>
          <w:marRight w:val="0"/>
          <w:marTop w:val="0"/>
          <w:marBottom w:val="0"/>
          <w:divBdr>
            <w:top w:val="none" w:sz="0" w:space="0" w:color="auto"/>
            <w:left w:val="none" w:sz="0" w:space="0" w:color="auto"/>
            <w:bottom w:val="none" w:sz="0" w:space="0" w:color="auto"/>
            <w:right w:val="none" w:sz="0" w:space="0" w:color="auto"/>
          </w:divBdr>
          <w:divsChild>
            <w:div w:id="196281114">
              <w:marLeft w:val="0"/>
              <w:marRight w:val="0"/>
              <w:marTop w:val="0"/>
              <w:marBottom w:val="0"/>
              <w:divBdr>
                <w:top w:val="none" w:sz="0" w:space="0" w:color="auto"/>
                <w:left w:val="none" w:sz="0" w:space="0" w:color="auto"/>
                <w:bottom w:val="none" w:sz="0" w:space="0" w:color="auto"/>
                <w:right w:val="none" w:sz="0" w:space="0" w:color="auto"/>
              </w:divBdr>
              <w:divsChild>
                <w:div w:id="3464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4175">
      <w:bodyDiv w:val="1"/>
      <w:marLeft w:val="0"/>
      <w:marRight w:val="0"/>
      <w:marTop w:val="0"/>
      <w:marBottom w:val="0"/>
      <w:divBdr>
        <w:top w:val="none" w:sz="0" w:space="0" w:color="auto"/>
        <w:left w:val="none" w:sz="0" w:space="0" w:color="auto"/>
        <w:bottom w:val="none" w:sz="0" w:space="0" w:color="auto"/>
        <w:right w:val="none" w:sz="0" w:space="0" w:color="auto"/>
      </w:divBdr>
    </w:div>
    <w:div w:id="652873187">
      <w:bodyDiv w:val="1"/>
      <w:marLeft w:val="0"/>
      <w:marRight w:val="0"/>
      <w:marTop w:val="0"/>
      <w:marBottom w:val="0"/>
      <w:divBdr>
        <w:top w:val="none" w:sz="0" w:space="0" w:color="auto"/>
        <w:left w:val="none" w:sz="0" w:space="0" w:color="auto"/>
        <w:bottom w:val="none" w:sz="0" w:space="0" w:color="auto"/>
        <w:right w:val="none" w:sz="0" w:space="0" w:color="auto"/>
      </w:divBdr>
      <w:divsChild>
        <w:div w:id="1150631514">
          <w:marLeft w:val="0"/>
          <w:marRight w:val="0"/>
          <w:marTop w:val="0"/>
          <w:marBottom w:val="0"/>
          <w:divBdr>
            <w:top w:val="none" w:sz="0" w:space="0" w:color="auto"/>
            <w:left w:val="none" w:sz="0" w:space="0" w:color="auto"/>
            <w:bottom w:val="none" w:sz="0" w:space="0" w:color="auto"/>
            <w:right w:val="none" w:sz="0" w:space="0" w:color="auto"/>
          </w:divBdr>
          <w:divsChild>
            <w:div w:id="68551185">
              <w:marLeft w:val="0"/>
              <w:marRight w:val="0"/>
              <w:marTop w:val="0"/>
              <w:marBottom w:val="0"/>
              <w:divBdr>
                <w:top w:val="none" w:sz="0" w:space="0" w:color="auto"/>
                <w:left w:val="none" w:sz="0" w:space="0" w:color="auto"/>
                <w:bottom w:val="none" w:sz="0" w:space="0" w:color="auto"/>
                <w:right w:val="none" w:sz="0" w:space="0" w:color="auto"/>
              </w:divBdr>
              <w:divsChild>
                <w:div w:id="14604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474127">
      <w:bodyDiv w:val="1"/>
      <w:marLeft w:val="0"/>
      <w:marRight w:val="0"/>
      <w:marTop w:val="0"/>
      <w:marBottom w:val="0"/>
      <w:divBdr>
        <w:top w:val="none" w:sz="0" w:space="0" w:color="auto"/>
        <w:left w:val="none" w:sz="0" w:space="0" w:color="auto"/>
        <w:bottom w:val="none" w:sz="0" w:space="0" w:color="auto"/>
        <w:right w:val="none" w:sz="0" w:space="0" w:color="auto"/>
      </w:divBdr>
    </w:div>
    <w:div w:id="806161484">
      <w:bodyDiv w:val="1"/>
      <w:marLeft w:val="0"/>
      <w:marRight w:val="0"/>
      <w:marTop w:val="0"/>
      <w:marBottom w:val="0"/>
      <w:divBdr>
        <w:top w:val="none" w:sz="0" w:space="0" w:color="auto"/>
        <w:left w:val="none" w:sz="0" w:space="0" w:color="auto"/>
        <w:bottom w:val="none" w:sz="0" w:space="0" w:color="auto"/>
        <w:right w:val="none" w:sz="0" w:space="0" w:color="auto"/>
      </w:divBdr>
    </w:div>
    <w:div w:id="996687929">
      <w:bodyDiv w:val="1"/>
      <w:marLeft w:val="0"/>
      <w:marRight w:val="0"/>
      <w:marTop w:val="0"/>
      <w:marBottom w:val="0"/>
      <w:divBdr>
        <w:top w:val="none" w:sz="0" w:space="0" w:color="auto"/>
        <w:left w:val="none" w:sz="0" w:space="0" w:color="auto"/>
        <w:bottom w:val="none" w:sz="0" w:space="0" w:color="auto"/>
        <w:right w:val="none" w:sz="0" w:space="0" w:color="auto"/>
      </w:divBdr>
    </w:div>
    <w:div w:id="1001128312">
      <w:bodyDiv w:val="1"/>
      <w:marLeft w:val="0"/>
      <w:marRight w:val="0"/>
      <w:marTop w:val="0"/>
      <w:marBottom w:val="0"/>
      <w:divBdr>
        <w:top w:val="none" w:sz="0" w:space="0" w:color="auto"/>
        <w:left w:val="none" w:sz="0" w:space="0" w:color="auto"/>
        <w:bottom w:val="none" w:sz="0" w:space="0" w:color="auto"/>
        <w:right w:val="none" w:sz="0" w:space="0" w:color="auto"/>
      </w:divBdr>
    </w:div>
    <w:div w:id="1044913948">
      <w:bodyDiv w:val="1"/>
      <w:marLeft w:val="0"/>
      <w:marRight w:val="0"/>
      <w:marTop w:val="0"/>
      <w:marBottom w:val="0"/>
      <w:divBdr>
        <w:top w:val="none" w:sz="0" w:space="0" w:color="auto"/>
        <w:left w:val="none" w:sz="0" w:space="0" w:color="auto"/>
        <w:bottom w:val="none" w:sz="0" w:space="0" w:color="auto"/>
        <w:right w:val="none" w:sz="0" w:space="0" w:color="auto"/>
      </w:divBdr>
    </w:div>
    <w:div w:id="1110510212">
      <w:bodyDiv w:val="1"/>
      <w:marLeft w:val="0"/>
      <w:marRight w:val="0"/>
      <w:marTop w:val="0"/>
      <w:marBottom w:val="0"/>
      <w:divBdr>
        <w:top w:val="none" w:sz="0" w:space="0" w:color="auto"/>
        <w:left w:val="none" w:sz="0" w:space="0" w:color="auto"/>
        <w:bottom w:val="none" w:sz="0" w:space="0" w:color="auto"/>
        <w:right w:val="none" w:sz="0" w:space="0" w:color="auto"/>
      </w:divBdr>
    </w:div>
    <w:div w:id="1181116388">
      <w:bodyDiv w:val="1"/>
      <w:marLeft w:val="0"/>
      <w:marRight w:val="0"/>
      <w:marTop w:val="0"/>
      <w:marBottom w:val="0"/>
      <w:divBdr>
        <w:top w:val="none" w:sz="0" w:space="0" w:color="auto"/>
        <w:left w:val="none" w:sz="0" w:space="0" w:color="auto"/>
        <w:bottom w:val="none" w:sz="0" w:space="0" w:color="auto"/>
        <w:right w:val="none" w:sz="0" w:space="0" w:color="auto"/>
      </w:divBdr>
    </w:div>
    <w:div w:id="1337149368">
      <w:bodyDiv w:val="1"/>
      <w:marLeft w:val="0"/>
      <w:marRight w:val="0"/>
      <w:marTop w:val="0"/>
      <w:marBottom w:val="0"/>
      <w:divBdr>
        <w:top w:val="none" w:sz="0" w:space="0" w:color="auto"/>
        <w:left w:val="none" w:sz="0" w:space="0" w:color="auto"/>
        <w:bottom w:val="none" w:sz="0" w:space="0" w:color="auto"/>
        <w:right w:val="none" w:sz="0" w:space="0" w:color="auto"/>
      </w:divBdr>
    </w:div>
    <w:div w:id="1574386374">
      <w:bodyDiv w:val="1"/>
      <w:marLeft w:val="0"/>
      <w:marRight w:val="0"/>
      <w:marTop w:val="0"/>
      <w:marBottom w:val="0"/>
      <w:divBdr>
        <w:top w:val="none" w:sz="0" w:space="0" w:color="auto"/>
        <w:left w:val="none" w:sz="0" w:space="0" w:color="auto"/>
        <w:bottom w:val="none" w:sz="0" w:space="0" w:color="auto"/>
        <w:right w:val="none" w:sz="0" w:space="0" w:color="auto"/>
      </w:divBdr>
    </w:div>
    <w:div w:id="1597253780">
      <w:bodyDiv w:val="1"/>
      <w:marLeft w:val="0"/>
      <w:marRight w:val="0"/>
      <w:marTop w:val="0"/>
      <w:marBottom w:val="0"/>
      <w:divBdr>
        <w:top w:val="none" w:sz="0" w:space="0" w:color="auto"/>
        <w:left w:val="none" w:sz="0" w:space="0" w:color="auto"/>
        <w:bottom w:val="none" w:sz="0" w:space="0" w:color="auto"/>
        <w:right w:val="none" w:sz="0" w:space="0" w:color="auto"/>
      </w:divBdr>
      <w:divsChild>
        <w:div w:id="947199544">
          <w:marLeft w:val="0"/>
          <w:marRight w:val="0"/>
          <w:marTop w:val="0"/>
          <w:marBottom w:val="0"/>
          <w:divBdr>
            <w:top w:val="none" w:sz="0" w:space="0" w:color="auto"/>
            <w:left w:val="none" w:sz="0" w:space="0" w:color="auto"/>
            <w:bottom w:val="none" w:sz="0" w:space="0" w:color="auto"/>
            <w:right w:val="none" w:sz="0" w:space="0" w:color="auto"/>
          </w:divBdr>
          <w:divsChild>
            <w:div w:id="1566839020">
              <w:marLeft w:val="0"/>
              <w:marRight w:val="0"/>
              <w:marTop w:val="0"/>
              <w:marBottom w:val="0"/>
              <w:divBdr>
                <w:top w:val="none" w:sz="0" w:space="0" w:color="auto"/>
                <w:left w:val="none" w:sz="0" w:space="0" w:color="auto"/>
                <w:bottom w:val="none" w:sz="0" w:space="0" w:color="auto"/>
                <w:right w:val="none" w:sz="0" w:space="0" w:color="auto"/>
              </w:divBdr>
              <w:divsChild>
                <w:div w:id="12513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4036">
      <w:bodyDiv w:val="1"/>
      <w:marLeft w:val="0"/>
      <w:marRight w:val="0"/>
      <w:marTop w:val="0"/>
      <w:marBottom w:val="0"/>
      <w:divBdr>
        <w:top w:val="none" w:sz="0" w:space="0" w:color="auto"/>
        <w:left w:val="none" w:sz="0" w:space="0" w:color="auto"/>
        <w:bottom w:val="none" w:sz="0" w:space="0" w:color="auto"/>
        <w:right w:val="none" w:sz="0" w:space="0" w:color="auto"/>
      </w:divBdr>
    </w:div>
    <w:div w:id="1828592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imac\Dropbox\engie\ENGI.PA.csv"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ENGI.PA!$A$253:$A$261</c:f>
              <c:strCache>
                <c:ptCount val="9"/>
                <c:pt idx="0">
                  <c:v>J-4</c:v>
                </c:pt>
                <c:pt idx="1">
                  <c:v>J-3</c:v>
                </c:pt>
                <c:pt idx="2">
                  <c:v>J-2</c:v>
                </c:pt>
                <c:pt idx="3">
                  <c:v>J-1</c:v>
                </c:pt>
                <c:pt idx="4">
                  <c:v>J</c:v>
                </c:pt>
                <c:pt idx="5">
                  <c:v>J+1</c:v>
                </c:pt>
                <c:pt idx="6">
                  <c:v>J+2</c:v>
                </c:pt>
                <c:pt idx="7">
                  <c:v>J+3</c:v>
                </c:pt>
                <c:pt idx="8">
                  <c:v>J+4</c:v>
                </c:pt>
              </c:strCache>
            </c:strRef>
          </c:cat>
          <c:val>
            <c:numRef>
              <c:f>ENGI.PA!$B$253:$B$261</c:f>
              <c:numCache>
                <c:formatCode>General</c:formatCode>
                <c:ptCount val="9"/>
                <c:pt idx="0">
                  <c:v>16.549999</c:v>
                </c:pt>
                <c:pt idx="1">
                  <c:v>16.645</c:v>
                </c:pt>
                <c:pt idx="2">
                  <c:v>16.48</c:v>
                </c:pt>
                <c:pt idx="3">
                  <c:v>16.594999000000001</c:v>
                </c:pt>
                <c:pt idx="4">
                  <c:v>16.094999000000001</c:v>
                </c:pt>
                <c:pt idx="5">
                  <c:v>15.545</c:v>
                </c:pt>
                <c:pt idx="6">
                  <c:v>15.64</c:v>
                </c:pt>
                <c:pt idx="7">
                  <c:v>16.004999000000002</c:v>
                </c:pt>
                <c:pt idx="8">
                  <c:v>15.03</c:v>
                </c:pt>
              </c:numCache>
            </c:numRef>
          </c:val>
          <c:smooth val="0"/>
          <c:extLst>
            <c:ext xmlns:c16="http://schemas.microsoft.com/office/drawing/2014/chart" uri="{C3380CC4-5D6E-409C-BE32-E72D297353CC}">
              <c16:uniqueId val="{00000000-B8FA-DC44-A1FC-D81F87697853}"/>
            </c:ext>
          </c:extLst>
        </c:ser>
        <c:dLbls>
          <c:showLegendKey val="0"/>
          <c:showVal val="0"/>
          <c:showCatName val="0"/>
          <c:showSerName val="0"/>
          <c:showPercent val="0"/>
          <c:showBubbleSize val="0"/>
        </c:dLbls>
        <c:smooth val="0"/>
        <c:axId val="110176896"/>
        <c:axId val="110256896"/>
      </c:lineChart>
      <c:catAx>
        <c:axId val="110176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256896"/>
        <c:crosses val="autoZero"/>
        <c:auto val="1"/>
        <c:lblAlgn val="ctr"/>
        <c:lblOffset val="100"/>
        <c:noMultiLvlLbl val="0"/>
      </c:catAx>
      <c:valAx>
        <c:axId val="110256896"/>
        <c:scaling>
          <c:orientation val="minMax"/>
          <c:min val="14.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0176896"/>
        <c:crossesAt val="1"/>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0D4A-83CD-40C9-AEA2-16792F6C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2170</Words>
  <Characters>11941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HHH GGGG</dc:creator>
  <cp:lastModifiedBy>françois MARTY</cp:lastModifiedBy>
  <cp:revision>2</cp:revision>
  <cp:lastPrinted>2022-11-17T09:07:00Z</cp:lastPrinted>
  <dcterms:created xsi:type="dcterms:W3CDTF">2023-02-18T16:49:00Z</dcterms:created>
  <dcterms:modified xsi:type="dcterms:W3CDTF">2023-02-18T16:49:00Z</dcterms:modified>
</cp:coreProperties>
</file>