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F" w:rsidRPr="00E85C04" w:rsidRDefault="00662F9E" w:rsidP="00C2424A">
      <w:pPr>
        <w:spacing w:after="60"/>
        <w:jc w:val="left"/>
        <w:rPr>
          <w:rFonts w:ascii="Arial Black" w:hAnsi="Arial Black"/>
          <w:b/>
          <w:sz w:val="28"/>
        </w:rPr>
      </w:pPr>
      <w:r>
        <w:rPr>
          <w:b/>
          <w:bCs/>
          <w:noProof/>
        </w:rPr>
        <w:drawing>
          <wp:anchor distT="0" distB="0" distL="144145" distR="144145" simplePos="0" relativeHeight="251655168" behindDoc="0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C297F" w:rsidRPr="00E85C04">
        <w:rPr>
          <w:rFonts w:ascii="Arial Black" w:hAnsi="Arial Black"/>
          <w:b/>
          <w:sz w:val="24"/>
        </w:rPr>
        <w:t xml:space="preserve">Centre de </w:t>
      </w:r>
      <w:r w:rsidR="00E85C04" w:rsidRPr="00E85C04">
        <w:rPr>
          <w:rFonts w:ascii="Arial Black" w:hAnsi="Arial Black"/>
          <w:b/>
          <w:sz w:val="24"/>
        </w:rPr>
        <w:t>R</w:t>
      </w:r>
      <w:r w:rsidR="00BC297F" w:rsidRPr="00E85C04">
        <w:rPr>
          <w:rFonts w:ascii="Arial Black" w:hAnsi="Arial Black"/>
          <w:b/>
          <w:sz w:val="24"/>
        </w:rPr>
        <w:t xml:space="preserve">essources </w:t>
      </w:r>
      <w:r w:rsidR="00C2424A">
        <w:rPr>
          <w:rFonts w:ascii="Arial Black" w:hAnsi="Arial Black"/>
          <w:b/>
          <w:sz w:val="24"/>
        </w:rPr>
        <w:br/>
      </w:r>
      <w:r w:rsidR="00E85C04" w:rsidRPr="00E85C04">
        <w:rPr>
          <w:rFonts w:ascii="Arial Black" w:hAnsi="Arial Black"/>
          <w:b/>
          <w:sz w:val="24"/>
        </w:rPr>
        <w:t>C</w:t>
      </w:r>
      <w:r w:rsidR="00BC297F" w:rsidRPr="00E85C04">
        <w:rPr>
          <w:rFonts w:ascii="Arial Black" w:hAnsi="Arial Black"/>
          <w:b/>
          <w:sz w:val="24"/>
        </w:rPr>
        <w:t xml:space="preserve">omptabilité </w:t>
      </w:r>
      <w:r w:rsidR="00E85C04" w:rsidRPr="00E85C04">
        <w:rPr>
          <w:rFonts w:ascii="Arial Black" w:hAnsi="Arial Black"/>
          <w:b/>
          <w:sz w:val="24"/>
        </w:rPr>
        <w:t>F</w:t>
      </w:r>
      <w:r w:rsidR="00BC297F" w:rsidRPr="00E85C04">
        <w:rPr>
          <w:rFonts w:ascii="Arial Black" w:hAnsi="Arial Black"/>
          <w:b/>
          <w:sz w:val="24"/>
        </w:rPr>
        <w:t>inance</w:t>
      </w:r>
    </w:p>
    <w:p w:rsidR="00494661" w:rsidRPr="004563F0" w:rsidRDefault="00494661" w:rsidP="00AA3015">
      <w:pPr>
        <w:rPr>
          <w:sz w:val="20"/>
        </w:rPr>
      </w:pPr>
      <w:r w:rsidRPr="004563F0">
        <w:rPr>
          <w:sz w:val="20"/>
        </w:rPr>
        <w:t>Lycée MARIE CURIE</w:t>
      </w:r>
    </w:p>
    <w:p w:rsidR="004563F0" w:rsidRPr="004563F0" w:rsidRDefault="00494661" w:rsidP="00AA3015">
      <w:pPr>
        <w:rPr>
          <w:sz w:val="20"/>
        </w:rPr>
      </w:pPr>
      <w:r w:rsidRPr="004563F0">
        <w:rPr>
          <w:sz w:val="20"/>
        </w:rPr>
        <w:t xml:space="preserve">Avenue du 8 mai 1945 - BP 348 </w:t>
      </w:r>
    </w:p>
    <w:p w:rsidR="00BC297F" w:rsidRPr="004563F0" w:rsidRDefault="00494661" w:rsidP="00AA3015">
      <w:pPr>
        <w:rPr>
          <w:sz w:val="16"/>
        </w:rPr>
      </w:pPr>
      <w:r w:rsidRPr="004563F0">
        <w:rPr>
          <w:sz w:val="20"/>
        </w:rPr>
        <w:t>38435 ECHIROLLES cedex</w:t>
      </w:r>
    </w:p>
    <w:p w:rsidR="00BC297F" w:rsidRPr="00E85C04" w:rsidRDefault="008D0DC6" w:rsidP="00E96191">
      <w:pPr>
        <w:pStyle w:val="Liste"/>
        <w:numPr>
          <w:ilvl w:val="0"/>
          <w:numId w:val="0"/>
        </w:numPr>
        <w:ind w:left="284"/>
        <w:rPr>
          <w:lang w:val="nl-NL"/>
        </w:rPr>
      </w:pPr>
      <w:hyperlink r:id="rId9" w:history="1">
        <w:r w:rsidR="00E85C04" w:rsidRPr="00ED0EFA">
          <w:rPr>
            <w:rStyle w:val="Lienhypertexte"/>
            <w:b/>
            <w:sz w:val="18"/>
            <w:lang w:val="nl-NL"/>
          </w:rPr>
          <w:t>http://crcf.ac-grenoble.fr/</w:t>
        </w:r>
      </w:hyperlink>
    </w:p>
    <w:p w:rsidR="00C95349" w:rsidRDefault="00C95349" w:rsidP="00C95349">
      <w:bookmarkStart w:id="0" w:name="Intitulé"/>
    </w:p>
    <w:p w:rsidR="00C95349" w:rsidRDefault="00C95349" w:rsidP="00C95349"/>
    <w:p w:rsidR="00C95349" w:rsidRP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5349">
        <w:rPr>
          <w:rFonts w:asciiTheme="minorHAnsi" w:hAnsiTheme="minorHAnsi" w:cstheme="minorHAnsi"/>
          <w:b/>
          <w:sz w:val="36"/>
          <w:szCs w:val="36"/>
        </w:rPr>
        <w:t>Actualité comptable</w:t>
      </w:r>
    </w:p>
    <w:p w:rsid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95349" w:rsidRDefault="008D0DC6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  <w:hyperlink r:id="rId10" w:history="1">
        <w:r w:rsidR="00C95349" w:rsidRPr="0077054E">
          <w:rPr>
            <w:rStyle w:val="Lienhypertexte"/>
            <w:rFonts w:asciiTheme="minorHAnsi" w:eastAsia="Calibri" w:hAnsiTheme="minorHAnsi" w:cstheme="minorHAnsi"/>
            <w:b/>
            <w:bCs/>
          </w:rPr>
          <w:t>Règlement ANC n°</w:t>
        </w:r>
        <w:r w:rsidR="0077054E" w:rsidRPr="0077054E">
          <w:rPr>
            <w:rStyle w:val="Lienhypertexte"/>
            <w:rFonts w:asciiTheme="minorHAnsi" w:eastAsia="Calibri" w:hAnsiTheme="minorHAnsi" w:cstheme="minorHAnsi"/>
            <w:b/>
            <w:bCs/>
          </w:rPr>
          <w:t>2020-0</w:t>
        </w:r>
        <w:r w:rsidR="000A765D">
          <w:rPr>
            <w:rStyle w:val="Lienhypertexte"/>
            <w:rFonts w:asciiTheme="minorHAnsi" w:eastAsia="Calibri" w:hAnsiTheme="minorHAnsi" w:cstheme="minorHAnsi"/>
            <w:b/>
            <w:bCs/>
          </w:rPr>
          <w:t>1</w:t>
        </w:r>
      </w:hyperlink>
      <w:r w:rsidR="000B3D0F">
        <w:t xml:space="preserve">du </w:t>
      </w:r>
      <w:r w:rsidR="0077054E">
        <w:t>9 octobre 2020 relatif aux comptes consolidés</w:t>
      </w:r>
    </w:p>
    <w:p w:rsid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</w:p>
    <w:p w:rsidR="00C95349" w:rsidRPr="005462AA" w:rsidRDefault="005462AA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C94276">
        <w:rPr>
          <w:rFonts w:asciiTheme="minorHAnsi" w:eastAsia="Calibri" w:hAnsiTheme="minorHAnsi" w:cstheme="minorHAnsi"/>
          <w:color w:val="000000" w:themeColor="text1"/>
        </w:rPr>
        <w:t>homologué par</w:t>
      </w:r>
      <w:hyperlink r:id="rId11" w:history="1">
        <w:r w:rsidR="0077054E" w:rsidRPr="0077054E">
          <w:rPr>
            <w:rStyle w:val="Lienhypertexte"/>
            <w:rFonts w:asciiTheme="minorHAnsi" w:eastAsia="Calibri" w:hAnsiTheme="minorHAnsi" w:cstheme="minorHAnsi"/>
          </w:rPr>
          <w:t>arrêté du 29 décembre 2020</w:t>
        </w:r>
      </w:hyperlink>
      <w:r w:rsidR="0077054E">
        <w:rPr>
          <w:rFonts w:asciiTheme="minorHAnsi" w:eastAsia="Calibri" w:hAnsiTheme="minorHAnsi" w:cstheme="minorHAnsi"/>
          <w:color w:val="000000" w:themeColor="text1"/>
        </w:rPr>
        <w:t xml:space="preserve"> publié au journal officiel du 31 décembre 2020</w:t>
      </w:r>
    </w:p>
    <w:p w:rsidR="00C95349" w:rsidRP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77054E" w:rsidRDefault="0077054E" w:rsidP="00C95349"/>
    <w:p w:rsidR="0077054E" w:rsidRDefault="0077054E" w:rsidP="00C95349"/>
    <w:p w:rsidR="0077054E" w:rsidRDefault="00E949E8" w:rsidP="00C95349">
      <w:r>
        <w:t>Le règlement ANC n°2020-0</w:t>
      </w:r>
      <w:r w:rsidR="00707708">
        <w:t>1</w:t>
      </w:r>
      <w:r>
        <w:t xml:space="preserve"> relatif aux comptes consolidés est applicable aux exercices ouverts à compter du </w:t>
      </w:r>
      <w:r w:rsidRPr="00146388">
        <w:rPr>
          <w:b/>
          <w:bCs/>
        </w:rPr>
        <w:t>1</w:t>
      </w:r>
      <w:r w:rsidRPr="00146388">
        <w:rPr>
          <w:b/>
          <w:bCs/>
          <w:vertAlign w:val="superscript"/>
        </w:rPr>
        <w:t>er</w:t>
      </w:r>
      <w:r w:rsidRPr="00146388">
        <w:rPr>
          <w:b/>
          <w:bCs/>
        </w:rPr>
        <w:t xml:space="preserve"> janvier 2021</w:t>
      </w:r>
      <w:r>
        <w:t>.</w:t>
      </w:r>
    </w:p>
    <w:p w:rsidR="00E949E8" w:rsidRDefault="00E949E8" w:rsidP="00C95349"/>
    <w:p w:rsidR="005827A1" w:rsidRDefault="00E949E8" w:rsidP="00E949E8">
      <w:r>
        <w:t xml:space="preserve">Il concerne les comptes consolidés établis </w:t>
      </w:r>
      <w:r w:rsidRPr="00E949E8">
        <w:rPr>
          <w:b/>
          <w:bCs/>
        </w:rPr>
        <w:t>en normes comptables françaises.</w:t>
      </w:r>
    </w:p>
    <w:p w:rsidR="005827A1" w:rsidRDefault="005827A1" w:rsidP="00E949E8"/>
    <w:p w:rsidR="00E949E8" w:rsidRDefault="00E949E8" w:rsidP="00E949E8">
      <w:r>
        <w:t xml:space="preserve">Il </w:t>
      </w:r>
      <w:r w:rsidR="00146388">
        <w:t>se substitue</w:t>
      </w:r>
      <w:r>
        <w:t xml:space="preserve"> notamment </w:t>
      </w:r>
      <w:r w:rsidR="00146388">
        <w:t>au</w:t>
      </w:r>
      <w:r>
        <w:t xml:space="preserve"> règlement </w:t>
      </w:r>
      <w:r w:rsidRPr="00146388">
        <w:rPr>
          <w:b/>
          <w:bCs/>
        </w:rPr>
        <w:t>CRC 99-02</w:t>
      </w:r>
      <w:r>
        <w:t xml:space="preserve">. </w:t>
      </w:r>
    </w:p>
    <w:p w:rsidR="00E949E8" w:rsidRDefault="00E949E8" w:rsidP="00C95349"/>
    <w:p w:rsidR="00E949E8" w:rsidRDefault="00E949E8" w:rsidP="00C95349">
      <w:r>
        <w:t xml:space="preserve">Certaines nouvelles dispositions, notamment relatives </w:t>
      </w:r>
      <w:r w:rsidRPr="00146388">
        <w:rPr>
          <w:b/>
          <w:bCs/>
        </w:rPr>
        <w:t>aux méthodes comptables</w:t>
      </w:r>
      <w:r>
        <w:t>, sont susceptibles de modifier les pratiques comptables</w:t>
      </w:r>
      <w:r w:rsidR="00146388">
        <w:t xml:space="preserve"> et d’avoir des </w:t>
      </w:r>
      <w:r w:rsidR="00146388" w:rsidRPr="00146388">
        <w:rPr>
          <w:b/>
          <w:bCs/>
        </w:rPr>
        <w:t>conséquences</w:t>
      </w:r>
      <w:r w:rsidR="00146388">
        <w:t xml:space="preserve"> sur les états financiers consolidés.</w:t>
      </w:r>
    </w:p>
    <w:p w:rsidR="00E949E8" w:rsidRDefault="00E949E8" w:rsidP="00C95349"/>
    <w:bookmarkEnd w:id="0"/>
    <w:p w:rsidR="00146388" w:rsidRDefault="00146388" w:rsidP="004E67D0">
      <w:pPr>
        <w:rPr>
          <w:rFonts w:asciiTheme="minorHAnsi" w:hAnsiTheme="minorHAnsi" w:cstheme="minorHAnsi"/>
          <w:b/>
          <w:szCs w:val="22"/>
          <w:u w:val="single"/>
        </w:rPr>
      </w:pPr>
    </w:p>
    <w:p w:rsidR="004E67D0" w:rsidRPr="00AD73B7" w:rsidRDefault="004E67D0" w:rsidP="004E67D0">
      <w:pPr>
        <w:rPr>
          <w:rFonts w:asciiTheme="minorHAnsi" w:hAnsiTheme="minorHAnsi" w:cstheme="minorHAnsi"/>
          <w:b/>
          <w:szCs w:val="22"/>
          <w:u w:val="single"/>
        </w:rPr>
      </w:pPr>
      <w:r w:rsidRPr="00AD73B7">
        <w:rPr>
          <w:rFonts w:asciiTheme="minorHAnsi" w:hAnsiTheme="minorHAnsi" w:cstheme="minorHAnsi"/>
          <w:b/>
          <w:szCs w:val="22"/>
          <w:u w:val="single"/>
        </w:rPr>
        <w:t>Sommaire</w:t>
      </w:r>
    </w:p>
    <w:p w:rsidR="004E67D0" w:rsidRDefault="004E67D0" w:rsidP="004E67D0">
      <w:pPr>
        <w:spacing w:line="259" w:lineRule="auto"/>
      </w:pPr>
    </w:p>
    <w:p w:rsidR="005A6024" w:rsidRPr="005A6024" w:rsidRDefault="005A6024" w:rsidP="005A6024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5A6024">
        <w:rPr>
          <w:rFonts w:eastAsia="Calibri" w:cstheme="minorHAnsi"/>
          <w:color w:val="000000" w:themeColor="text1"/>
        </w:rPr>
        <w:t>L’abrogation des 3 règlements relatifs aux comptes consolidés</w:t>
      </w:r>
    </w:p>
    <w:p w:rsidR="005A6024" w:rsidRPr="005A6024" w:rsidRDefault="005A6024" w:rsidP="005A6024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5A6024">
        <w:rPr>
          <w:rFonts w:eastAsia="Calibri" w:cstheme="minorHAnsi"/>
          <w:color w:val="000000" w:themeColor="text1"/>
        </w:rPr>
        <w:t>Une convergence avec les méthodes comptables des comptes individuels</w:t>
      </w:r>
    </w:p>
    <w:p w:rsidR="005A6024" w:rsidRPr="005A6024" w:rsidRDefault="005A6024" w:rsidP="005A6024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5A6024">
        <w:rPr>
          <w:rFonts w:eastAsia="Calibri" w:cstheme="minorHAnsi"/>
          <w:color w:val="000000" w:themeColor="text1"/>
        </w:rPr>
        <w:t>Les méthodes comptables obligatoires dans les comptes consolidés</w:t>
      </w:r>
    </w:p>
    <w:p w:rsidR="005A6024" w:rsidRPr="005A6024" w:rsidRDefault="005A6024" w:rsidP="005A6024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5A6024">
        <w:rPr>
          <w:rFonts w:eastAsia="Calibri" w:cstheme="minorHAnsi"/>
          <w:color w:val="000000" w:themeColor="text1"/>
        </w:rPr>
        <w:t>Les options comptables</w:t>
      </w:r>
      <w:r w:rsidR="00DA2999" w:rsidRPr="005A6024">
        <w:rPr>
          <w:rFonts w:eastAsia="Calibri" w:cstheme="minorHAnsi"/>
          <w:color w:val="000000" w:themeColor="text1"/>
        </w:rPr>
        <w:t>dans les comptes consolidés</w:t>
      </w:r>
    </w:p>
    <w:p w:rsidR="005A6024" w:rsidRPr="005A6024" w:rsidRDefault="005A6024" w:rsidP="005A6024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5A6024">
        <w:rPr>
          <w:rFonts w:eastAsia="Calibri" w:cstheme="minorHAnsi"/>
          <w:color w:val="000000" w:themeColor="text1"/>
        </w:rPr>
        <w:t>L’abandon du principe de prééminence de la substance sur la forme</w:t>
      </w:r>
    </w:p>
    <w:p w:rsidR="005A6024" w:rsidRPr="005A6024" w:rsidRDefault="005A6024" w:rsidP="005A6024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5A6024">
        <w:rPr>
          <w:rFonts w:eastAsia="Calibri" w:cstheme="minorHAnsi"/>
          <w:color w:val="000000" w:themeColor="text1"/>
        </w:rPr>
        <w:t>La présentation des comptes consolidés</w:t>
      </w:r>
    </w:p>
    <w:p w:rsidR="005A6024" w:rsidRPr="005A6024" w:rsidRDefault="005A6024" w:rsidP="005A6024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5A6024">
        <w:rPr>
          <w:rFonts w:eastAsia="Calibri" w:cstheme="minorHAnsi"/>
          <w:color w:val="000000" w:themeColor="text1"/>
        </w:rPr>
        <w:t>L’application du règlement pour la 1ère fois</w:t>
      </w:r>
    </w:p>
    <w:p w:rsidR="005A6024" w:rsidRPr="005A6024" w:rsidRDefault="005A6024" w:rsidP="005A6024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5A6024">
        <w:rPr>
          <w:rFonts w:eastAsia="Calibri" w:cstheme="minorHAnsi"/>
          <w:color w:val="000000" w:themeColor="text1"/>
        </w:rPr>
        <w:t>L’établissement de comptes consolidés pour la 1ère fois</w:t>
      </w:r>
    </w:p>
    <w:p w:rsidR="005A6024" w:rsidRPr="005A6024" w:rsidRDefault="005A6024" w:rsidP="005A6024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5A6024">
        <w:rPr>
          <w:rFonts w:eastAsia="Calibri" w:cstheme="minorHAnsi"/>
          <w:color w:val="000000" w:themeColor="text1"/>
        </w:rPr>
        <w:t>Tableau de synthèse des méthodes comptables</w:t>
      </w:r>
    </w:p>
    <w:p w:rsidR="005A6024" w:rsidRDefault="005A6024" w:rsidP="00BB49A1">
      <w:pPr>
        <w:spacing w:after="120" w:line="259" w:lineRule="auto"/>
        <w:rPr>
          <w:rFonts w:eastAsia="Calibri" w:cstheme="minorHAnsi"/>
          <w:bCs/>
          <w:color w:val="000000" w:themeColor="text1"/>
          <w:sz w:val="10"/>
          <w:szCs w:val="8"/>
        </w:rPr>
      </w:pPr>
    </w:p>
    <w:p w:rsidR="005827A1" w:rsidRPr="00DA0F0B" w:rsidRDefault="005827A1" w:rsidP="00BB49A1">
      <w:pPr>
        <w:spacing w:after="120" w:line="259" w:lineRule="auto"/>
        <w:rPr>
          <w:rFonts w:eastAsia="Calibri" w:cstheme="minorHAnsi"/>
          <w:bCs/>
          <w:color w:val="000000" w:themeColor="text1"/>
          <w:sz w:val="10"/>
          <w:szCs w:val="8"/>
        </w:rPr>
      </w:pPr>
    </w:p>
    <w:p w:rsidR="001D2098" w:rsidRPr="001D2098" w:rsidRDefault="0077054E" w:rsidP="00E35C99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L’abrogation des 3 règlements relatifs aux comptes consolidés</w:t>
      </w:r>
    </w:p>
    <w:p w:rsidR="001D2098" w:rsidRPr="00383399" w:rsidRDefault="001D2098" w:rsidP="00BB49A1">
      <w:pPr>
        <w:spacing w:after="120" w:line="259" w:lineRule="auto"/>
        <w:rPr>
          <w:rFonts w:eastAsia="Calibri" w:cstheme="minorHAnsi"/>
          <w:bCs/>
          <w:color w:val="000000" w:themeColor="text1"/>
          <w:sz w:val="2"/>
          <w:szCs w:val="2"/>
        </w:rPr>
      </w:pPr>
    </w:p>
    <w:p w:rsidR="005827A1" w:rsidRDefault="00926FA4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Le règlement </w:t>
      </w:r>
      <w:r w:rsidR="00146388">
        <w:rPr>
          <w:rFonts w:eastAsia="Calibri" w:cstheme="minorHAnsi"/>
          <w:bCs/>
          <w:color w:val="000000" w:themeColor="text1"/>
        </w:rPr>
        <w:t>ANC 2020-0</w:t>
      </w:r>
      <w:r w:rsidR="000A765D">
        <w:rPr>
          <w:rFonts w:eastAsia="Calibri" w:cstheme="minorHAnsi"/>
          <w:bCs/>
          <w:color w:val="000000" w:themeColor="text1"/>
        </w:rPr>
        <w:t>1</w:t>
      </w:r>
      <w:r>
        <w:rPr>
          <w:rFonts w:eastAsia="Calibri" w:cstheme="minorHAnsi"/>
          <w:bCs/>
          <w:color w:val="000000" w:themeColor="text1"/>
        </w:rPr>
        <w:t>regroupe dans un unique document l’ensemble des normes comptables relatives aux comptes consolidés établis en règles françaises</w:t>
      </w:r>
      <w:r w:rsidR="005827A1">
        <w:rPr>
          <w:rFonts w:eastAsia="Calibri" w:cstheme="minorHAnsi"/>
          <w:bCs/>
          <w:color w:val="000000" w:themeColor="text1"/>
        </w:rPr>
        <w:t xml:space="preserve">. </w:t>
      </w:r>
    </w:p>
    <w:p w:rsidR="00E35C99" w:rsidRDefault="005827A1" w:rsidP="00E35C99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Il détaille toute la réglementation s’appliquant dans ce domaine, tout en intégrant certaines dispositions spécifiques pour les entreprises des secteur</w:t>
      </w:r>
      <w:r w:rsidR="0025004C">
        <w:rPr>
          <w:rFonts w:eastAsia="Calibri" w:cstheme="minorHAnsi"/>
          <w:bCs/>
          <w:color w:val="000000" w:themeColor="text1"/>
        </w:rPr>
        <w:t>s de la banque</w:t>
      </w:r>
      <w:r>
        <w:rPr>
          <w:rFonts w:eastAsia="Calibri" w:cstheme="minorHAnsi"/>
          <w:bCs/>
          <w:color w:val="000000" w:themeColor="text1"/>
        </w:rPr>
        <w:t>, de l’assurance et de la prévoyance.</w:t>
      </w:r>
      <w:r w:rsidR="00E35C99">
        <w:rPr>
          <w:rFonts w:eastAsia="Calibri" w:cstheme="minorHAnsi"/>
          <w:bCs/>
          <w:color w:val="000000" w:themeColor="text1"/>
        </w:rPr>
        <w:br w:type="page"/>
      </w:r>
    </w:p>
    <w:p w:rsidR="00146388" w:rsidRDefault="00926FA4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lastRenderedPageBreak/>
        <w:t xml:space="preserve">Il </w:t>
      </w:r>
      <w:r w:rsidR="00146388">
        <w:rPr>
          <w:rFonts w:eastAsia="Calibri" w:cstheme="minorHAnsi"/>
          <w:bCs/>
          <w:color w:val="000000" w:themeColor="text1"/>
        </w:rPr>
        <w:t xml:space="preserve">abroge </w:t>
      </w:r>
      <w:r>
        <w:rPr>
          <w:rFonts w:eastAsia="Calibri" w:cstheme="minorHAnsi"/>
          <w:bCs/>
          <w:color w:val="000000" w:themeColor="text1"/>
        </w:rPr>
        <w:t xml:space="preserve">ainsi </w:t>
      </w:r>
      <w:r w:rsidR="00146388">
        <w:rPr>
          <w:rFonts w:eastAsia="Calibri" w:cstheme="minorHAnsi"/>
          <w:bCs/>
          <w:color w:val="000000" w:themeColor="text1"/>
        </w:rPr>
        <w:t>plusieurs règlements relatifs aux comptes consolidés notamment :</w:t>
      </w:r>
    </w:p>
    <w:p w:rsidR="00146388" w:rsidRPr="00146388" w:rsidRDefault="00146388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 w:rsidRPr="00146388">
        <w:rPr>
          <w:rFonts w:eastAsia="Calibri" w:cstheme="minorHAnsi"/>
          <w:bCs/>
          <w:color w:val="000000" w:themeColor="text1"/>
        </w:rPr>
        <w:t xml:space="preserve">le règlement CRC </w:t>
      </w:r>
      <w:r w:rsidR="005827A1">
        <w:rPr>
          <w:rFonts w:eastAsia="Calibri" w:cstheme="minorHAnsi"/>
          <w:bCs/>
          <w:color w:val="000000" w:themeColor="text1"/>
        </w:rPr>
        <w:t xml:space="preserve">99-02 </w:t>
      </w:r>
      <w:r w:rsidR="00531586">
        <w:rPr>
          <w:rFonts w:eastAsia="Calibri" w:cstheme="minorHAnsi"/>
          <w:bCs/>
          <w:color w:val="000000" w:themeColor="text1"/>
        </w:rPr>
        <w:t>pourles</w:t>
      </w:r>
      <w:r w:rsidRPr="00146388">
        <w:rPr>
          <w:rFonts w:eastAsia="Calibri" w:cstheme="minorHAnsi"/>
          <w:bCs/>
          <w:color w:val="000000" w:themeColor="text1"/>
        </w:rPr>
        <w:t xml:space="preserve"> sociétés commerciales et entreprises publiques</w:t>
      </w:r>
    </w:p>
    <w:p w:rsidR="00146388" w:rsidRPr="00146388" w:rsidRDefault="00146388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 w:rsidRPr="00146388">
        <w:rPr>
          <w:rFonts w:eastAsia="Calibri" w:cstheme="minorHAnsi"/>
          <w:bCs/>
          <w:color w:val="000000" w:themeColor="text1"/>
        </w:rPr>
        <w:t xml:space="preserve">le règlement CRC 99-07 </w:t>
      </w:r>
      <w:r w:rsidR="00531586">
        <w:rPr>
          <w:rFonts w:eastAsia="Calibri" w:cstheme="minorHAnsi"/>
          <w:bCs/>
          <w:color w:val="000000" w:themeColor="text1"/>
        </w:rPr>
        <w:t>pourles</w:t>
      </w:r>
      <w:r w:rsidRPr="00146388">
        <w:rPr>
          <w:rFonts w:eastAsia="Calibri" w:cstheme="minorHAnsi"/>
          <w:bCs/>
          <w:color w:val="000000" w:themeColor="text1"/>
        </w:rPr>
        <w:t>entreprises du secteur bancaire</w:t>
      </w:r>
    </w:p>
    <w:p w:rsidR="00146388" w:rsidRPr="00146388" w:rsidRDefault="00146388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 w:rsidRPr="00146388">
        <w:rPr>
          <w:rFonts w:eastAsia="Calibri" w:cstheme="minorHAnsi"/>
          <w:bCs/>
          <w:color w:val="000000" w:themeColor="text1"/>
        </w:rPr>
        <w:t xml:space="preserve">Le règlement CRC 2000-05 </w:t>
      </w:r>
      <w:r w:rsidR="00531586">
        <w:rPr>
          <w:rFonts w:eastAsia="Calibri" w:cstheme="minorHAnsi"/>
          <w:bCs/>
          <w:color w:val="000000" w:themeColor="text1"/>
        </w:rPr>
        <w:t>pourles</w:t>
      </w:r>
      <w:r w:rsidRPr="00146388">
        <w:rPr>
          <w:rFonts w:eastAsia="Calibri" w:cstheme="minorHAnsi"/>
          <w:bCs/>
          <w:color w:val="000000" w:themeColor="text1"/>
        </w:rPr>
        <w:t>entreprises du secteur de l’assurance et de la prévoyance</w:t>
      </w:r>
    </w:p>
    <w:p w:rsidR="001D2098" w:rsidRDefault="001D2098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DA2999" w:rsidRDefault="00DA2999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77054E" w:rsidRDefault="0077054E" w:rsidP="00E35C99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Une convergence avec les méthodes comptables des comptes individuels</w:t>
      </w:r>
    </w:p>
    <w:p w:rsidR="001B4AAE" w:rsidRDefault="001B4AAE" w:rsidP="001B4AAE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Le règlement ANC 2020-0</w:t>
      </w:r>
      <w:r w:rsidR="000A765D">
        <w:rPr>
          <w:rFonts w:eastAsia="Calibri" w:cstheme="minorHAnsi"/>
          <w:bCs/>
          <w:color w:val="000000" w:themeColor="text1"/>
        </w:rPr>
        <w:t>1</w:t>
      </w:r>
      <w:r>
        <w:rPr>
          <w:rFonts w:eastAsia="Calibri" w:cstheme="minorHAnsi"/>
          <w:bCs/>
          <w:color w:val="000000" w:themeColor="text1"/>
        </w:rPr>
        <w:t xml:space="preserve"> marque une </w:t>
      </w:r>
      <w:r w:rsidRPr="00A161F7">
        <w:rPr>
          <w:rFonts w:eastAsia="Calibri" w:cstheme="minorHAnsi"/>
          <w:bCs/>
          <w:color w:val="000000" w:themeColor="text1"/>
        </w:rPr>
        <w:t xml:space="preserve">convergence </w:t>
      </w:r>
      <w:r>
        <w:rPr>
          <w:rFonts w:eastAsia="Calibri" w:cstheme="minorHAnsi"/>
          <w:bCs/>
          <w:color w:val="000000" w:themeColor="text1"/>
        </w:rPr>
        <w:t xml:space="preserve">avec les règles comptables des </w:t>
      </w:r>
      <w:r w:rsidRPr="00A161F7">
        <w:rPr>
          <w:rFonts w:eastAsia="Calibri" w:cstheme="minorHAnsi"/>
          <w:b/>
          <w:color w:val="000000" w:themeColor="text1"/>
        </w:rPr>
        <w:t>comptes individuels</w:t>
      </w:r>
      <w:r>
        <w:rPr>
          <w:rFonts w:eastAsia="Calibri" w:cstheme="minorHAnsi"/>
          <w:bCs/>
          <w:color w:val="000000" w:themeColor="text1"/>
        </w:rPr>
        <w:t xml:space="preserve"> (PCG) qui avai</w:t>
      </w:r>
      <w:r w:rsidR="00A161F7">
        <w:rPr>
          <w:rFonts w:eastAsia="Calibri" w:cstheme="minorHAnsi"/>
          <w:bCs/>
          <w:color w:val="000000" w:themeColor="text1"/>
        </w:rPr>
        <w:t>en</w:t>
      </w:r>
      <w:r>
        <w:rPr>
          <w:rFonts w:eastAsia="Calibri" w:cstheme="minorHAnsi"/>
          <w:bCs/>
          <w:color w:val="000000" w:themeColor="text1"/>
        </w:rPr>
        <w:t xml:space="preserve">t évolué </w:t>
      </w:r>
      <w:r w:rsidR="00A161F7">
        <w:rPr>
          <w:rFonts w:eastAsia="Calibri" w:cstheme="minorHAnsi"/>
          <w:bCs/>
          <w:color w:val="000000" w:themeColor="text1"/>
        </w:rPr>
        <w:t>le</w:t>
      </w:r>
      <w:r>
        <w:rPr>
          <w:rFonts w:eastAsia="Calibri" w:cstheme="minorHAnsi"/>
          <w:bCs/>
          <w:color w:val="000000" w:themeColor="text1"/>
        </w:rPr>
        <w:t xml:space="preserve"> 9 octobre 2018. </w:t>
      </w:r>
    </w:p>
    <w:p w:rsidR="001B4AAE" w:rsidRDefault="001B4AAE" w:rsidP="001B4AAE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En effet, le règlement </w:t>
      </w:r>
      <w:r w:rsidRPr="00AD73B7">
        <w:rPr>
          <w:rFonts w:eastAsia="Calibri" w:cstheme="minorHAnsi"/>
          <w:b/>
          <w:color w:val="000000" w:themeColor="text1"/>
        </w:rPr>
        <w:t>ANC 2018</w:t>
      </w:r>
      <w:r>
        <w:rPr>
          <w:rFonts w:eastAsia="Calibri" w:cstheme="minorHAnsi"/>
          <w:b/>
          <w:color w:val="000000" w:themeColor="text1"/>
        </w:rPr>
        <w:t xml:space="preserve">-01 </w:t>
      </w:r>
      <w:r w:rsidRPr="001B4AAE">
        <w:rPr>
          <w:rFonts w:eastAsia="Calibri" w:cstheme="minorHAnsi"/>
          <w:bCs/>
          <w:color w:val="000000" w:themeColor="text1"/>
        </w:rPr>
        <w:t>avait modifié certaines dispositions relatives au plan comptable général </w:t>
      </w:r>
      <w:r>
        <w:rPr>
          <w:rFonts w:eastAsia="Calibri" w:cstheme="minorHAnsi"/>
          <w:b/>
          <w:color w:val="000000" w:themeColor="text1"/>
        </w:rPr>
        <w:t>:</w:t>
      </w:r>
    </w:p>
    <w:p w:rsidR="001B4AAE" w:rsidRDefault="001B4AAE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s</w:t>
      </w:r>
      <w:r w:rsidRPr="0077054E">
        <w:rPr>
          <w:rFonts w:eastAsia="Calibri" w:cstheme="minorHAnsi"/>
          <w:bCs/>
          <w:color w:val="000000" w:themeColor="text1"/>
        </w:rPr>
        <w:t>uppr</w:t>
      </w:r>
      <w:r>
        <w:rPr>
          <w:rFonts w:eastAsia="Calibri" w:cstheme="minorHAnsi"/>
          <w:bCs/>
          <w:color w:val="000000" w:themeColor="text1"/>
        </w:rPr>
        <w:t xml:space="preserve">ession de la notion de </w:t>
      </w:r>
      <w:r w:rsidRPr="005827A1">
        <w:rPr>
          <w:rFonts w:eastAsia="Calibri" w:cstheme="minorHAnsi"/>
          <w:bCs/>
          <w:color w:val="000000" w:themeColor="text1"/>
        </w:rPr>
        <w:t>méthode préférentielle</w:t>
      </w:r>
    </w:p>
    <w:p w:rsidR="001B4AAE" w:rsidRPr="001B4AAE" w:rsidRDefault="001B4AAE" w:rsidP="007A5544">
      <w:pPr>
        <w:pStyle w:val="Paragraphedeliste"/>
        <w:numPr>
          <w:ilvl w:val="0"/>
          <w:numId w:val="16"/>
        </w:numPr>
        <w:tabs>
          <w:tab w:val="left" w:pos="1134"/>
        </w:tabs>
        <w:spacing w:after="60" w:line="259" w:lineRule="auto"/>
        <w:ind w:left="714" w:hanging="357"/>
        <w:contextualSpacing w:val="0"/>
        <w:rPr>
          <w:rFonts w:cstheme="minorHAnsi"/>
          <w:b/>
          <w:color w:val="000000" w:themeColor="text1"/>
        </w:rPr>
      </w:pPr>
      <w:r>
        <w:t xml:space="preserve">qualification de </w:t>
      </w:r>
      <w:r w:rsidRPr="00DA2999">
        <w:rPr>
          <w:b/>
          <w:bCs/>
        </w:rPr>
        <w:t>méthode de référence</w:t>
      </w:r>
      <w:r>
        <w:t xml:space="preserve"> pour :</w:t>
      </w:r>
    </w:p>
    <w:p w:rsidR="000A765D" w:rsidRDefault="001B4AAE" w:rsidP="000A765D">
      <w:pPr>
        <w:tabs>
          <w:tab w:val="left" w:pos="1418"/>
        </w:tabs>
        <w:spacing w:after="120" w:line="259" w:lineRule="auto"/>
        <w:ind w:left="993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sym w:font="Wingdings" w:char="F0FB"/>
      </w:r>
      <w:r w:rsidRPr="00A161F7">
        <w:rPr>
          <w:rFonts w:eastAsia="Calibri" w:cstheme="minorHAnsi"/>
          <w:bCs/>
          <w:color w:val="000000" w:themeColor="text1"/>
        </w:rPr>
        <w:tab/>
        <w:t xml:space="preserve">le provisionnement des engagements en matière de pensions, de compléments de </w:t>
      </w:r>
      <w:r w:rsidR="00A161F7">
        <w:rPr>
          <w:rFonts w:eastAsia="Calibri" w:cstheme="minorHAnsi"/>
          <w:bCs/>
          <w:color w:val="000000" w:themeColor="text1"/>
        </w:rPr>
        <w:tab/>
      </w:r>
      <w:r w:rsidRPr="00A161F7">
        <w:rPr>
          <w:rFonts w:eastAsia="Calibri" w:cstheme="minorHAnsi"/>
          <w:bCs/>
          <w:color w:val="000000" w:themeColor="text1"/>
        </w:rPr>
        <w:t>retraite, d’indemnités et versements similaires</w:t>
      </w:r>
    </w:p>
    <w:p w:rsidR="000A765D" w:rsidRDefault="001B4AAE" w:rsidP="000A765D">
      <w:pPr>
        <w:tabs>
          <w:tab w:val="left" w:pos="1418"/>
        </w:tabs>
        <w:spacing w:after="120" w:line="259" w:lineRule="auto"/>
        <w:ind w:left="993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sym w:font="Wingdings" w:char="F0FB"/>
      </w:r>
      <w:r w:rsidRPr="00A161F7">
        <w:rPr>
          <w:rFonts w:eastAsia="Calibri" w:cstheme="minorHAnsi"/>
          <w:bCs/>
          <w:color w:val="000000" w:themeColor="text1"/>
        </w:rPr>
        <w:tab/>
        <w:t xml:space="preserve">la comptabilisation à l’actif des coûts de développement et des frais de création de sites </w:t>
      </w:r>
      <w:r w:rsidRPr="00A161F7">
        <w:rPr>
          <w:rFonts w:eastAsia="Calibri" w:cstheme="minorHAnsi"/>
          <w:bCs/>
          <w:color w:val="000000" w:themeColor="text1"/>
        </w:rPr>
        <w:tab/>
        <w:t>internet</w:t>
      </w:r>
    </w:p>
    <w:p w:rsidR="000A765D" w:rsidRDefault="001B4AAE" w:rsidP="000A765D">
      <w:pPr>
        <w:tabs>
          <w:tab w:val="left" w:pos="1418"/>
        </w:tabs>
        <w:spacing w:after="120" w:line="259" w:lineRule="auto"/>
        <w:ind w:left="993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sym w:font="Wingdings" w:char="F0FB"/>
      </w:r>
      <w:r w:rsidRPr="00A161F7">
        <w:rPr>
          <w:rFonts w:eastAsia="Calibri" w:cstheme="minorHAnsi"/>
          <w:bCs/>
          <w:color w:val="000000" w:themeColor="text1"/>
        </w:rPr>
        <w:tab/>
        <w:t xml:space="preserve">la comptabilisation en charges des frais de constitution, de transformation et de premier </w:t>
      </w:r>
      <w:r w:rsidRPr="00A161F7">
        <w:rPr>
          <w:rFonts w:eastAsia="Calibri" w:cstheme="minorHAnsi"/>
          <w:bCs/>
          <w:color w:val="000000" w:themeColor="text1"/>
        </w:rPr>
        <w:tab/>
        <w:t>établissement</w:t>
      </w:r>
    </w:p>
    <w:p w:rsidR="001B4AAE" w:rsidRPr="00A161F7" w:rsidRDefault="001B4AAE" w:rsidP="000A765D">
      <w:pPr>
        <w:tabs>
          <w:tab w:val="left" w:pos="1418"/>
        </w:tabs>
        <w:spacing w:after="120" w:line="259" w:lineRule="auto"/>
        <w:ind w:left="993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sym w:font="Wingdings" w:char="F0FB"/>
      </w:r>
      <w:r w:rsidRPr="00A161F7">
        <w:rPr>
          <w:rFonts w:eastAsia="Calibri" w:cstheme="minorHAnsi"/>
          <w:bCs/>
          <w:color w:val="000000" w:themeColor="text1"/>
        </w:rPr>
        <w:tab/>
        <w:t xml:space="preserve">la comptabilisation à l’actif des droits de mutation, honoraires ou commissions et frais </w:t>
      </w:r>
      <w:r w:rsidRPr="00A161F7">
        <w:rPr>
          <w:rFonts w:eastAsia="Calibri" w:cstheme="minorHAnsi"/>
          <w:bCs/>
          <w:color w:val="000000" w:themeColor="text1"/>
        </w:rPr>
        <w:tab/>
        <w:t>d’actes liés à l’acquisition d</w:t>
      </w:r>
      <w:r w:rsidR="00531586">
        <w:rPr>
          <w:rFonts w:eastAsia="Calibri" w:cstheme="minorHAnsi"/>
          <w:bCs/>
          <w:color w:val="000000" w:themeColor="text1"/>
        </w:rPr>
        <w:t>’un</w:t>
      </w:r>
      <w:r w:rsidRPr="00A161F7">
        <w:rPr>
          <w:rFonts w:eastAsia="Calibri" w:cstheme="minorHAnsi"/>
          <w:bCs/>
          <w:color w:val="000000" w:themeColor="text1"/>
        </w:rPr>
        <w:t xml:space="preserve"> l’actif</w:t>
      </w:r>
    </w:p>
    <w:p w:rsidR="00A161F7" w:rsidRDefault="00A161F7" w:rsidP="0077054E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531586" w:rsidRDefault="001B4AAE" w:rsidP="0077054E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Le règlement ANC 2020-0</w:t>
      </w:r>
      <w:r w:rsidR="000A765D">
        <w:rPr>
          <w:rFonts w:eastAsia="Calibri" w:cstheme="minorHAnsi"/>
          <w:bCs/>
          <w:color w:val="000000" w:themeColor="text1"/>
        </w:rPr>
        <w:t>1</w:t>
      </w:r>
      <w:r>
        <w:rPr>
          <w:rFonts w:eastAsia="Calibri" w:cstheme="minorHAnsi"/>
          <w:bCs/>
          <w:color w:val="000000" w:themeColor="text1"/>
        </w:rPr>
        <w:t xml:space="preserve"> i</w:t>
      </w:r>
      <w:r w:rsidR="00122DD8">
        <w:rPr>
          <w:rFonts w:eastAsia="Calibri" w:cstheme="minorHAnsi"/>
          <w:bCs/>
          <w:color w:val="000000" w:themeColor="text1"/>
        </w:rPr>
        <w:t>ntrodu</w:t>
      </w:r>
      <w:r w:rsidR="00A161F7">
        <w:rPr>
          <w:rFonts w:eastAsia="Calibri" w:cstheme="minorHAnsi"/>
          <w:bCs/>
          <w:color w:val="000000" w:themeColor="text1"/>
        </w:rPr>
        <w:t xml:space="preserve">itainsi </w:t>
      </w:r>
      <w:r w:rsidR="00122DD8">
        <w:rPr>
          <w:rFonts w:eastAsia="Calibri" w:cstheme="minorHAnsi"/>
          <w:bCs/>
          <w:color w:val="000000" w:themeColor="text1"/>
        </w:rPr>
        <w:t xml:space="preserve">la notion de </w:t>
      </w:r>
      <w:r w:rsidR="00A161F7">
        <w:rPr>
          <w:rFonts w:eastAsia="Calibri" w:cstheme="minorHAnsi"/>
          <w:bCs/>
          <w:color w:val="000000" w:themeColor="text1"/>
        </w:rPr>
        <w:t>« </w:t>
      </w:r>
      <w:r w:rsidR="00122DD8" w:rsidRPr="00A161F7">
        <w:rPr>
          <w:rFonts w:eastAsia="Calibri" w:cstheme="minorHAnsi"/>
          <w:b/>
          <w:color w:val="000000" w:themeColor="text1"/>
        </w:rPr>
        <w:t>mét</w:t>
      </w:r>
      <w:r w:rsidRPr="00A161F7">
        <w:rPr>
          <w:rFonts w:eastAsia="Calibri" w:cstheme="minorHAnsi"/>
          <w:b/>
          <w:color w:val="000000" w:themeColor="text1"/>
        </w:rPr>
        <w:t>h</w:t>
      </w:r>
      <w:r w:rsidR="00122DD8" w:rsidRPr="00A161F7">
        <w:rPr>
          <w:rFonts w:eastAsia="Calibri" w:cstheme="minorHAnsi"/>
          <w:b/>
          <w:color w:val="000000" w:themeColor="text1"/>
        </w:rPr>
        <w:t>odes comptables du groupe</w:t>
      </w:r>
      <w:r w:rsidR="00A161F7">
        <w:rPr>
          <w:rFonts w:eastAsia="Calibri" w:cstheme="minorHAnsi"/>
          <w:b/>
          <w:color w:val="000000" w:themeColor="text1"/>
        </w:rPr>
        <w:t> »</w:t>
      </w:r>
      <w:r w:rsidR="000A765D">
        <w:rPr>
          <w:rFonts w:eastAsia="Calibri" w:cstheme="minorHAnsi"/>
          <w:bCs/>
          <w:color w:val="000000" w:themeColor="text1"/>
        </w:rPr>
        <w:t xml:space="preserve"> (titre VII du règlement).</w:t>
      </w:r>
    </w:p>
    <w:p w:rsidR="00122DD8" w:rsidRDefault="001B4AAE" w:rsidP="0077054E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Celles-ci sont </w:t>
      </w:r>
      <w:r w:rsidR="00122DD8">
        <w:rPr>
          <w:rFonts w:eastAsia="Calibri" w:cstheme="minorHAnsi"/>
          <w:bCs/>
          <w:color w:val="000000" w:themeColor="text1"/>
        </w:rPr>
        <w:t>par principe celles des comptes individuels</w:t>
      </w:r>
      <w:r>
        <w:rPr>
          <w:rFonts w:eastAsia="Calibri" w:cstheme="minorHAnsi"/>
          <w:bCs/>
          <w:color w:val="000000" w:themeColor="text1"/>
        </w:rPr>
        <w:t xml:space="preserve">, sauf en ce qui concerne les </w:t>
      </w:r>
      <w:r w:rsidR="00122DD8">
        <w:rPr>
          <w:rFonts w:eastAsia="Calibri" w:cstheme="minorHAnsi"/>
          <w:bCs/>
          <w:color w:val="000000" w:themeColor="text1"/>
        </w:rPr>
        <w:t xml:space="preserve">méthodes obligatoires et optionnelles </w:t>
      </w:r>
      <w:r>
        <w:rPr>
          <w:rFonts w:eastAsia="Calibri" w:cstheme="minorHAnsi"/>
          <w:bCs/>
          <w:color w:val="000000" w:themeColor="text1"/>
        </w:rPr>
        <w:t xml:space="preserve">explicitement </w:t>
      </w:r>
      <w:r w:rsidR="00122DD8">
        <w:rPr>
          <w:rFonts w:eastAsia="Calibri" w:cstheme="minorHAnsi"/>
          <w:bCs/>
          <w:color w:val="000000" w:themeColor="text1"/>
        </w:rPr>
        <w:t>prévues par les comptes consolidés </w:t>
      </w:r>
      <w:r>
        <w:rPr>
          <w:rFonts w:eastAsia="Calibri" w:cstheme="minorHAnsi"/>
          <w:bCs/>
          <w:color w:val="000000" w:themeColor="text1"/>
        </w:rPr>
        <w:t xml:space="preserve"> (</w:t>
      </w:r>
      <w:r w:rsidR="00122DD8">
        <w:rPr>
          <w:rFonts w:eastAsia="Calibri" w:cstheme="minorHAnsi"/>
          <w:bCs/>
          <w:color w:val="000000" w:themeColor="text1"/>
        </w:rPr>
        <w:t>cf. ci-dessous)</w:t>
      </w:r>
      <w:r w:rsidR="001A553A">
        <w:rPr>
          <w:rFonts w:eastAsia="Calibri" w:cstheme="minorHAnsi"/>
          <w:bCs/>
          <w:color w:val="000000" w:themeColor="text1"/>
        </w:rPr>
        <w:t>.</w:t>
      </w:r>
    </w:p>
    <w:p w:rsidR="0077054E" w:rsidRPr="0077054E" w:rsidRDefault="00A161F7" w:rsidP="0077054E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Les modifications apportées aux normes </w:t>
      </w:r>
      <w:r w:rsidR="000A765D">
        <w:rPr>
          <w:rFonts w:eastAsia="Calibri" w:cstheme="minorHAnsi"/>
          <w:bCs/>
          <w:color w:val="000000" w:themeColor="text1"/>
        </w:rPr>
        <w:t xml:space="preserve">françaises </w:t>
      </w:r>
      <w:r>
        <w:rPr>
          <w:rFonts w:eastAsia="Calibri" w:cstheme="minorHAnsi"/>
          <w:bCs/>
          <w:color w:val="000000" w:themeColor="text1"/>
        </w:rPr>
        <w:t xml:space="preserve">de consolidation par ce nouveau règlement </w:t>
      </w:r>
      <w:r w:rsidRPr="00A161F7">
        <w:rPr>
          <w:rFonts w:eastAsia="Calibri" w:cstheme="minorHAnsi"/>
          <w:b/>
          <w:color w:val="000000" w:themeColor="text1"/>
        </w:rPr>
        <w:t>ne constituent pas une convergences vers les normes internationales IFRS</w:t>
      </w:r>
      <w:r>
        <w:rPr>
          <w:rFonts w:eastAsia="Calibri" w:cstheme="minorHAnsi"/>
          <w:bCs/>
          <w:color w:val="000000" w:themeColor="text1"/>
        </w:rPr>
        <w:t>.</w:t>
      </w:r>
    </w:p>
    <w:p w:rsidR="0077054E" w:rsidRDefault="0077054E" w:rsidP="0077054E">
      <w:pPr>
        <w:rPr>
          <w:rFonts w:eastAsiaTheme="majorEastAsia"/>
          <w:lang w:eastAsia="en-US"/>
        </w:rPr>
      </w:pPr>
    </w:p>
    <w:p w:rsidR="00DA2999" w:rsidRPr="0077054E" w:rsidRDefault="00DA2999" w:rsidP="0077054E">
      <w:pPr>
        <w:rPr>
          <w:rFonts w:eastAsiaTheme="majorEastAsia"/>
          <w:lang w:eastAsia="en-US"/>
        </w:rPr>
      </w:pPr>
    </w:p>
    <w:p w:rsidR="00797FE3" w:rsidRPr="00091E31" w:rsidRDefault="0077054E" w:rsidP="00E35C99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Les méthodes comptables obligatoires</w:t>
      </w:r>
      <w:r w:rsidR="00122DD8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 xml:space="preserve"> dans les comptes consolidés</w:t>
      </w:r>
    </w:p>
    <w:p w:rsidR="004235E6" w:rsidRDefault="00F85052" w:rsidP="0097402C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 xml:space="preserve">Sur les 4 méthodes de référence du PCG, </w:t>
      </w:r>
      <w:r w:rsidRPr="00DA2999">
        <w:rPr>
          <w:rFonts w:eastAsiaTheme="majorEastAsia"/>
          <w:b/>
          <w:bCs/>
          <w:lang w:eastAsia="en-US"/>
        </w:rPr>
        <w:t xml:space="preserve">3 </w:t>
      </w:r>
      <w:r w:rsidR="00DA2999" w:rsidRPr="00DA2999">
        <w:rPr>
          <w:rFonts w:eastAsiaTheme="majorEastAsia"/>
          <w:b/>
          <w:bCs/>
          <w:lang w:eastAsia="en-US"/>
        </w:rPr>
        <w:t>méthodes</w:t>
      </w:r>
      <w:r>
        <w:rPr>
          <w:rFonts w:eastAsiaTheme="majorEastAsia"/>
          <w:lang w:eastAsia="en-US"/>
        </w:rPr>
        <w:t xml:space="preserve">sont dorénavant </w:t>
      </w:r>
      <w:r w:rsidRPr="00DA2999">
        <w:rPr>
          <w:rFonts w:eastAsiaTheme="majorEastAsia"/>
          <w:b/>
          <w:bCs/>
          <w:lang w:eastAsia="en-US"/>
        </w:rPr>
        <w:t>obligatoires</w:t>
      </w:r>
      <w:r>
        <w:rPr>
          <w:rFonts w:eastAsiaTheme="majorEastAsia"/>
          <w:lang w:eastAsia="en-US"/>
        </w:rPr>
        <w:t xml:space="preserve"> pour les comptes consolidés :</w:t>
      </w:r>
    </w:p>
    <w:p w:rsidR="004235E6" w:rsidRDefault="004235E6" w:rsidP="0097402C">
      <w:pPr>
        <w:rPr>
          <w:rFonts w:eastAsiaTheme="majorEastAsia"/>
          <w:lang w:eastAsia="en-US"/>
        </w:rPr>
      </w:pPr>
    </w:p>
    <w:p w:rsidR="00F85052" w:rsidRDefault="00F85052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t xml:space="preserve">la comptabilisation à l’actif des </w:t>
      </w:r>
      <w:r w:rsidRPr="00DA2999">
        <w:rPr>
          <w:rFonts w:eastAsia="Calibri" w:cstheme="minorHAnsi"/>
          <w:b/>
          <w:color w:val="000000" w:themeColor="text1"/>
        </w:rPr>
        <w:t>coûts de développement</w:t>
      </w:r>
      <w:r w:rsidRPr="00A161F7">
        <w:rPr>
          <w:rFonts w:eastAsia="Calibri" w:cstheme="minorHAnsi"/>
          <w:bCs/>
          <w:color w:val="000000" w:themeColor="text1"/>
        </w:rPr>
        <w:t xml:space="preserve"> et des frais de création de </w:t>
      </w:r>
      <w:r w:rsidRPr="00DA2999">
        <w:rPr>
          <w:rFonts w:eastAsia="Calibri" w:cstheme="minorHAnsi"/>
          <w:b/>
          <w:color w:val="000000" w:themeColor="text1"/>
        </w:rPr>
        <w:t>sites internet</w:t>
      </w:r>
    </w:p>
    <w:p w:rsidR="00F85052" w:rsidRDefault="00F85052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t xml:space="preserve">la comptabilisation en charges des </w:t>
      </w:r>
      <w:r w:rsidRPr="00DA2999">
        <w:rPr>
          <w:rFonts w:eastAsia="Calibri" w:cstheme="minorHAnsi"/>
          <w:b/>
          <w:color w:val="000000" w:themeColor="text1"/>
        </w:rPr>
        <w:t>frais de constitution</w:t>
      </w:r>
      <w:r w:rsidRPr="00A161F7">
        <w:rPr>
          <w:rFonts w:eastAsia="Calibri" w:cstheme="minorHAnsi"/>
          <w:bCs/>
          <w:color w:val="000000" w:themeColor="text1"/>
        </w:rPr>
        <w:t>, de transformation et de premier établissement</w:t>
      </w:r>
    </w:p>
    <w:p w:rsidR="00F85052" w:rsidRPr="00A161F7" w:rsidRDefault="00F85052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t xml:space="preserve">la comptabilisation à l’actif des </w:t>
      </w:r>
      <w:r w:rsidRPr="00DA2999">
        <w:rPr>
          <w:rFonts w:eastAsia="Calibri" w:cstheme="minorHAnsi"/>
          <w:b/>
          <w:color w:val="000000" w:themeColor="text1"/>
        </w:rPr>
        <w:t>droits de mutation, honoraires ou commissions et frais d’actes</w:t>
      </w:r>
      <w:r w:rsidRPr="00A161F7">
        <w:rPr>
          <w:rFonts w:eastAsia="Calibri" w:cstheme="minorHAnsi"/>
          <w:bCs/>
          <w:color w:val="000000" w:themeColor="text1"/>
        </w:rPr>
        <w:t xml:space="preserve"> liés à l’acquisition d</w:t>
      </w:r>
      <w:r w:rsidR="00531586">
        <w:rPr>
          <w:rFonts w:eastAsia="Calibri" w:cstheme="minorHAnsi"/>
          <w:bCs/>
          <w:color w:val="000000" w:themeColor="text1"/>
        </w:rPr>
        <w:t xml:space="preserve">’un </w:t>
      </w:r>
      <w:r w:rsidRPr="00A161F7">
        <w:rPr>
          <w:rFonts w:eastAsia="Calibri" w:cstheme="minorHAnsi"/>
          <w:bCs/>
          <w:color w:val="000000" w:themeColor="text1"/>
        </w:rPr>
        <w:t>actif</w:t>
      </w:r>
    </w:p>
    <w:p w:rsidR="00DA2999" w:rsidRDefault="00DA2999">
      <w:pPr>
        <w:jc w:val="left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br w:type="page"/>
      </w:r>
    </w:p>
    <w:p w:rsidR="004235E6" w:rsidRDefault="00F85052" w:rsidP="0097402C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lastRenderedPageBreak/>
        <w:t>Sont également obligatoires :</w:t>
      </w:r>
    </w:p>
    <w:p w:rsidR="004235E6" w:rsidRDefault="004235E6" w:rsidP="0097402C">
      <w:pPr>
        <w:rPr>
          <w:rFonts w:eastAsiaTheme="majorEastAsia"/>
          <w:lang w:eastAsia="en-US"/>
        </w:rPr>
      </w:pPr>
    </w:p>
    <w:p w:rsidR="00F85052" w:rsidRPr="007A5544" w:rsidRDefault="007A5544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 w:rsidRPr="007A5544">
        <w:rPr>
          <w:rFonts w:eastAsia="Calibri" w:cstheme="minorHAnsi"/>
          <w:bCs/>
          <w:color w:val="000000" w:themeColor="text1"/>
        </w:rPr>
        <w:t>l</w:t>
      </w:r>
      <w:r w:rsidR="00F85052" w:rsidRPr="007A5544">
        <w:rPr>
          <w:rFonts w:eastAsia="Calibri" w:cstheme="minorHAnsi"/>
          <w:bCs/>
          <w:color w:val="000000" w:themeColor="text1"/>
        </w:rPr>
        <w:t>’insc</w:t>
      </w:r>
      <w:r w:rsidRPr="007A5544">
        <w:rPr>
          <w:rFonts w:eastAsia="Calibri" w:cstheme="minorHAnsi"/>
          <w:bCs/>
          <w:color w:val="000000" w:themeColor="text1"/>
        </w:rPr>
        <w:t>r</w:t>
      </w:r>
      <w:r w:rsidR="00F85052" w:rsidRPr="007A5544">
        <w:rPr>
          <w:rFonts w:eastAsia="Calibri" w:cstheme="minorHAnsi"/>
          <w:bCs/>
          <w:color w:val="000000" w:themeColor="text1"/>
        </w:rPr>
        <w:t xml:space="preserve">iption à l’actif </w:t>
      </w:r>
      <w:r w:rsidRPr="007A5544">
        <w:rPr>
          <w:rFonts w:eastAsia="Calibri" w:cstheme="minorHAnsi"/>
          <w:bCs/>
          <w:color w:val="000000" w:themeColor="text1"/>
        </w:rPr>
        <w:t xml:space="preserve">des contrats de </w:t>
      </w:r>
      <w:r w:rsidRPr="00DA2999">
        <w:rPr>
          <w:rFonts w:eastAsia="Calibri" w:cstheme="minorHAnsi"/>
          <w:b/>
          <w:color w:val="000000" w:themeColor="text1"/>
        </w:rPr>
        <w:t>crédit-bail</w:t>
      </w:r>
      <w:r w:rsidRPr="007A5544">
        <w:rPr>
          <w:rFonts w:eastAsia="Calibri" w:cstheme="minorHAnsi"/>
          <w:bCs/>
          <w:color w:val="000000" w:themeColor="text1"/>
        </w:rPr>
        <w:t xml:space="preserve"> avec </w:t>
      </w:r>
      <w:r>
        <w:rPr>
          <w:rFonts w:eastAsia="Calibri" w:cstheme="minorHAnsi"/>
          <w:bCs/>
          <w:color w:val="000000" w:themeColor="text1"/>
        </w:rPr>
        <w:t xml:space="preserve">l’emprunt correspondant </w:t>
      </w:r>
      <w:r w:rsidR="00531586">
        <w:rPr>
          <w:rFonts w:eastAsia="Calibri" w:cstheme="minorHAnsi"/>
          <w:bCs/>
          <w:color w:val="000000" w:themeColor="text1"/>
        </w:rPr>
        <w:t xml:space="preserve">au passif </w:t>
      </w:r>
      <w:r>
        <w:rPr>
          <w:rFonts w:eastAsia="Calibri" w:cstheme="minorHAnsi"/>
          <w:bCs/>
          <w:color w:val="000000" w:themeColor="text1"/>
        </w:rPr>
        <w:t xml:space="preserve">et </w:t>
      </w:r>
      <w:r w:rsidRPr="00CC3BEC">
        <w:t>enregistrement d’une dotation aux amortissements et d’une charge financière</w:t>
      </w:r>
      <w:r>
        <w:t xml:space="preserve"> au compte de résultat (</w:t>
      </w:r>
      <w:r w:rsidR="000A765D">
        <w:t xml:space="preserve">méthode préférentielle avec l’ancien règlement CRC 99-02 ; </w:t>
      </w:r>
      <w:r>
        <w:t>méthode non autorisée pour les comptes individuels</w:t>
      </w:r>
      <w:r w:rsidR="001A553A">
        <w:t>)</w:t>
      </w:r>
    </w:p>
    <w:p w:rsidR="007A5544" w:rsidRDefault="007A5544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 w:rsidRPr="007A5544">
        <w:rPr>
          <w:rFonts w:eastAsia="Calibri" w:cstheme="minorHAnsi"/>
          <w:bCs/>
          <w:color w:val="000000" w:themeColor="text1"/>
        </w:rPr>
        <w:t xml:space="preserve">l’étalement des </w:t>
      </w:r>
      <w:r w:rsidRPr="00DA2999">
        <w:rPr>
          <w:rFonts w:eastAsia="Calibri" w:cstheme="minorHAnsi"/>
          <w:b/>
          <w:color w:val="000000" w:themeColor="text1"/>
        </w:rPr>
        <w:t>frais d’émission</w:t>
      </w:r>
      <w:r w:rsidRPr="007A5544">
        <w:rPr>
          <w:rFonts w:eastAsia="Calibri" w:cstheme="minorHAnsi"/>
          <w:bCs/>
          <w:color w:val="000000" w:themeColor="text1"/>
        </w:rPr>
        <w:t xml:space="preserve"> et des primes de remboursement sur la durée de vie </w:t>
      </w:r>
      <w:r w:rsidRPr="00DA2999">
        <w:rPr>
          <w:rFonts w:eastAsia="Calibri" w:cstheme="minorHAnsi"/>
          <w:b/>
          <w:color w:val="000000" w:themeColor="text1"/>
        </w:rPr>
        <w:t>des emprunts</w:t>
      </w:r>
      <w:r>
        <w:rPr>
          <w:rFonts w:eastAsia="Calibri" w:cstheme="minorHAnsi"/>
          <w:bCs/>
          <w:color w:val="000000" w:themeColor="text1"/>
        </w:rPr>
        <w:t> (</w:t>
      </w:r>
      <w:r w:rsidR="000A765D">
        <w:t>méthode préférentielle avec l’ancien règlement CRC 99-02 ;</w:t>
      </w:r>
      <w:r>
        <w:rPr>
          <w:rFonts w:eastAsia="Calibri" w:cstheme="minorHAnsi"/>
          <w:bCs/>
          <w:color w:val="000000" w:themeColor="text1"/>
        </w:rPr>
        <w:t>les frais d’émission des emprunts peuvent être comptabilisés en charges pour les comptes individuels)</w:t>
      </w:r>
    </w:p>
    <w:p w:rsidR="00DA2999" w:rsidRDefault="00DA2999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 xml:space="preserve">l’imputation des </w:t>
      </w:r>
      <w:r w:rsidRPr="00DA2999">
        <w:rPr>
          <w:rFonts w:eastAsia="Calibri" w:cstheme="minorHAnsi"/>
          <w:b/>
          <w:color w:val="000000" w:themeColor="text1"/>
        </w:rPr>
        <w:t>frais d’augmentation de capital</w:t>
      </w:r>
      <w:r>
        <w:rPr>
          <w:rFonts w:eastAsia="Calibri" w:cstheme="minorHAnsi"/>
          <w:bCs/>
          <w:color w:val="000000" w:themeColor="text1"/>
        </w:rPr>
        <w:t xml:space="preserve"> sur les primes d’émission (option pour les comptes individuels avec </w:t>
      </w:r>
      <w:r w:rsidR="00531586">
        <w:rPr>
          <w:rFonts w:eastAsia="Calibri" w:cstheme="minorHAnsi"/>
          <w:bCs/>
          <w:color w:val="000000" w:themeColor="text1"/>
        </w:rPr>
        <w:t xml:space="preserve">également </w:t>
      </w:r>
      <w:r>
        <w:rPr>
          <w:rFonts w:eastAsia="Calibri" w:cstheme="minorHAnsi"/>
          <w:bCs/>
          <w:color w:val="000000" w:themeColor="text1"/>
        </w:rPr>
        <w:t>l’inscription à l’actif ou en charges)</w:t>
      </w:r>
    </w:p>
    <w:p w:rsidR="007A5544" w:rsidRPr="007A5544" w:rsidRDefault="007A5544" w:rsidP="007A5544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la constatation d’</w:t>
      </w:r>
      <w:r w:rsidRPr="00DA2999">
        <w:rPr>
          <w:rFonts w:eastAsia="Calibri" w:cstheme="minorHAnsi"/>
          <w:b/>
          <w:color w:val="000000" w:themeColor="text1"/>
        </w:rPr>
        <w:t xml:space="preserve">impôts différés </w:t>
      </w:r>
      <w:r>
        <w:rPr>
          <w:rFonts w:eastAsia="Calibri" w:cstheme="minorHAnsi"/>
          <w:bCs/>
          <w:color w:val="000000" w:themeColor="text1"/>
        </w:rPr>
        <w:t>actifs et passifs (non autorisé pour les comptes individuels)</w:t>
      </w:r>
    </w:p>
    <w:p w:rsidR="007A5544" w:rsidRDefault="007A5544" w:rsidP="0097402C">
      <w:pPr>
        <w:rPr>
          <w:rFonts w:eastAsiaTheme="majorEastAsia"/>
          <w:lang w:eastAsia="en-US"/>
        </w:rPr>
      </w:pPr>
    </w:p>
    <w:p w:rsidR="00DA2999" w:rsidRDefault="00DA2999" w:rsidP="0097402C">
      <w:pPr>
        <w:rPr>
          <w:rFonts w:eastAsiaTheme="majorEastAsia"/>
          <w:lang w:eastAsia="en-US"/>
        </w:rPr>
      </w:pPr>
    </w:p>
    <w:p w:rsidR="0077054E" w:rsidRPr="00122DD8" w:rsidRDefault="00122DD8" w:rsidP="00E35C99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 w:rsidRPr="00122DD8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Les options comptables</w:t>
      </w:r>
      <w:r w:rsidR="00DA2999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 xml:space="preserve"> dans les comptes consolidés</w:t>
      </w:r>
    </w:p>
    <w:p w:rsidR="0077551F" w:rsidRPr="0077551F" w:rsidRDefault="0077551F" w:rsidP="0077551F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D</w:t>
      </w:r>
      <w:r w:rsidRPr="0077551F">
        <w:rPr>
          <w:rFonts w:eastAsiaTheme="majorEastAsia"/>
          <w:lang w:eastAsia="en-US"/>
        </w:rPr>
        <w:t>es options comptables existent pour les comptes consolidés français :</w:t>
      </w:r>
    </w:p>
    <w:p w:rsidR="0077054E" w:rsidRDefault="0077054E" w:rsidP="0097402C">
      <w:pPr>
        <w:rPr>
          <w:rFonts w:eastAsiaTheme="majorEastAsia"/>
          <w:lang w:eastAsia="en-US"/>
        </w:rPr>
      </w:pPr>
    </w:p>
    <w:p w:rsidR="0077551F" w:rsidRDefault="00531586" w:rsidP="00AB25E5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e</w:t>
      </w:r>
      <w:r w:rsidR="0077551F" w:rsidRPr="00191E27">
        <w:rPr>
          <w:rFonts w:eastAsia="Calibri" w:cstheme="minorHAnsi"/>
          <w:b/>
          <w:color w:val="000000" w:themeColor="text1"/>
        </w:rPr>
        <w:t>ngagements de retraite</w:t>
      </w:r>
      <w:r w:rsidR="0077551F">
        <w:rPr>
          <w:rFonts w:eastAsia="Calibri" w:cstheme="minorHAnsi"/>
          <w:bCs/>
          <w:color w:val="000000" w:themeColor="text1"/>
        </w:rPr>
        <w:t> :</w:t>
      </w:r>
    </w:p>
    <w:p w:rsidR="0077551F" w:rsidRDefault="0077551F" w:rsidP="0077551F">
      <w:pPr>
        <w:tabs>
          <w:tab w:val="left" w:pos="1418"/>
        </w:tabs>
        <w:spacing w:after="120" w:line="259" w:lineRule="auto"/>
        <w:ind w:left="993"/>
        <w:jc w:val="left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sym w:font="Wingdings" w:char="F0FB"/>
      </w:r>
      <w:r w:rsidRPr="00A161F7"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>in</w:t>
      </w:r>
      <w:r w:rsidRPr="0077551F">
        <w:rPr>
          <w:rFonts w:eastAsia="Calibri" w:cstheme="minorHAnsi"/>
          <w:bCs/>
          <w:color w:val="000000" w:themeColor="text1"/>
        </w:rPr>
        <w:t>scri</w:t>
      </w:r>
      <w:r>
        <w:rPr>
          <w:rFonts w:eastAsia="Calibri" w:cstheme="minorHAnsi"/>
          <w:bCs/>
          <w:color w:val="000000" w:themeColor="text1"/>
        </w:rPr>
        <w:t xml:space="preserve">ption </w:t>
      </w:r>
      <w:r w:rsidRPr="0077551F">
        <w:rPr>
          <w:rFonts w:eastAsia="Calibri" w:cstheme="minorHAnsi"/>
          <w:bCs/>
          <w:color w:val="000000" w:themeColor="text1"/>
        </w:rPr>
        <w:t xml:space="preserve">en provision </w:t>
      </w:r>
      <w:r w:rsidR="000A765D">
        <w:rPr>
          <w:rFonts w:eastAsia="Calibri" w:cstheme="minorHAnsi"/>
          <w:bCs/>
          <w:color w:val="000000" w:themeColor="text1"/>
        </w:rPr>
        <w:t xml:space="preserve">totale </w:t>
      </w:r>
      <w:r w:rsidRPr="0077551F">
        <w:rPr>
          <w:rFonts w:eastAsia="Calibri" w:cstheme="minorHAnsi"/>
          <w:bCs/>
          <w:color w:val="000000" w:themeColor="text1"/>
        </w:rPr>
        <w:t>(</w:t>
      </w:r>
      <w:r w:rsidR="00122DD8" w:rsidRPr="0077551F">
        <w:rPr>
          <w:rFonts w:eastAsia="Calibri" w:cstheme="minorHAnsi"/>
          <w:bCs/>
          <w:color w:val="000000" w:themeColor="text1"/>
        </w:rPr>
        <w:t>méthode de référence</w:t>
      </w:r>
      <w:r w:rsidRPr="0077551F">
        <w:rPr>
          <w:rFonts w:eastAsia="Calibri" w:cstheme="minorHAnsi"/>
          <w:bCs/>
          <w:color w:val="000000" w:themeColor="text1"/>
        </w:rPr>
        <w:t>)</w:t>
      </w:r>
      <w:r w:rsidR="000A765D">
        <w:rPr>
          <w:rFonts w:eastAsia="Calibri" w:cstheme="minorHAnsi"/>
          <w:bCs/>
          <w:color w:val="000000" w:themeColor="text1"/>
        </w:rPr>
        <w:t xml:space="preserve"> ou partielle</w:t>
      </w:r>
    </w:p>
    <w:p w:rsidR="0077054E" w:rsidRPr="0077551F" w:rsidRDefault="0077551F" w:rsidP="0077551F">
      <w:pPr>
        <w:tabs>
          <w:tab w:val="left" w:pos="1418"/>
        </w:tabs>
        <w:spacing w:after="120" w:line="259" w:lineRule="auto"/>
        <w:ind w:left="993"/>
        <w:jc w:val="left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sym w:font="Wingdings" w:char="F0FB"/>
      </w:r>
      <w:r w:rsidRPr="00A161F7">
        <w:rPr>
          <w:rFonts w:eastAsia="Calibri" w:cstheme="minorHAnsi"/>
          <w:bCs/>
          <w:color w:val="000000" w:themeColor="text1"/>
        </w:rPr>
        <w:tab/>
      </w:r>
      <w:r w:rsidRPr="0077551F">
        <w:rPr>
          <w:rFonts w:eastAsia="Calibri" w:cstheme="minorHAnsi"/>
          <w:bCs/>
          <w:color w:val="000000" w:themeColor="text1"/>
        </w:rPr>
        <w:t>simple</w:t>
      </w:r>
      <w:r>
        <w:rPr>
          <w:rFonts w:eastAsia="Calibri" w:cstheme="minorHAnsi"/>
          <w:bCs/>
          <w:color w:val="000000" w:themeColor="text1"/>
        </w:rPr>
        <w:t xml:space="preserve"> mention en annexe</w:t>
      </w:r>
    </w:p>
    <w:p w:rsidR="0077551F" w:rsidRDefault="00531586" w:rsidP="0077551F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c</w:t>
      </w:r>
      <w:r w:rsidR="00122DD8" w:rsidRPr="00191E27">
        <w:rPr>
          <w:rFonts w:eastAsia="Calibri" w:cstheme="minorHAnsi"/>
          <w:b/>
          <w:color w:val="000000" w:themeColor="text1"/>
        </w:rPr>
        <w:t>ontrat long terme</w:t>
      </w:r>
      <w:r w:rsidR="00122DD8" w:rsidRPr="0077551F">
        <w:rPr>
          <w:rFonts w:eastAsia="Calibri" w:cstheme="minorHAnsi"/>
          <w:bCs/>
          <w:color w:val="000000" w:themeColor="text1"/>
        </w:rPr>
        <w:t xml:space="preserve"> : </w:t>
      </w:r>
    </w:p>
    <w:p w:rsidR="00122DD8" w:rsidRDefault="0077551F" w:rsidP="0077551F">
      <w:pPr>
        <w:tabs>
          <w:tab w:val="left" w:pos="1418"/>
        </w:tabs>
        <w:spacing w:after="120" w:line="259" w:lineRule="auto"/>
        <w:ind w:left="993"/>
        <w:jc w:val="left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sym w:font="Wingdings" w:char="F0FB"/>
      </w:r>
      <w:r w:rsidRPr="00A161F7">
        <w:rPr>
          <w:rFonts w:eastAsia="Calibri" w:cstheme="minorHAnsi"/>
          <w:bCs/>
          <w:color w:val="000000" w:themeColor="text1"/>
        </w:rPr>
        <w:tab/>
      </w:r>
      <w:r w:rsidR="00122DD8" w:rsidRPr="0077551F">
        <w:rPr>
          <w:rFonts w:eastAsia="Calibri" w:cstheme="minorHAnsi"/>
          <w:bCs/>
          <w:color w:val="000000" w:themeColor="text1"/>
        </w:rPr>
        <w:t>pas de méthode de référence</w:t>
      </w:r>
    </w:p>
    <w:p w:rsidR="0077551F" w:rsidRPr="0077551F" w:rsidRDefault="0077551F" w:rsidP="0077551F">
      <w:pPr>
        <w:tabs>
          <w:tab w:val="left" w:pos="1418"/>
        </w:tabs>
        <w:spacing w:after="120" w:line="259" w:lineRule="auto"/>
        <w:ind w:left="993"/>
        <w:jc w:val="left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sym w:font="Wingdings" w:char="F0FB"/>
      </w:r>
      <w:r w:rsidRPr="00A161F7">
        <w:rPr>
          <w:rFonts w:eastAsia="Calibri" w:cstheme="minorHAnsi"/>
          <w:bCs/>
          <w:color w:val="000000" w:themeColor="text1"/>
        </w:rPr>
        <w:tab/>
      </w:r>
      <w:r>
        <w:rPr>
          <w:rFonts w:eastAsia="Calibri" w:cstheme="minorHAnsi"/>
          <w:bCs/>
          <w:color w:val="000000" w:themeColor="text1"/>
        </w:rPr>
        <w:t>comme dans les comptes individuels : à l’achèvement / à l’avancement</w:t>
      </w:r>
    </w:p>
    <w:p w:rsidR="00122DD8" w:rsidRPr="0077551F" w:rsidRDefault="00122DD8" w:rsidP="0077551F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 w:rsidRPr="00191E27">
        <w:rPr>
          <w:rFonts w:eastAsia="Calibri" w:cstheme="minorHAnsi"/>
          <w:b/>
          <w:color w:val="000000" w:themeColor="text1"/>
        </w:rPr>
        <w:t>LIFO</w:t>
      </w:r>
      <w:r w:rsidRPr="0077551F">
        <w:rPr>
          <w:rFonts w:eastAsia="Calibri" w:cstheme="minorHAnsi"/>
          <w:bCs/>
          <w:color w:val="000000" w:themeColor="text1"/>
        </w:rPr>
        <w:t xml:space="preserve"> possibl</w:t>
      </w:r>
      <w:r w:rsidR="009A558B" w:rsidRPr="0077551F">
        <w:rPr>
          <w:rFonts w:eastAsia="Calibri" w:cstheme="minorHAnsi"/>
          <w:bCs/>
          <w:color w:val="000000" w:themeColor="text1"/>
        </w:rPr>
        <w:t>e</w:t>
      </w:r>
      <w:r w:rsidRPr="0077551F">
        <w:rPr>
          <w:rFonts w:eastAsia="Calibri" w:cstheme="minorHAnsi"/>
          <w:bCs/>
          <w:color w:val="000000" w:themeColor="text1"/>
        </w:rPr>
        <w:t xml:space="preserve"> pour les éléments fongibles de l’actif circulant</w:t>
      </w:r>
      <w:r w:rsidR="0077551F">
        <w:rPr>
          <w:rFonts w:eastAsia="Calibri" w:cstheme="minorHAnsi"/>
          <w:bCs/>
          <w:color w:val="000000" w:themeColor="text1"/>
        </w:rPr>
        <w:t xml:space="preserve"> (non autorisé pour les comptes individuels)</w:t>
      </w:r>
    </w:p>
    <w:p w:rsidR="00122DD8" w:rsidRDefault="00122DD8" w:rsidP="0097402C">
      <w:pPr>
        <w:rPr>
          <w:rFonts w:eastAsiaTheme="majorEastAsia"/>
          <w:lang w:eastAsia="en-US"/>
        </w:rPr>
      </w:pPr>
    </w:p>
    <w:p w:rsidR="0077551F" w:rsidRDefault="0077551F" w:rsidP="0097402C">
      <w:pPr>
        <w:rPr>
          <w:rFonts w:eastAsiaTheme="majorEastAsia"/>
          <w:lang w:eastAsia="en-US"/>
        </w:rPr>
      </w:pPr>
    </w:p>
    <w:p w:rsidR="00F22770" w:rsidRDefault="00F22770" w:rsidP="0097402C">
      <w:pPr>
        <w:rPr>
          <w:rFonts w:eastAsia="Calibri" w:cstheme="minorHAnsi"/>
          <w:bCs/>
          <w:color w:val="000000" w:themeColor="text1"/>
        </w:rPr>
      </w:pPr>
      <w:r>
        <w:rPr>
          <w:rFonts w:eastAsiaTheme="majorEastAsia"/>
          <w:lang w:eastAsia="en-US"/>
        </w:rPr>
        <w:t xml:space="preserve">Le nouveau règlement </w:t>
      </w:r>
      <w:r>
        <w:rPr>
          <w:rFonts w:eastAsia="Calibri" w:cstheme="minorHAnsi"/>
          <w:bCs/>
          <w:color w:val="000000" w:themeColor="text1"/>
        </w:rPr>
        <w:t>ANC 2020-0</w:t>
      </w:r>
      <w:r w:rsidR="00E35C99">
        <w:rPr>
          <w:rFonts w:eastAsia="Calibri" w:cstheme="minorHAnsi"/>
          <w:bCs/>
          <w:color w:val="000000" w:themeColor="text1"/>
        </w:rPr>
        <w:t>1</w:t>
      </w:r>
      <w:r w:rsidRPr="00191E27">
        <w:rPr>
          <w:rFonts w:eastAsia="Calibri" w:cstheme="minorHAnsi"/>
          <w:b/>
          <w:color w:val="000000" w:themeColor="text1"/>
        </w:rPr>
        <w:t>supprimeles options</w:t>
      </w:r>
      <w:r>
        <w:rPr>
          <w:rFonts w:eastAsia="Calibri" w:cstheme="minorHAnsi"/>
          <w:bCs/>
          <w:color w:val="000000" w:themeColor="text1"/>
        </w:rPr>
        <w:t xml:space="preserve"> suivantes :</w:t>
      </w:r>
    </w:p>
    <w:p w:rsidR="00F22770" w:rsidRDefault="00F22770" w:rsidP="0097402C">
      <w:pPr>
        <w:rPr>
          <w:rFonts w:eastAsia="Calibri" w:cstheme="minorHAnsi"/>
          <w:bCs/>
          <w:color w:val="000000" w:themeColor="text1"/>
        </w:rPr>
      </w:pPr>
    </w:p>
    <w:p w:rsidR="00122DD8" w:rsidRDefault="00531586" w:rsidP="00F22770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l’</w:t>
      </w:r>
      <w:r w:rsidR="00F22770">
        <w:rPr>
          <w:rFonts w:eastAsia="Calibri" w:cstheme="minorHAnsi"/>
          <w:bCs/>
          <w:color w:val="000000" w:themeColor="text1"/>
        </w:rPr>
        <w:t xml:space="preserve">inscription des contrats de </w:t>
      </w:r>
      <w:r w:rsidR="00F22770" w:rsidRPr="00191E27">
        <w:rPr>
          <w:rFonts w:eastAsia="Calibri" w:cstheme="minorHAnsi"/>
          <w:b/>
          <w:color w:val="000000" w:themeColor="text1"/>
        </w:rPr>
        <w:t>c</w:t>
      </w:r>
      <w:r w:rsidR="00122DD8" w:rsidRPr="00191E27">
        <w:rPr>
          <w:rFonts w:eastAsia="Calibri" w:cstheme="minorHAnsi"/>
          <w:b/>
          <w:color w:val="000000" w:themeColor="text1"/>
        </w:rPr>
        <w:t>rédit</w:t>
      </w:r>
      <w:r w:rsidR="00F22770" w:rsidRPr="00191E27">
        <w:rPr>
          <w:rFonts w:eastAsia="Calibri" w:cstheme="minorHAnsi"/>
          <w:b/>
          <w:color w:val="000000" w:themeColor="text1"/>
        </w:rPr>
        <w:t>-</w:t>
      </w:r>
      <w:r w:rsidR="00122DD8" w:rsidRPr="00191E27">
        <w:rPr>
          <w:rFonts w:eastAsia="Calibri" w:cstheme="minorHAnsi"/>
          <w:b/>
          <w:color w:val="000000" w:themeColor="text1"/>
        </w:rPr>
        <w:t>bail</w:t>
      </w:r>
      <w:r w:rsidR="00F22770">
        <w:rPr>
          <w:rFonts w:eastAsia="Calibri" w:cstheme="minorHAnsi"/>
          <w:bCs/>
          <w:color w:val="000000" w:themeColor="text1"/>
        </w:rPr>
        <w:t xml:space="preserve"> à l’actif devient obligatoire alors qu’elle était jusque-là une méthode préférentielle</w:t>
      </w:r>
    </w:p>
    <w:p w:rsidR="00F22770" w:rsidRDefault="00531586" w:rsidP="00F22770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i</w:t>
      </w:r>
      <w:r w:rsidR="00F22770">
        <w:rPr>
          <w:rFonts w:eastAsia="Calibri" w:cstheme="minorHAnsi"/>
          <w:bCs/>
          <w:color w:val="000000" w:themeColor="text1"/>
        </w:rPr>
        <w:t xml:space="preserve">l n’est plus possible d’enregistrer dans le compte de résultat les </w:t>
      </w:r>
      <w:r w:rsidR="00F22770" w:rsidRPr="00191E27">
        <w:rPr>
          <w:rFonts w:eastAsia="Calibri" w:cstheme="minorHAnsi"/>
          <w:b/>
          <w:color w:val="000000" w:themeColor="text1"/>
        </w:rPr>
        <w:t>écarts de conversion</w:t>
      </w:r>
      <w:r w:rsidR="00F22770">
        <w:rPr>
          <w:rFonts w:eastAsia="Calibri" w:cstheme="minorHAnsi"/>
          <w:bCs/>
          <w:color w:val="000000" w:themeColor="text1"/>
        </w:rPr>
        <w:t xml:space="preserve"> sur les dettes et créances en devises qui était</w:t>
      </w:r>
      <w:r>
        <w:rPr>
          <w:rFonts w:eastAsia="Calibri" w:cstheme="minorHAnsi"/>
          <w:bCs/>
          <w:color w:val="000000" w:themeColor="text1"/>
        </w:rPr>
        <w:t>,</w:t>
      </w:r>
      <w:r w:rsidR="00F22770">
        <w:rPr>
          <w:rFonts w:eastAsia="Calibri" w:cstheme="minorHAnsi"/>
          <w:bCs/>
          <w:color w:val="000000" w:themeColor="text1"/>
        </w:rPr>
        <w:t xml:space="preserve"> jusque-là</w:t>
      </w:r>
      <w:r>
        <w:rPr>
          <w:rFonts w:eastAsia="Calibri" w:cstheme="minorHAnsi"/>
          <w:bCs/>
          <w:color w:val="000000" w:themeColor="text1"/>
        </w:rPr>
        <w:t>,</w:t>
      </w:r>
      <w:r w:rsidR="00F22770">
        <w:rPr>
          <w:rFonts w:eastAsia="Calibri" w:cstheme="minorHAnsi"/>
          <w:bCs/>
          <w:color w:val="000000" w:themeColor="text1"/>
        </w:rPr>
        <w:t xml:space="preserve"> une méthode préférentielle ;</w:t>
      </w:r>
      <w:r w:rsidR="00F22770">
        <w:rPr>
          <w:rFonts w:eastAsia="Calibri" w:cstheme="minorHAnsi"/>
          <w:bCs/>
          <w:color w:val="000000" w:themeColor="text1"/>
        </w:rPr>
        <w:br/>
      </w:r>
      <w:r>
        <w:rPr>
          <w:rFonts w:eastAsia="Calibri" w:cstheme="minorHAnsi"/>
          <w:bCs/>
          <w:color w:val="000000" w:themeColor="text1"/>
        </w:rPr>
        <w:t>l</w:t>
      </w:r>
      <w:r w:rsidR="00F22770">
        <w:rPr>
          <w:rFonts w:eastAsia="Calibri" w:cstheme="minorHAnsi"/>
          <w:bCs/>
          <w:color w:val="000000" w:themeColor="text1"/>
        </w:rPr>
        <w:t>es comptes consolidés français sont, sur ce point, conformes aux comptes individuels</w:t>
      </w:r>
      <w:r>
        <w:rPr>
          <w:rFonts w:eastAsia="Calibri" w:cstheme="minorHAnsi"/>
          <w:bCs/>
          <w:color w:val="000000" w:themeColor="text1"/>
        </w:rPr>
        <w:t>,</w:t>
      </w:r>
      <w:r w:rsidR="00F22770">
        <w:rPr>
          <w:rFonts w:eastAsia="Calibri" w:cstheme="minorHAnsi"/>
          <w:bCs/>
          <w:color w:val="000000" w:themeColor="text1"/>
        </w:rPr>
        <w:t xml:space="preserve"> à savoir, l’enregistrement des </w:t>
      </w:r>
      <w:r w:rsidR="00F22770" w:rsidRPr="00F22770">
        <w:rPr>
          <w:rFonts w:eastAsia="Calibri" w:cstheme="minorHAnsi"/>
          <w:bCs/>
          <w:color w:val="000000" w:themeColor="text1"/>
        </w:rPr>
        <w:t xml:space="preserve">écarts de conversion </w:t>
      </w:r>
      <w:r w:rsidR="00F22770">
        <w:rPr>
          <w:rFonts w:eastAsia="Calibri" w:cstheme="minorHAnsi"/>
          <w:bCs/>
          <w:color w:val="000000" w:themeColor="text1"/>
        </w:rPr>
        <w:t xml:space="preserve">au bilan au </w:t>
      </w:r>
      <w:r w:rsidR="00F22770" w:rsidRPr="00F22770">
        <w:rPr>
          <w:rFonts w:eastAsia="Calibri" w:cstheme="minorHAnsi"/>
          <w:bCs/>
          <w:color w:val="000000" w:themeColor="text1"/>
        </w:rPr>
        <w:t>niveau des comptes de régularisation (différence de conversion actif et passif)</w:t>
      </w:r>
      <w:r w:rsidR="00F22770">
        <w:rPr>
          <w:rFonts w:eastAsia="Calibri" w:cstheme="minorHAnsi"/>
          <w:bCs/>
          <w:color w:val="000000" w:themeColor="text1"/>
        </w:rPr>
        <w:t xml:space="preserve"> avec </w:t>
      </w:r>
      <w:r>
        <w:rPr>
          <w:rFonts w:eastAsia="Calibri" w:cstheme="minorHAnsi"/>
          <w:bCs/>
          <w:color w:val="000000" w:themeColor="text1"/>
        </w:rPr>
        <w:t>une</w:t>
      </w:r>
      <w:r w:rsidR="00F22770">
        <w:rPr>
          <w:rFonts w:eastAsia="Calibri" w:cstheme="minorHAnsi"/>
          <w:bCs/>
          <w:color w:val="000000" w:themeColor="text1"/>
        </w:rPr>
        <w:t xml:space="preserve"> provision </w:t>
      </w:r>
      <w:r>
        <w:rPr>
          <w:rFonts w:eastAsia="Calibri" w:cstheme="minorHAnsi"/>
          <w:bCs/>
          <w:color w:val="000000" w:themeColor="text1"/>
        </w:rPr>
        <w:t xml:space="preserve">(sauf cas particuliers) </w:t>
      </w:r>
      <w:r w:rsidR="00F22770">
        <w:rPr>
          <w:rFonts w:eastAsia="Calibri" w:cstheme="minorHAnsi"/>
          <w:bCs/>
          <w:color w:val="000000" w:themeColor="text1"/>
        </w:rPr>
        <w:t>pour perte de change en cas de perte latente.</w:t>
      </w:r>
    </w:p>
    <w:p w:rsidR="00F22770" w:rsidRDefault="00F22770" w:rsidP="0097402C">
      <w:pPr>
        <w:rPr>
          <w:rFonts w:eastAsiaTheme="majorEastAsia"/>
          <w:lang w:eastAsia="en-US"/>
        </w:rPr>
      </w:pPr>
    </w:p>
    <w:p w:rsidR="00F22770" w:rsidRDefault="00F22770" w:rsidP="0097402C">
      <w:pPr>
        <w:rPr>
          <w:rFonts w:eastAsiaTheme="majorEastAsia"/>
          <w:lang w:eastAsia="en-US"/>
        </w:rPr>
      </w:pPr>
    </w:p>
    <w:p w:rsidR="00122DD8" w:rsidRPr="00122DD8" w:rsidRDefault="005A6024" w:rsidP="00E35C99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L’a</w:t>
      </w:r>
      <w:r w:rsidR="00122DD8" w:rsidRPr="00122DD8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bandon du principe de prééminence de la substance sur la forme</w:t>
      </w:r>
    </w:p>
    <w:p w:rsidR="00D652F2" w:rsidRDefault="00D652F2" w:rsidP="009A558B">
      <w:pPr>
        <w:rPr>
          <w:szCs w:val="22"/>
        </w:rPr>
      </w:pPr>
      <w:r>
        <w:rPr>
          <w:szCs w:val="22"/>
        </w:rPr>
        <w:t xml:space="preserve">Le règlement CRC 99-02 indiquait dans « les objectifs d'information financière propres aux comptes consolidés » la « prédominance de la substance sur l’apparence ». </w:t>
      </w:r>
    </w:p>
    <w:p w:rsidR="00D652F2" w:rsidRDefault="00D652F2" w:rsidP="009A558B">
      <w:pPr>
        <w:rPr>
          <w:szCs w:val="22"/>
        </w:rPr>
      </w:pPr>
    </w:p>
    <w:p w:rsidR="00D652F2" w:rsidRDefault="00D652F2" w:rsidP="009A558B">
      <w:pPr>
        <w:rPr>
          <w:szCs w:val="22"/>
        </w:rPr>
      </w:pPr>
      <w:r>
        <w:rPr>
          <w:szCs w:val="22"/>
        </w:rPr>
        <w:t>Cette mention ne figure plus dans la nouvelle version des normes.</w:t>
      </w:r>
    </w:p>
    <w:p w:rsidR="00D652F2" w:rsidRDefault="00D652F2">
      <w:pPr>
        <w:jc w:val="left"/>
        <w:rPr>
          <w:szCs w:val="22"/>
        </w:rPr>
      </w:pPr>
      <w:r>
        <w:rPr>
          <w:szCs w:val="22"/>
        </w:rPr>
        <w:br w:type="page"/>
      </w:r>
    </w:p>
    <w:p w:rsidR="009A558B" w:rsidRDefault="005A6024" w:rsidP="00E35C99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lastRenderedPageBreak/>
        <w:t>La p</w:t>
      </w:r>
      <w:r w:rsidR="009A558B" w:rsidRPr="009A558B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résentation des comptes consolidés</w:t>
      </w:r>
    </w:p>
    <w:p w:rsidR="00D652F2" w:rsidRDefault="00D652F2" w:rsidP="009A558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 règlement </w:t>
      </w:r>
      <w:r>
        <w:rPr>
          <w:rFonts w:eastAsia="Calibri" w:cstheme="minorHAnsi"/>
          <w:bCs/>
          <w:color w:val="000000" w:themeColor="text1"/>
        </w:rPr>
        <w:t>ANC 2020-0</w:t>
      </w:r>
      <w:r w:rsidR="00E35C99">
        <w:rPr>
          <w:rFonts w:eastAsia="Calibri" w:cstheme="minorHAnsi"/>
          <w:bCs/>
          <w:color w:val="000000" w:themeColor="text1"/>
        </w:rPr>
        <w:t>1</w:t>
      </w:r>
      <w:r>
        <w:rPr>
          <w:rFonts w:eastAsia="Calibri" w:cstheme="minorHAnsi"/>
          <w:bCs/>
          <w:color w:val="000000" w:themeColor="text1"/>
        </w:rPr>
        <w:t>propose des modèles de bilan et de compte de résultat différents s</w:t>
      </w:r>
      <w:r w:rsidR="004235E6">
        <w:rPr>
          <w:rFonts w:eastAsia="Calibri"/>
          <w:lang w:eastAsia="en-US"/>
        </w:rPr>
        <w:t xml:space="preserve">elon le secteur </w:t>
      </w:r>
      <w:r>
        <w:rPr>
          <w:rFonts w:eastAsia="Calibri"/>
          <w:lang w:eastAsia="en-US"/>
        </w:rPr>
        <w:t xml:space="preserve">concerné </w:t>
      </w:r>
      <w:r w:rsidR="004235E6">
        <w:rPr>
          <w:rFonts w:eastAsia="Calibri"/>
          <w:lang w:eastAsia="en-US"/>
        </w:rPr>
        <w:t>(banque, assurance et autre).</w:t>
      </w:r>
    </w:p>
    <w:p w:rsidR="00D652F2" w:rsidRDefault="00D652F2" w:rsidP="009A558B">
      <w:pPr>
        <w:rPr>
          <w:rFonts w:eastAsia="Calibri"/>
          <w:lang w:eastAsia="en-US"/>
        </w:rPr>
      </w:pPr>
    </w:p>
    <w:p w:rsidR="004235E6" w:rsidRDefault="004235E6" w:rsidP="009A558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Quelques modifications sont proposées par rapport aux modèles </w:t>
      </w:r>
      <w:r w:rsidR="00D652F2">
        <w:rPr>
          <w:rFonts w:eastAsia="Calibri"/>
          <w:lang w:eastAsia="en-US"/>
        </w:rPr>
        <w:t>du règlement CRC 99-02.</w:t>
      </w:r>
    </w:p>
    <w:p w:rsidR="00D652F2" w:rsidRDefault="00D652F2" w:rsidP="009A558B">
      <w:pPr>
        <w:rPr>
          <w:rFonts w:eastAsia="Calibri"/>
          <w:lang w:eastAsia="en-US"/>
        </w:rPr>
      </w:pPr>
    </w:p>
    <w:p w:rsidR="00D652F2" w:rsidRDefault="00D652F2" w:rsidP="009A558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Au niveau du bilan :</w:t>
      </w:r>
    </w:p>
    <w:p w:rsidR="00D652F2" w:rsidRDefault="00D652F2" w:rsidP="009A558B">
      <w:pPr>
        <w:rPr>
          <w:rFonts w:eastAsia="Calibri"/>
          <w:lang w:eastAsia="en-US"/>
        </w:rPr>
      </w:pPr>
    </w:p>
    <w:p w:rsidR="004235E6" w:rsidRPr="00D652F2" w:rsidRDefault="00D652F2" w:rsidP="00D652F2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l</w:t>
      </w:r>
      <w:r w:rsidR="004235E6" w:rsidRPr="00D652F2">
        <w:rPr>
          <w:rFonts w:eastAsia="Calibri" w:cstheme="minorHAnsi"/>
          <w:bCs/>
          <w:color w:val="000000" w:themeColor="text1"/>
        </w:rPr>
        <w:t xml:space="preserve">es </w:t>
      </w:r>
      <w:r w:rsidR="004235E6" w:rsidRPr="00D652F2">
        <w:rPr>
          <w:rFonts w:eastAsia="Calibri" w:cstheme="minorHAnsi"/>
          <w:b/>
          <w:color w:val="000000" w:themeColor="text1"/>
        </w:rPr>
        <w:t>écarts d’acquisition</w:t>
      </w:r>
      <w:r w:rsidR="004235E6" w:rsidRPr="00D652F2">
        <w:rPr>
          <w:rFonts w:eastAsia="Calibri" w:cstheme="minorHAnsi"/>
          <w:bCs/>
          <w:color w:val="000000" w:themeColor="text1"/>
        </w:rPr>
        <w:t xml:space="preserve"> sont </w:t>
      </w:r>
      <w:r>
        <w:rPr>
          <w:rFonts w:eastAsia="Calibri" w:cstheme="minorHAnsi"/>
          <w:bCs/>
          <w:color w:val="000000" w:themeColor="text1"/>
        </w:rPr>
        <w:t xml:space="preserve">maintenant </w:t>
      </w:r>
      <w:r w:rsidR="004235E6" w:rsidRPr="00D652F2">
        <w:rPr>
          <w:rFonts w:eastAsia="Calibri" w:cstheme="minorHAnsi"/>
          <w:b/>
          <w:color w:val="000000" w:themeColor="text1"/>
        </w:rPr>
        <w:t>inclus dans les immobilisations incorporelles</w:t>
      </w:r>
      <w:r>
        <w:rPr>
          <w:rFonts w:eastAsia="Calibri" w:cstheme="minorHAnsi"/>
          <w:b/>
          <w:color w:val="000000" w:themeColor="text1"/>
        </w:rPr>
        <w:t> </w:t>
      </w:r>
      <w:r>
        <w:rPr>
          <w:rFonts w:eastAsia="Calibri" w:cstheme="minorHAnsi"/>
          <w:bCs/>
          <w:color w:val="000000" w:themeColor="text1"/>
        </w:rPr>
        <w:t>;</w:t>
      </w:r>
      <w:r>
        <w:rPr>
          <w:rFonts w:eastAsia="Calibri" w:cstheme="minorHAnsi"/>
          <w:bCs/>
          <w:color w:val="000000" w:themeColor="text1"/>
        </w:rPr>
        <w:br/>
      </w:r>
      <w:r w:rsidR="004235E6" w:rsidRPr="00D652F2">
        <w:rPr>
          <w:rFonts w:eastAsia="Calibri" w:cstheme="minorHAnsi"/>
          <w:bCs/>
          <w:color w:val="000000" w:themeColor="text1"/>
        </w:rPr>
        <w:t>ils ne figurent plus sur une ligne à part des immobilisations</w:t>
      </w:r>
      <w:r>
        <w:rPr>
          <w:rFonts w:eastAsia="Calibri" w:cstheme="minorHAnsi"/>
          <w:bCs/>
          <w:color w:val="000000" w:themeColor="text1"/>
        </w:rPr>
        <w:br/>
        <w:t>(</w:t>
      </w:r>
      <w:r w:rsidR="004235E6" w:rsidRPr="00D652F2">
        <w:rPr>
          <w:rFonts w:eastAsia="Calibri" w:cstheme="minorHAnsi"/>
          <w:bCs/>
          <w:color w:val="000000" w:themeColor="text1"/>
        </w:rPr>
        <w:t>mention</w:t>
      </w:r>
      <w:r>
        <w:rPr>
          <w:rFonts w:eastAsia="Calibri" w:cstheme="minorHAnsi"/>
          <w:bCs/>
          <w:color w:val="000000" w:themeColor="text1"/>
        </w:rPr>
        <w:t xml:space="preserve"> du montant</w:t>
      </w:r>
      <w:r w:rsidR="004235E6" w:rsidRPr="00D652F2">
        <w:rPr>
          <w:rFonts w:eastAsia="Calibri" w:cstheme="minorHAnsi"/>
          <w:bCs/>
          <w:color w:val="000000" w:themeColor="text1"/>
        </w:rPr>
        <w:t xml:space="preserve"> total des immobilisations incorporelles </w:t>
      </w:r>
      <w:r>
        <w:rPr>
          <w:rFonts w:eastAsia="Calibri" w:cstheme="minorHAnsi"/>
          <w:bCs/>
          <w:color w:val="000000" w:themeColor="text1"/>
        </w:rPr>
        <w:t>avec la mention « dont écart</w:t>
      </w:r>
      <w:r w:rsidR="004235E6" w:rsidRPr="00D652F2">
        <w:rPr>
          <w:rFonts w:eastAsia="Calibri" w:cstheme="minorHAnsi"/>
          <w:bCs/>
          <w:color w:val="000000" w:themeColor="text1"/>
        </w:rPr>
        <w:t xml:space="preserve"> d’acquisition</w:t>
      </w:r>
      <w:r>
        <w:rPr>
          <w:rFonts w:eastAsia="Calibri" w:cstheme="minorHAnsi"/>
          <w:bCs/>
          <w:color w:val="000000" w:themeColor="text1"/>
        </w:rPr>
        <w:t> »)</w:t>
      </w:r>
    </w:p>
    <w:p w:rsidR="000E7084" w:rsidRPr="00D652F2" w:rsidRDefault="00D652F2" w:rsidP="00D652F2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a</w:t>
      </w:r>
      <w:r w:rsidR="000E7084" w:rsidRPr="00D652F2">
        <w:rPr>
          <w:rFonts w:eastAsia="Calibri" w:cstheme="minorHAnsi"/>
          <w:bCs/>
          <w:color w:val="000000" w:themeColor="text1"/>
        </w:rPr>
        <w:t xml:space="preserve">pparition </w:t>
      </w:r>
      <w:r w:rsidR="000E7084" w:rsidRPr="00D652F2">
        <w:rPr>
          <w:rFonts w:eastAsia="Calibri" w:cstheme="minorHAnsi"/>
          <w:b/>
          <w:color w:val="000000" w:themeColor="text1"/>
        </w:rPr>
        <w:t>en pied de bilan</w:t>
      </w:r>
      <w:r>
        <w:rPr>
          <w:rFonts w:eastAsia="Calibri" w:cstheme="minorHAnsi"/>
          <w:bCs/>
          <w:color w:val="000000" w:themeColor="text1"/>
        </w:rPr>
        <w:t>du</w:t>
      </w:r>
      <w:r w:rsidR="000E7084" w:rsidRPr="00D652F2">
        <w:rPr>
          <w:rFonts w:eastAsia="Calibri" w:cstheme="minorHAnsi"/>
          <w:bCs/>
          <w:color w:val="000000" w:themeColor="text1"/>
        </w:rPr>
        <w:t xml:space="preserve"> mondant des </w:t>
      </w:r>
      <w:r w:rsidR="000E7084" w:rsidRPr="00D652F2">
        <w:rPr>
          <w:rFonts w:eastAsia="Calibri" w:cstheme="minorHAnsi"/>
          <w:b/>
          <w:color w:val="000000" w:themeColor="text1"/>
        </w:rPr>
        <w:t>impôts différés</w:t>
      </w:r>
      <w:r w:rsidR="000E7084" w:rsidRPr="00D652F2">
        <w:rPr>
          <w:rFonts w:eastAsia="Calibri" w:cstheme="minorHAnsi"/>
          <w:bCs/>
          <w:color w:val="000000" w:themeColor="text1"/>
        </w:rPr>
        <w:t xml:space="preserve"> actifs et passifs inclus dans les postes </w:t>
      </w:r>
      <w:r w:rsidR="00D55F57">
        <w:rPr>
          <w:rFonts w:eastAsia="Calibri" w:cstheme="minorHAnsi"/>
          <w:bCs/>
          <w:color w:val="000000" w:themeColor="text1"/>
        </w:rPr>
        <w:t>des a</w:t>
      </w:r>
      <w:r w:rsidR="000E7084" w:rsidRPr="00D652F2">
        <w:rPr>
          <w:rFonts w:eastAsia="Calibri" w:cstheme="minorHAnsi"/>
          <w:bCs/>
          <w:color w:val="000000" w:themeColor="text1"/>
        </w:rPr>
        <w:t>utres créances et autres dettes.</w:t>
      </w:r>
    </w:p>
    <w:p w:rsidR="000E7084" w:rsidRDefault="000E7084" w:rsidP="000E7084">
      <w:pPr>
        <w:pStyle w:val="Default"/>
        <w:rPr>
          <w:sz w:val="20"/>
          <w:szCs w:val="20"/>
        </w:rPr>
      </w:pPr>
    </w:p>
    <w:p w:rsidR="00D652F2" w:rsidRDefault="00D652F2" w:rsidP="00D652F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Au niveau du compte de résultat :</w:t>
      </w:r>
    </w:p>
    <w:p w:rsidR="00D652F2" w:rsidRDefault="00D652F2" w:rsidP="00D652F2">
      <w:pPr>
        <w:rPr>
          <w:rFonts w:eastAsia="Calibri"/>
          <w:lang w:eastAsia="en-US"/>
        </w:rPr>
      </w:pPr>
    </w:p>
    <w:p w:rsidR="000E7084" w:rsidRPr="00D652F2" w:rsidRDefault="00AD5245" w:rsidP="00D652F2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l</w:t>
      </w:r>
      <w:r w:rsidR="000E7084" w:rsidRPr="00D652F2">
        <w:rPr>
          <w:rFonts w:eastAsia="Calibri" w:cstheme="minorHAnsi"/>
          <w:bCs/>
          <w:color w:val="000000" w:themeColor="text1"/>
        </w:rPr>
        <w:t>es</w:t>
      </w:r>
      <w:r w:rsidR="00656EF7" w:rsidRPr="00AD5245">
        <w:rPr>
          <w:rFonts w:eastAsia="Calibri" w:cstheme="minorHAnsi"/>
          <w:b/>
          <w:color w:val="000000" w:themeColor="text1"/>
        </w:rPr>
        <w:t xml:space="preserve">dotations aux amortissements </w:t>
      </w:r>
      <w:r w:rsidR="000E7084" w:rsidRPr="00AD5245">
        <w:rPr>
          <w:rFonts w:eastAsia="Calibri" w:cstheme="minorHAnsi"/>
          <w:b/>
          <w:color w:val="000000" w:themeColor="text1"/>
        </w:rPr>
        <w:t>et dépréciation d</w:t>
      </w:r>
      <w:r w:rsidR="00656EF7" w:rsidRPr="00AD5245">
        <w:rPr>
          <w:rFonts w:eastAsia="Calibri" w:cstheme="minorHAnsi"/>
          <w:b/>
          <w:color w:val="000000" w:themeColor="text1"/>
        </w:rPr>
        <w:t>es écarts d'acquisition</w:t>
      </w:r>
      <w:r w:rsidR="00D652F2">
        <w:rPr>
          <w:rFonts w:eastAsia="Calibri" w:cstheme="minorHAnsi"/>
          <w:bCs/>
          <w:color w:val="000000" w:themeColor="text1"/>
        </w:rPr>
        <w:t>sont</w:t>
      </w:r>
      <w:r w:rsidR="000E7084" w:rsidRPr="00D652F2">
        <w:rPr>
          <w:rFonts w:eastAsia="Calibri" w:cstheme="minorHAnsi"/>
          <w:bCs/>
          <w:color w:val="000000" w:themeColor="text1"/>
        </w:rPr>
        <w:t xml:space="preserve">maintenant </w:t>
      </w:r>
      <w:r w:rsidR="00656EF7" w:rsidRPr="00D652F2">
        <w:rPr>
          <w:rFonts w:eastAsia="Calibri" w:cstheme="minorHAnsi"/>
          <w:bCs/>
          <w:color w:val="000000" w:themeColor="text1"/>
        </w:rPr>
        <w:t>positionnée</w:t>
      </w:r>
      <w:r w:rsidR="00D652F2">
        <w:rPr>
          <w:rFonts w:eastAsia="Calibri" w:cstheme="minorHAnsi"/>
          <w:bCs/>
          <w:color w:val="000000" w:themeColor="text1"/>
        </w:rPr>
        <w:t>s</w:t>
      </w:r>
      <w:r w:rsidR="00656EF7" w:rsidRPr="00AD5245">
        <w:rPr>
          <w:rFonts w:eastAsia="Calibri" w:cstheme="minorHAnsi"/>
          <w:b/>
          <w:color w:val="000000" w:themeColor="text1"/>
        </w:rPr>
        <w:t>en exploitation</w:t>
      </w:r>
      <w:r w:rsidR="00656EF7" w:rsidRPr="00D652F2">
        <w:rPr>
          <w:rFonts w:eastAsia="Calibri" w:cstheme="minorHAnsi"/>
          <w:bCs/>
          <w:color w:val="000000" w:themeColor="text1"/>
        </w:rPr>
        <w:t xml:space="preserve"> (alors qu’</w:t>
      </w:r>
      <w:r w:rsidR="00D55F57">
        <w:rPr>
          <w:rFonts w:eastAsia="Calibri" w:cstheme="minorHAnsi"/>
          <w:bCs/>
          <w:color w:val="000000" w:themeColor="text1"/>
        </w:rPr>
        <w:t>elles</w:t>
      </w:r>
      <w:r w:rsidR="00656EF7" w:rsidRPr="00D652F2">
        <w:rPr>
          <w:rFonts w:eastAsia="Calibri" w:cstheme="minorHAnsi"/>
          <w:bCs/>
          <w:color w:val="000000" w:themeColor="text1"/>
        </w:rPr>
        <w:t xml:space="preserve"> figurai</w:t>
      </w:r>
      <w:r w:rsidR="00D652F2">
        <w:rPr>
          <w:rFonts w:eastAsia="Calibri" w:cstheme="minorHAnsi"/>
          <w:bCs/>
          <w:color w:val="000000" w:themeColor="text1"/>
        </w:rPr>
        <w:t>ent</w:t>
      </w:r>
      <w:r w:rsidR="002B6FF6">
        <w:rPr>
          <w:rFonts w:eastAsia="Calibri" w:cstheme="minorHAnsi"/>
          <w:bCs/>
          <w:color w:val="000000" w:themeColor="text1"/>
        </w:rPr>
        <w:t xml:space="preserve">précédemment </w:t>
      </w:r>
      <w:r w:rsidR="000E7084" w:rsidRPr="00D652F2">
        <w:rPr>
          <w:rFonts w:eastAsia="Calibri" w:cstheme="minorHAnsi"/>
          <w:bCs/>
          <w:color w:val="000000" w:themeColor="text1"/>
        </w:rPr>
        <w:t>juste avant le r</w:t>
      </w:r>
      <w:r w:rsidR="00656EF7" w:rsidRPr="00D652F2">
        <w:rPr>
          <w:rFonts w:eastAsia="Calibri" w:cstheme="minorHAnsi"/>
          <w:bCs/>
          <w:color w:val="000000" w:themeColor="text1"/>
        </w:rPr>
        <w:t>ésultat net de l'ensemble consolidé</w:t>
      </w:r>
      <w:r w:rsidR="000E7084" w:rsidRPr="00D652F2">
        <w:rPr>
          <w:rFonts w:eastAsia="Calibri" w:cstheme="minorHAnsi"/>
          <w:bCs/>
          <w:color w:val="000000" w:themeColor="text1"/>
        </w:rPr>
        <w:t>)</w:t>
      </w:r>
    </w:p>
    <w:p w:rsidR="00656EF7" w:rsidRPr="00D652F2" w:rsidRDefault="00AD5245" w:rsidP="00D652F2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l</w:t>
      </w:r>
      <w:r w:rsidR="000E7084" w:rsidRPr="00D652F2">
        <w:rPr>
          <w:rFonts w:eastAsia="Calibri" w:cstheme="minorHAnsi"/>
          <w:bCs/>
          <w:color w:val="000000" w:themeColor="text1"/>
        </w:rPr>
        <w:t xml:space="preserve">e résultat d’exploitation est </w:t>
      </w:r>
      <w:r w:rsidR="002B6FF6">
        <w:rPr>
          <w:rFonts w:eastAsia="Calibri" w:cstheme="minorHAnsi"/>
          <w:bCs/>
          <w:color w:val="000000" w:themeColor="text1"/>
        </w:rPr>
        <w:t xml:space="preserve">maintenant éclaté en </w:t>
      </w:r>
      <w:r w:rsidR="002B6FF6" w:rsidRPr="00AD5245">
        <w:rPr>
          <w:rFonts w:eastAsia="Calibri" w:cstheme="minorHAnsi"/>
          <w:b/>
          <w:color w:val="000000" w:themeColor="text1"/>
        </w:rPr>
        <w:t>2 sous</w:t>
      </w:r>
      <w:r w:rsidRPr="00AD5245">
        <w:rPr>
          <w:rFonts w:eastAsia="Calibri" w:cstheme="minorHAnsi"/>
          <w:b/>
          <w:color w:val="000000" w:themeColor="text1"/>
        </w:rPr>
        <w:t>-</w:t>
      </w:r>
      <w:r w:rsidR="002B6FF6" w:rsidRPr="00AD5245">
        <w:rPr>
          <w:rFonts w:eastAsia="Calibri" w:cstheme="minorHAnsi"/>
          <w:b/>
          <w:color w:val="000000" w:themeColor="text1"/>
        </w:rPr>
        <w:t>résultats</w:t>
      </w:r>
      <w:r w:rsidRPr="00AD5245">
        <w:rPr>
          <w:rFonts w:eastAsia="Calibri" w:cstheme="minorHAnsi"/>
          <w:b/>
          <w:color w:val="000000" w:themeColor="text1"/>
        </w:rPr>
        <w:t xml:space="preserve"> d’exploitation</w:t>
      </w:r>
      <w:r>
        <w:rPr>
          <w:rFonts w:eastAsia="Calibri" w:cstheme="minorHAnsi"/>
          <w:b/>
          <w:color w:val="000000" w:themeColor="text1"/>
        </w:rPr>
        <w:t> </w:t>
      </w:r>
      <w:r w:rsidRPr="00AD5245">
        <w:rPr>
          <w:rFonts w:eastAsia="Calibri" w:cstheme="minorHAnsi"/>
          <w:bCs/>
          <w:color w:val="000000" w:themeColor="text1"/>
        </w:rPr>
        <w:t>:</w:t>
      </w:r>
    </w:p>
    <w:p w:rsidR="001A553A" w:rsidRDefault="002B6FF6" w:rsidP="002B6FF6">
      <w:pPr>
        <w:tabs>
          <w:tab w:val="left" w:pos="1418"/>
        </w:tabs>
        <w:spacing w:after="120" w:line="259" w:lineRule="auto"/>
        <w:ind w:left="993"/>
        <w:jc w:val="left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sym w:font="Wingdings" w:char="F0FB"/>
      </w:r>
      <w:r w:rsidRPr="00A161F7">
        <w:rPr>
          <w:rFonts w:eastAsia="Calibri" w:cstheme="minorHAnsi"/>
          <w:bCs/>
          <w:color w:val="000000" w:themeColor="text1"/>
        </w:rPr>
        <w:tab/>
      </w:r>
      <w:r w:rsidR="001A553A">
        <w:rPr>
          <w:rFonts w:eastAsia="Calibri" w:cstheme="minorHAnsi"/>
          <w:bCs/>
          <w:color w:val="000000" w:themeColor="text1"/>
        </w:rPr>
        <w:t>r</w:t>
      </w:r>
      <w:r w:rsidR="001A553A" w:rsidRPr="002B6FF6">
        <w:rPr>
          <w:rFonts w:eastAsia="Calibri" w:cstheme="minorHAnsi"/>
          <w:bCs/>
          <w:color w:val="000000" w:themeColor="text1"/>
        </w:rPr>
        <w:t xml:space="preserve">ésultat d'exploitation avant dotations aux amortissements et dépréciations </w:t>
      </w:r>
      <w:r w:rsidR="001A553A">
        <w:rPr>
          <w:rFonts w:eastAsia="Calibri" w:cstheme="minorHAnsi"/>
          <w:bCs/>
          <w:color w:val="000000" w:themeColor="text1"/>
        </w:rPr>
        <w:br/>
      </w:r>
      <w:r w:rsidR="001A553A">
        <w:rPr>
          <w:rFonts w:eastAsia="Calibri" w:cstheme="minorHAnsi"/>
          <w:bCs/>
          <w:color w:val="000000" w:themeColor="text1"/>
        </w:rPr>
        <w:tab/>
      </w:r>
      <w:r w:rsidR="001A553A" w:rsidRPr="002B6FF6">
        <w:rPr>
          <w:rFonts w:eastAsia="Calibri" w:cstheme="minorHAnsi"/>
          <w:bCs/>
          <w:color w:val="000000" w:themeColor="text1"/>
        </w:rPr>
        <w:t>des écarts d’acquisition</w:t>
      </w:r>
    </w:p>
    <w:p w:rsidR="009A558B" w:rsidRPr="00D652F2" w:rsidRDefault="001A553A" w:rsidP="002B6FF6">
      <w:pPr>
        <w:tabs>
          <w:tab w:val="left" w:pos="1418"/>
        </w:tabs>
        <w:spacing w:after="120" w:line="259" w:lineRule="auto"/>
        <w:ind w:left="993"/>
        <w:jc w:val="left"/>
        <w:rPr>
          <w:rFonts w:eastAsia="Calibri" w:cstheme="minorHAnsi"/>
          <w:bCs/>
          <w:color w:val="000000" w:themeColor="text1"/>
        </w:rPr>
      </w:pPr>
      <w:r w:rsidRPr="00A161F7">
        <w:rPr>
          <w:rFonts w:eastAsia="Calibri" w:cstheme="minorHAnsi"/>
          <w:bCs/>
          <w:color w:val="000000" w:themeColor="text1"/>
        </w:rPr>
        <w:sym w:font="Wingdings" w:char="F0FB"/>
      </w:r>
      <w:r w:rsidRPr="00A161F7">
        <w:rPr>
          <w:rFonts w:eastAsia="Calibri" w:cstheme="minorHAnsi"/>
          <w:bCs/>
          <w:color w:val="000000" w:themeColor="text1"/>
        </w:rPr>
        <w:tab/>
      </w:r>
      <w:r w:rsidR="002B6FF6">
        <w:rPr>
          <w:rFonts w:eastAsia="Calibri" w:cstheme="minorHAnsi"/>
          <w:bCs/>
          <w:color w:val="000000" w:themeColor="text1"/>
        </w:rPr>
        <w:t>r</w:t>
      </w:r>
      <w:r w:rsidR="004235E6" w:rsidRPr="002B6FF6">
        <w:rPr>
          <w:rFonts w:eastAsia="Calibri" w:cstheme="minorHAnsi"/>
          <w:bCs/>
          <w:color w:val="000000" w:themeColor="text1"/>
        </w:rPr>
        <w:t xml:space="preserve">ésultat d'exploitation après dotations aux amortissements et dépréciations </w:t>
      </w:r>
      <w:r w:rsidR="002B6FF6">
        <w:rPr>
          <w:rFonts w:eastAsia="Calibri" w:cstheme="minorHAnsi"/>
          <w:bCs/>
          <w:color w:val="000000" w:themeColor="text1"/>
        </w:rPr>
        <w:br/>
      </w:r>
      <w:r w:rsidR="002B6FF6">
        <w:rPr>
          <w:rFonts w:eastAsia="Calibri" w:cstheme="minorHAnsi"/>
          <w:bCs/>
          <w:color w:val="000000" w:themeColor="text1"/>
        </w:rPr>
        <w:tab/>
      </w:r>
      <w:r w:rsidR="004235E6" w:rsidRPr="002B6FF6">
        <w:rPr>
          <w:rFonts w:eastAsia="Calibri" w:cstheme="minorHAnsi"/>
          <w:bCs/>
          <w:color w:val="000000" w:themeColor="text1"/>
        </w:rPr>
        <w:t>des écarts d’acquisition</w:t>
      </w:r>
    </w:p>
    <w:p w:rsidR="000E7084" w:rsidRPr="00D652F2" w:rsidRDefault="00AD5245" w:rsidP="00D652F2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 w:rsidRPr="00531586">
        <w:rPr>
          <w:rFonts w:eastAsia="Calibri" w:cstheme="minorHAnsi"/>
          <w:b/>
          <w:color w:val="000000" w:themeColor="text1"/>
        </w:rPr>
        <w:t>d</w:t>
      </w:r>
      <w:r w:rsidR="000E7084" w:rsidRPr="00531586">
        <w:rPr>
          <w:rFonts w:eastAsia="Calibri" w:cstheme="minorHAnsi"/>
          <w:b/>
          <w:color w:val="000000" w:themeColor="text1"/>
        </w:rPr>
        <w:t>isparition</w:t>
      </w:r>
      <w:r w:rsidR="000E7084" w:rsidRPr="00D652F2">
        <w:rPr>
          <w:rFonts w:eastAsia="Calibri" w:cstheme="minorHAnsi"/>
          <w:bCs/>
          <w:color w:val="000000" w:themeColor="text1"/>
        </w:rPr>
        <w:t xml:space="preserve"> de l</w:t>
      </w:r>
      <w:r w:rsidR="00D7509E">
        <w:rPr>
          <w:rFonts w:eastAsia="Calibri" w:cstheme="minorHAnsi"/>
          <w:bCs/>
          <w:color w:val="000000" w:themeColor="text1"/>
        </w:rPr>
        <w:t>a ligne</w:t>
      </w:r>
      <w:r w:rsidR="000E7084" w:rsidRPr="00D652F2">
        <w:rPr>
          <w:rFonts w:eastAsia="Calibri" w:cstheme="minorHAnsi"/>
          <w:bCs/>
          <w:color w:val="000000" w:themeColor="text1"/>
        </w:rPr>
        <w:t xml:space="preserve"> « Résultat courant des entreprises intégrées »</w:t>
      </w:r>
    </w:p>
    <w:p w:rsidR="000E7084" w:rsidRDefault="000E7084" w:rsidP="009A558B">
      <w:pPr>
        <w:rPr>
          <w:b/>
          <w:bCs/>
          <w:sz w:val="18"/>
          <w:szCs w:val="18"/>
        </w:rPr>
      </w:pPr>
    </w:p>
    <w:p w:rsidR="00D7509E" w:rsidRDefault="00D7509E" w:rsidP="00D7509E">
      <w:pPr>
        <w:rPr>
          <w:rFonts w:eastAsia="Calibri"/>
          <w:lang w:eastAsia="en-US"/>
        </w:rPr>
      </w:pPr>
    </w:p>
    <w:p w:rsidR="00D7509E" w:rsidRDefault="00D7509E" w:rsidP="00D7509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Au niveau de l’annexe :</w:t>
      </w:r>
    </w:p>
    <w:p w:rsidR="001A553A" w:rsidRDefault="001A553A" w:rsidP="00D7509E">
      <w:pPr>
        <w:rPr>
          <w:rFonts w:eastAsia="Calibri"/>
          <w:lang w:eastAsia="en-US"/>
        </w:rPr>
      </w:pPr>
    </w:p>
    <w:p w:rsidR="00D7509E" w:rsidRPr="00D7509E" w:rsidRDefault="00E35C99" w:rsidP="006A6957">
      <w:pPr>
        <w:pStyle w:val="Paragraphedeliste"/>
        <w:numPr>
          <w:ilvl w:val="0"/>
          <w:numId w:val="16"/>
        </w:numPr>
        <w:spacing w:after="60" w:line="259" w:lineRule="auto"/>
        <w:ind w:left="714" w:hanging="357"/>
        <w:contextualSpacing w:val="0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i</w:t>
      </w:r>
      <w:r w:rsidR="00D7509E" w:rsidRPr="00D7509E">
        <w:rPr>
          <w:rFonts w:eastAsia="Calibri" w:cstheme="minorHAnsi"/>
          <w:bCs/>
          <w:color w:val="000000" w:themeColor="text1"/>
        </w:rPr>
        <w:t>l</w:t>
      </w:r>
      <w:r w:rsidR="004235E6" w:rsidRPr="00D7509E">
        <w:rPr>
          <w:rFonts w:eastAsia="Calibri" w:cstheme="minorHAnsi"/>
          <w:bCs/>
          <w:color w:val="000000" w:themeColor="text1"/>
        </w:rPr>
        <w:t xml:space="preserve"> n’y a </w:t>
      </w:r>
      <w:r w:rsidR="004235E6" w:rsidRPr="00531586">
        <w:rPr>
          <w:rFonts w:eastAsia="Calibri" w:cstheme="minorHAnsi"/>
          <w:b/>
          <w:color w:val="000000" w:themeColor="text1"/>
        </w:rPr>
        <w:t>plus de modèle</w:t>
      </w:r>
      <w:r w:rsidR="004235E6" w:rsidRPr="00D7509E">
        <w:rPr>
          <w:rFonts w:eastAsia="Calibri" w:cstheme="minorHAnsi"/>
          <w:bCs/>
          <w:color w:val="000000" w:themeColor="text1"/>
        </w:rPr>
        <w:t xml:space="preserve"> de tableau de </w:t>
      </w:r>
      <w:r w:rsidR="004235E6" w:rsidRPr="00531586">
        <w:rPr>
          <w:rFonts w:eastAsia="Calibri" w:cstheme="minorHAnsi"/>
          <w:b/>
          <w:color w:val="000000" w:themeColor="text1"/>
        </w:rPr>
        <w:t>variation des capitaux p</w:t>
      </w:r>
      <w:r w:rsidR="00D7509E" w:rsidRPr="00531586">
        <w:rPr>
          <w:rFonts w:eastAsia="Calibri" w:cstheme="minorHAnsi"/>
          <w:b/>
          <w:color w:val="000000" w:themeColor="text1"/>
        </w:rPr>
        <w:t>r</w:t>
      </w:r>
      <w:r w:rsidR="004235E6" w:rsidRPr="00531586">
        <w:rPr>
          <w:rFonts w:eastAsia="Calibri" w:cstheme="minorHAnsi"/>
          <w:b/>
          <w:color w:val="000000" w:themeColor="text1"/>
        </w:rPr>
        <w:t>opres</w:t>
      </w:r>
      <w:r w:rsidR="004235E6" w:rsidRPr="00D7509E">
        <w:rPr>
          <w:rFonts w:eastAsia="Calibri" w:cstheme="minorHAnsi"/>
          <w:bCs/>
          <w:color w:val="000000" w:themeColor="text1"/>
        </w:rPr>
        <w:t xml:space="preserve"> même si celui-ci reste obligatoire</w:t>
      </w:r>
      <w:r w:rsidR="00D7509E" w:rsidRPr="00D7509E">
        <w:rPr>
          <w:rFonts w:eastAsia="Calibri" w:cstheme="minorHAnsi"/>
          <w:bCs/>
          <w:color w:val="000000" w:themeColor="text1"/>
        </w:rPr>
        <w:t xml:space="preserve"> (</w:t>
      </w:r>
      <w:r w:rsidR="00D7509E">
        <w:rPr>
          <w:rFonts w:eastAsia="Calibri" w:cstheme="minorHAnsi"/>
          <w:bCs/>
          <w:color w:val="000000" w:themeColor="text1"/>
        </w:rPr>
        <w:t xml:space="preserve">NB </w:t>
      </w:r>
      <w:r w:rsidR="00D7509E" w:rsidRPr="00D7509E">
        <w:rPr>
          <w:rFonts w:eastAsia="Calibri" w:cstheme="minorHAnsi"/>
          <w:bCs/>
          <w:color w:val="000000" w:themeColor="text1"/>
        </w:rPr>
        <w:t xml:space="preserve">: dans les normes comptables françaises, le tableau de variation des capitaux propres fait partie de l’annexe </w:t>
      </w:r>
      <w:r w:rsidR="001A553A">
        <w:rPr>
          <w:rFonts w:eastAsia="Calibri" w:cstheme="minorHAnsi"/>
          <w:bCs/>
          <w:color w:val="000000" w:themeColor="text1"/>
        </w:rPr>
        <w:t>et</w:t>
      </w:r>
      <w:r w:rsidR="00D7509E" w:rsidRPr="00D7509E">
        <w:rPr>
          <w:rFonts w:eastAsia="Calibri" w:cstheme="minorHAnsi"/>
          <w:bCs/>
          <w:color w:val="000000" w:themeColor="text1"/>
        </w:rPr>
        <w:t xml:space="preserve"> n’est pas un document comptable en </w:t>
      </w:r>
      <w:r w:rsidR="00D7509E">
        <w:rPr>
          <w:rFonts w:eastAsia="Calibri" w:cstheme="minorHAnsi"/>
          <w:bCs/>
          <w:color w:val="000000" w:themeColor="text1"/>
        </w:rPr>
        <w:t>lui-même)</w:t>
      </w:r>
    </w:p>
    <w:p w:rsidR="004235E6" w:rsidRDefault="004235E6" w:rsidP="004235E6">
      <w:pPr>
        <w:rPr>
          <w:rFonts w:eastAsia="Calibri"/>
          <w:lang w:eastAsia="en-US"/>
        </w:rPr>
      </w:pPr>
    </w:p>
    <w:p w:rsidR="004235E6" w:rsidRDefault="004235E6" w:rsidP="004235E6">
      <w:pPr>
        <w:rPr>
          <w:rFonts w:eastAsia="Calibri"/>
          <w:lang w:eastAsia="en-US"/>
        </w:rPr>
      </w:pPr>
    </w:p>
    <w:p w:rsidR="005A6024" w:rsidRDefault="005A6024" w:rsidP="00E35C99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L’application du règlement pour la 1</w:t>
      </w:r>
      <w:r w:rsidRPr="00E35C99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ère</w:t>
      </w: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 xml:space="preserve"> fois</w:t>
      </w:r>
    </w:p>
    <w:p w:rsidR="005A6024" w:rsidRDefault="005A6024" w:rsidP="005A6024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La 1</w:t>
      </w:r>
      <w:r w:rsidRPr="009A558B">
        <w:rPr>
          <w:rFonts w:eastAsiaTheme="majorEastAsia"/>
          <w:vertAlign w:val="superscript"/>
          <w:lang w:eastAsia="en-US"/>
        </w:rPr>
        <w:t>ère</w:t>
      </w:r>
      <w:r>
        <w:rPr>
          <w:rFonts w:eastAsiaTheme="majorEastAsia"/>
          <w:lang w:eastAsia="en-US"/>
        </w:rPr>
        <w:t xml:space="preserve"> application du règlement est </w:t>
      </w:r>
      <w:r w:rsidRPr="004430C7">
        <w:rPr>
          <w:rFonts w:eastAsiaTheme="majorEastAsia"/>
          <w:b/>
          <w:bCs/>
          <w:lang w:eastAsia="en-US"/>
        </w:rPr>
        <w:t>prospective</w:t>
      </w:r>
      <w:r>
        <w:rPr>
          <w:rFonts w:eastAsiaTheme="majorEastAsia"/>
          <w:lang w:eastAsia="en-US"/>
        </w:rPr>
        <w:t xml:space="preserve"> et porte sur les opérations survenant après le 1</w:t>
      </w:r>
      <w:r w:rsidRPr="009A558B">
        <w:rPr>
          <w:rFonts w:eastAsiaTheme="majorEastAsia"/>
          <w:vertAlign w:val="superscript"/>
          <w:lang w:eastAsia="en-US"/>
        </w:rPr>
        <w:t>er</w:t>
      </w:r>
      <w:r>
        <w:rPr>
          <w:rFonts w:eastAsiaTheme="majorEastAsia"/>
          <w:lang w:eastAsia="en-US"/>
        </w:rPr>
        <w:t xml:space="preserve"> janvier 2021.</w:t>
      </w:r>
    </w:p>
    <w:p w:rsidR="004430C7" w:rsidRDefault="004430C7" w:rsidP="005A6024">
      <w:pPr>
        <w:rPr>
          <w:rFonts w:eastAsiaTheme="majorEastAsia"/>
          <w:lang w:eastAsia="en-US"/>
        </w:rPr>
      </w:pPr>
    </w:p>
    <w:p w:rsidR="005A6024" w:rsidRDefault="005A6024" w:rsidP="005A6024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 xml:space="preserve">Ainsi des opérations </w:t>
      </w:r>
      <w:r w:rsidRPr="004430C7">
        <w:rPr>
          <w:rFonts w:eastAsiaTheme="majorEastAsia"/>
          <w:b/>
          <w:bCs/>
          <w:lang w:eastAsia="en-US"/>
        </w:rPr>
        <w:t>de même nature</w:t>
      </w:r>
      <w:r>
        <w:rPr>
          <w:rFonts w:eastAsiaTheme="majorEastAsia"/>
          <w:lang w:eastAsia="en-US"/>
        </w:rPr>
        <w:t xml:space="preserve"> peuvent être comptabilisées </w:t>
      </w:r>
      <w:r w:rsidRPr="004430C7">
        <w:rPr>
          <w:rFonts w:eastAsiaTheme="majorEastAsia"/>
          <w:b/>
          <w:bCs/>
          <w:lang w:eastAsia="en-US"/>
        </w:rPr>
        <w:t>de manière différente</w:t>
      </w:r>
      <w:r>
        <w:rPr>
          <w:rFonts w:eastAsiaTheme="majorEastAsia"/>
          <w:lang w:eastAsia="en-US"/>
        </w:rPr>
        <w:t xml:space="preserve"> selon qu’elles ont eu lieu avant ou après la 1</w:t>
      </w:r>
      <w:r w:rsidRPr="009A558B">
        <w:rPr>
          <w:rFonts w:eastAsiaTheme="majorEastAsia"/>
          <w:vertAlign w:val="superscript"/>
          <w:lang w:eastAsia="en-US"/>
        </w:rPr>
        <w:t>ère</w:t>
      </w:r>
      <w:r>
        <w:rPr>
          <w:rFonts w:eastAsiaTheme="majorEastAsia"/>
          <w:lang w:eastAsia="en-US"/>
        </w:rPr>
        <w:t xml:space="preserve"> application du règlement.</w:t>
      </w:r>
    </w:p>
    <w:p w:rsidR="004430C7" w:rsidRDefault="004430C7" w:rsidP="005A6024">
      <w:pPr>
        <w:rPr>
          <w:rFonts w:eastAsiaTheme="majorEastAsia"/>
          <w:lang w:eastAsia="en-US"/>
        </w:rPr>
      </w:pPr>
    </w:p>
    <w:p w:rsidR="005A6024" w:rsidRDefault="005A6024" w:rsidP="005A6024">
      <w:pPr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 xml:space="preserve">Toutefois il est </w:t>
      </w:r>
      <w:r w:rsidRPr="00C54EDF">
        <w:rPr>
          <w:rFonts w:eastAsiaTheme="majorEastAsia"/>
          <w:b/>
          <w:bCs/>
          <w:lang w:eastAsia="en-US"/>
        </w:rPr>
        <w:t>possible</w:t>
      </w:r>
      <w:r>
        <w:rPr>
          <w:rFonts w:eastAsiaTheme="majorEastAsia"/>
          <w:lang w:eastAsia="en-US"/>
        </w:rPr>
        <w:t xml:space="preserve"> d’appliquer de manière </w:t>
      </w:r>
      <w:r w:rsidRPr="00C54EDF">
        <w:rPr>
          <w:rFonts w:eastAsiaTheme="majorEastAsia"/>
          <w:b/>
          <w:bCs/>
          <w:lang w:eastAsia="en-US"/>
        </w:rPr>
        <w:t>rétrospective</w:t>
      </w:r>
      <w:r w:rsidR="004430C7">
        <w:rPr>
          <w:rFonts w:eastAsiaTheme="majorEastAsia"/>
          <w:lang w:eastAsia="en-US"/>
        </w:rPr>
        <w:t>les</w:t>
      </w:r>
      <w:r>
        <w:rPr>
          <w:rFonts w:eastAsiaTheme="majorEastAsia"/>
          <w:lang w:eastAsia="en-US"/>
        </w:rPr>
        <w:t xml:space="preserve"> méthodes</w:t>
      </w:r>
      <w:r w:rsidR="004430C7">
        <w:rPr>
          <w:rFonts w:eastAsiaTheme="majorEastAsia"/>
          <w:lang w:eastAsia="en-US"/>
        </w:rPr>
        <w:t> obligatoires qui ne l’étaient pas dans le précédent référentiel.</w:t>
      </w:r>
    </w:p>
    <w:p w:rsidR="004430C7" w:rsidRDefault="004430C7" w:rsidP="005A6024">
      <w:pPr>
        <w:rPr>
          <w:rFonts w:eastAsiaTheme="majorEastAsia"/>
          <w:lang w:eastAsia="en-US"/>
        </w:rPr>
      </w:pPr>
    </w:p>
    <w:p w:rsidR="004430C7" w:rsidRDefault="004430C7" w:rsidP="005A6024">
      <w:pPr>
        <w:rPr>
          <w:rFonts w:eastAsiaTheme="majorEastAsia"/>
          <w:lang w:eastAsia="en-US"/>
        </w:rPr>
      </w:pPr>
    </w:p>
    <w:p w:rsidR="005A6024" w:rsidRDefault="005A6024" w:rsidP="00E35C99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lastRenderedPageBreak/>
        <w:t>L’é</w:t>
      </w:r>
      <w:r w:rsidRPr="009A558B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 xml:space="preserve">tablissement de comptes consolidés pour </w:t>
      </w: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l</w:t>
      </w:r>
      <w:r w:rsidRPr="009A558B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a 1ère fois</w:t>
      </w:r>
    </w:p>
    <w:p w:rsidR="005A6024" w:rsidRDefault="004430C7" w:rsidP="005A602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Les groupes qui réalisent pour la 1</w:t>
      </w:r>
      <w:r w:rsidRPr="004430C7">
        <w:rPr>
          <w:rFonts w:eastAsia="Calibri"/>
          <w:vertAlign w:val="superscript"/>
          <w:lang w:eastAsia="en-US"/>
        </w:rPr>
        <w:t>ère</w:t>
      </w:r>
      <w:r>
        <w:rPr>
          <w:rFonts w:eastAsia="Calibri"/>
          <w:lang w:eastAsia="en-US"/>
        </w:rPr>
        <w:t xml:space="preserve"> fois des comptes consolidés doivent présenter un </w:t>
      </w:r>
      <w:r w:rsidRPr="00C54EDF">
        <w:rPr>
          <w:rFonts w:eastAsia="Calibri"/>
          <w:b/>
          <w:bCs/>
          <w:lang w:eastAsia="en-US"/>
        </w:rPr>
        <w:t>comparatif</w:t>
      </w:r>
      <w:r>
        <w:rPr>
          <w:rFonts w:eastAsia="Calibri"/>
          <w:lang w:eastAsia="en-US"/>
        </w:rPr>
        <w:t xml:space="preserve"> avec l’année précédente </w:t>
      </w:r>
      <w:r w:rsidR="005A6024">
        <w:rPr>
          <w:rFonts w:eastAsia="Calibri"/>
          <w:lang w:eastAsia="en-US"/>
        </w:rPr>
        <w:t xml:space="preserve">par le biais d’une colonne </w:t>
      </w:r>
      <w:r>
        <w:rPr>
          <w:rFonts w:eastAsia="Calibri"/>
          <w:lang w:eastAsia="en-US"/>
        </w:rPr>
        <w:t>« </w:t>
      </w:r>
      <w:r w:rsidR="005A6024">
        <w:rPr>
          <w:rFonts w:eastAsia="Calibri"/>
          <w:lang w:eastAsia="en-US"/>
        </w:rPr>
        <w:t>N-1</w:t>
      </w:r>
      <w:r>
        <w:rPr>
          <w:rFonts w:eastAsia="Calibri"/>
          <w:lang w:eastAsia="en-US"/>
        </w:rPr>
        <w:t> ».</w:t>
      </w:r>
    </w:p>
    <w:p w:rsidR="004430C7" w:rsidRDefault="004430C7" w:rsidP="005A6024">
      <w:pPr>
        <w:rPr>
          <w:rFonts w:eastAsia="Calibri"/>
          <w:lang w:eastAsia="en-US"/>
        </w:rPr>
      </w:pPr>
    </w:p>
    <w:p w:rsidR="004E37CB" w:rsidRDefault="004E37CB">
      <w:pPr>
        <w:jc w:val="left"/>
        <w:rPr>
          <w:rFonts w:asciiTheme="minorHAnsi" w:eastAsiaTheme="majorEastAsia" w:hAnsiTheme="minorHAnsi" w:cstheme="majorBidi"/>
          <w:b/>
          <w:color w:val="0070C0"/>
          <w:sz w:val="24"/>
          <w:szCs w:val="32"/>
          <w:u w:val="single"/>
          <w:lang w:eastAsia="en-US"/>
        </w:rPr>
      </w:pPr>
    </w:p>
    <w:p w:rsidR="009A558B" w:rsidRDefault="009A558B" w:rsidP="00E35C99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 w:rsidRPr="009A558B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Tableau de synthèse des méthodes comptables</w:t>
      </w:r>
    </w:p>
    <w:p w:rsidR="002A5158" w:rsidRDefault="002A5158" w:rsidP="006A66B9"/>
    <w:tbl>
      <w:tblPr>
        <w:tblStyle w:val="Grilledutableau"/>
        <w:tblW w:w="9831" w:type="dxa"/>
        <w:tblLook w:val="04A0"/>
      </w:tblPr>
      <w:tblGrid>
        <w:gridCol w:w="3261"/>
        <w:gridCol w:w="1642"/>
        <w:gridCol w:w="1643"/>
        <w:gridCol w:w="1642"/>
        <w:gridCol w:w="1643"/>
      </w:tblGrid>
      <w:tr w:rsidR="00E06A80" w:rsidRPr="00E06A80" w:rsidTr="00E06A80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024" w:rsidRPr="00E06A80" w:rsidRDefault="005A6024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6024" w:rsidRPr="002A5158" w:rsidRDefault="005A6024" w:rsidP="00E949E8">
            <w:pPr>
              <w:spacing w:before="120" w:after="12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2A515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Ancienne réglementation</w:t>
            </w:r>
          </w:p>
        </w:tc>
        <w:tc>
          <w:tcPr>
            <w:tcW w:w="3285" w:type="dxa"/>
            <w:gridSpan w:val="2"/>
            <w:shd w:val="clear" w:color="auto" w:fill="D9D9D9" w:themeFill="background1" w:themeFillShade="D9"/>
            <w:vAlign w:val="center"/>
          </w:tcPr>
          <w:p w:rsidR="005A6024" w:rsidRPr="002A5158" w:rsidRDefault="00E06A80" w:rsidP="00E949E8">
            <w:pPr>
              <w:spacing w:before="120" w:after="12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2A5158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Nouvelle réglementation</w:t>
            </w:r>
          </w:p>
        </w:tc>
      </w:tr>
      <w:tr w:rsidR="00E06A80" w:rsidRPr="00E06A80" w:rsidTr="00E06A80">
        <w:trPr>
          <w:trHeight w:val="627"/>
        </w:trPr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06A80" w:rsidRPr="00997CAA" w:rsidRDefault="00E06A8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80" w:rsidRPr="00997CAA" w:rsidRDefault="00E06A80" w:rsidP="00E949E8">
            <w:pPr>
              <w:spacing w:before="120" w:after="120"/>
              <w:ind w:left="-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Cptes individuels</w:t>
            </w:r>
          </w:p>
          <w:p w:rsidR="00E06A80" w:rsidRPr="00997CAA" w:rsidRDefault="00E06A8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PCG avant 2019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E06A80" w:rsidRPr="00997CAA" w:rsidRDefault="00E06A80" w:rsidP="00E949E8">
            <w:pPr>
              <w:spacing w:before="120" w:after="120"/>
              <w:ind w:left="-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Cptes consolidés</w:t>
            </w:r>
          </w:p>
          <w:p w:rsidR="00E06A80" w:rsidRPr="00997CAA" w:rsidRDefault="00E06A80" w:rsidP="00E949E8">
            <w:pPr>
              <w:spacing w:before="120" w:after="120"/>
              <w:ind w:left="-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CRC 99-02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E06A80" w:rsidRPr="00997CAA" w:rsidRDefault="00E06A80" w:rsidP="00E949E8">
            <w:pPr>
              <w:spacing w:before="120" w:after="120"/>
              <w:ind w:left="-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Cptes individuels</w:t>
            </w:r>
          </w:p>
          <w:p w:rsidR="00E06A80" w:rsidRPr="00997CAA" w:rsidRDefault="00E06A80" w:rsidP="00E949E8">
            <w:pPr>
              <w:spacing w:before="120" w:after="120"/>
              <w:ind w:left="-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PCG après 2019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E06A80" w:rsidRPr="00997CAA" w:rsidRDefault="00E06A80" w:rsidP="00E949E8">
            <w:pPr>
              <w:spacing w:before="120" w:after="120"/>
              <w:ind w:left="-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Cptes consolidés</w:t>
            </w:r>
          </w:p>
          <w:p w:rsidR="00E06A80" w:rsidRPr="00997CAA" w:rsidRDefault="00E06A80" w:rsidP="00E949E8">
            <w:pPr>
              <w:spacing w:before="120" w:after="120"/>
              <w:ind w:left="-113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ANC 2020-01</w:t>
            </w:r>
          </w:p>
        </w:tc>
      </w:tr>
      <w:tr w:rsidR="00E06A80" w:rsidRPr="00E06A80" w:rsidTr="00E06A80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5A6024" w:rsidRPr="00997CAA" w:rsidRDefault="00E06A80" w:rsidP="00E949E8">
            <w:pPr>
              <w:spacing w:before="120" w:after="12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  <w:szCs w:val="20"/>
              </w:rPr>
              <w:t>Activation des coûts de développement (sous conditions)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5A6024" w:rsidRPr="00997CAA" w:rsidRDefault="004E37CB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</w:t>
            </w:r>
            <w:r w:rsidR="00E06A80" w:rsidRPr="00997CAA">
              <w:rPr>
                <w:rFonts w:eastAsia="Calibri"/>
                <w:color w:val="000000" w:themeColor="text1"/>
                <w:sz w:val="20"/>
                <w:szCs w:val="20"/>
              </w:rPr>
              <w:t>référentiel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:rsidR="005A6024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Préférentiel</w:t>
            </w:r>
          </w:p>
          <w:p w:rsidR="004D1AB3" w:rsidRPr="00997CAA" w:rsidRDefault="004D1AB3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12"/>
                <w:szCs w:val="12"/>
              </w:rPr>
              <w:t>CRC 2004-06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5A6024" w:rsidRPr="00997CAA" w:rsidRDefault="004E37CB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R</w:t>
            </w:r>
            <w:r w:rsidR="00E06A80" w:rsidRPr="00997CAA">
              <w:rPr>
                <w:rFonts w:eastAsia="Calibri"/>
                <w:color w:val="000000" w:themeColor="text1"/>
                <w:sz w:val="20"/>
                <w:szCs w:val="20"/>
              </w:rPr>
              <w:t>éférence</w:t>
            </w:r>
          </w:p>
        </w:tc>
        <w:tc>
          <w:tcPr>
            <w:tcW w:w="1643" w:type="dxa"/>
            <w:vAlign w:val="center"/>
          </w:tcPr>
          <w:p w:rsidR="005A6024" w:rsidRPr="00E35C99" w:rsidRDefault="009A3587" w:rsidP="00E949E8">
            <w:pPr>
              <w:spacing w:before="120" w:after="12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35C9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Obligatoire</w:t>
            </w:r>
          </w:p>
        </w:tc>
      </w:tr>
      <w:tr w:rsidR="00BD78D9" w:rsidRPr="00E06A80" w:rsidTr="00E06A80">
        <w:tc>
          <w:tcPr>
            <w:tcW w:w="3261" w:type="dxa"/>
            <w:vAlign w:val="center"/>
          </w:tcPr>
          <w:p w:rsidR="00BD78D9" w:rsidRPr="00997CAA" w:rsidRDefault="00BD78D9" w:rsidP="00E949E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  <w:szCs w:val="20"/>
              </w:rPr>
              <w:t>Activation des coûts des frais de création de sites internet </w:t>
            </w:r>
          </w:p>
        </w:tc>
        <w:tc>
          <w:tcPr>
            <w:tcW w:w="1642" w:type="dxa"/>
            <w:vAlign w:val="center"/>
          </w:tcPr>
          <w:p w:rsidR="00BD78D9" w:rsidRPr="00997CAA" w:rsidRDefault="000E5DD4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Préférentiel</w:t>
            </w:r>
            <w:r w:rsidRPr="00997CAA">
              <w:rPr>
                <w:rFonts w:ascii="Tahoma,Bold" w:hAnsi="Tahoma,Bold" w:cs="Tahoma,Bold"/>
                <w:b/>
                <w:bCs/>
                <w:color w:val="000000" w:themeColor="text1"/>
                <w:sz w:val="20"/>
              </w:rPr>
              <w:br/>
            </w:r>
            <w:r w:rsidRPr="00997CAA">
              <w:rPr>
                <w:rFonts w:eastAsia="Calibri"/>
                <w:color w:val="000000" w:themeColor="text1"/>
                <w:sz w:val="12"/>
                <w:szCs w:val="12"/>
              </w:rPr>
              <w:t>Avis CNC 2004-15</w:t>
            </w:r>
          </w:p>
        </w:tc>
        <w:tc>
          <w:tcPr>
            <w:tcW w:w="1643" w:type="dxa"/>
            <w:vAlign w:val="center"/>
          </w:tcPr>
          <w:p w:rsidR="00BD78D9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Non mentionné</w:t>
            </w:r>
          </w:p>
        </w:tc>
        <w:tc>
          <w:tcPr>
            <w:tcW w:w="1642" w:type="dxa"/>
            <w:vAlign w:val="center"/>
          </w:tcPr>
          <w:p w:rsidR="00BD78D9" w:rsidRPr="00997CAA" w:rsidRDefault="00BD78D9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Référence</w:t>
            </w:r>
          </w:p>
        </w:tc>
        <w:tc>
          <w:tcPr>
            <w:tcW w:w="1643" w:type="dxa"/>
            <w:vAlign w:val="center"/>
          </w:tcPr>
          <w:p w:rsidR="00BD78D9" w:rsidRPr="00E35C99" w:rsidRDefault="00BD78D9" w:rsidP="00E949E8">
            <w:pPr>
              <w:spacing w:before="120" w:after="12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35C9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Obligatoire</w:t>
            </w:r>
          </w:p>
        </w:tc>
      </w:tr>
      <w:tr w:rsidR="00BD78D9" w:rsidRPr="00E06A80" w:rsidTr="00E06A80">
        <w:tc>
          <w:tcPr>
            <w:tcW w:w="3261" w:type="dxa"/>
            <w:vAlign w:val="center"/>
          </w:tcPr>
          <w:p w:rsidR="00BD78D9" w:rsidRPr="00997CAA" w:rsidRDefault="00BD78D9" w:rsidP="00E949E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  <w:szCs w:val="20"/>
              </w:rPr>
              <w:t>Comptabilisation en charges des frais de constitution, de transformation et de premier établissement</w:t>
            </w:r>
          </w:p>
        </w:tc>
        <w:tc>
          <w:tcPr>
            <w:tcW w:w="1642" w:type="dxa"/>
            <w:vAlign w:val="center"/>
          </w:tcPr>
          <w:p w:rsidR="00BD78D9" w:rsidRPr="00997CAA" w:rsidRDefault="00BD78D9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Préférentiel</w:t>
            </w:r>
          </w:p>
        </w:tc>
        <w:tc>
          <w:tcPr>
            <w:tcW w:w="1643" w:type="dxa"/>
            <w:vAlign w:val="center"/>
          </w:tcPr>
          <w:p w:rsidR="00BD78D9" w:rsidRPr="00997CAA" w:rsidRDefault="004D1AB3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Préférentiel</w:t>
            </w:r>
          </w:p>
          <w:p w:rsidR="004D1AB3" w:rsidRPr="00997CAA" w:rsidRDefault="004D1AB3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12"/>
                <w:szCs w:val="12"/>
              </w:rPr>
              <w:t>CRC 2004-06</w:t>
            </w:r>
          </w:p>
        </w:tc>
        <w:tc>
          <w:tcPr>
            <w:tcW w:w="1642" w:type="dxa"/>
            <w:vAlign w:val="center"/>
          </w:tcPr>
          <w:p w:rsidR="00BD78D9" w:rsidRPr="00997CAA" w:rsidRDefault="00BD78D9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Référence</w:t>
            </w:r>
          </w:p>
        </w:tc>
        <w:tc>
          <w:tcPr>
            <w:tcW w:w="1643" w:type="dxa"/>
            <w:vAlign w:val="center"/>
          </w:tcPr>
          <w:p w:rsidR="00BD78D9" w:rsidRPr="00E35C99" w:rsidRDefault="00BD78D9" w:rsidP="00E949E8">
            <w:pPr>
              <w:spacing w:before="120" w:after="12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35C9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Obligatoire</w:t>
            </w:r>
          </w:p>
        </w:tc>
      </w:tr>
      <w:tr w:rsidR="00BD78D9" w:rsidRPr="00E06A80" w:rsidTr="00E06A80">
        <w:tc>
          <w:tcPr>
            <w:tcW w:w="3261" w:type="dxa"/>
            <w:vAlign w:val="center"/>
          </w:tcPr>
          <w:p w:rsidR="00BD78D9" w:rsidRPr="00997CAA" w:rsidRDefault="00BD78D9" w:rsidP="00E949E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  <w:szCs w:val="20"/>
              </w:rPr>
              <w:t>Activation des droits de mutation, honoraires ou commissions et frais d’actes liés à l’acquisition de l’actif</w:t>
            </w:r>
          </w:p>
        </w:tc>
        <w:tc>
          <w:tcPr>
            <w:tcW w:w="1642" w:type="dxa"/>
            <w:vAlign w:val="center"/>
          </w:tcPr>
          <w:p w:rsidR="00BD78D9" w:rsidRPr="00997CAA" w:rsidRDefault="00BD78D9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Possible</w:t>
            </w:r>
          </w:p>
        </w:tc>
        <w:tc>
          <w:tcPr>
            <w:tcW w:w="1643" w:type="dxa"/>
            <w:vAlign w:val="center"/>
          </w:tcPr>
          <w:p w:rsidR="00211660" w:rsidRPr="00997CAA" w:rsidRDefault="00BD78D9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Obligatoire</w:t>
            </w:r>
          </w:p>
        </w:tc>
        <w:tc>
          <w:tcPr>
            <w:tcW w:w="1642" w:type="dxa"/>
            <w:vAlign w:val="center"/>
          </w:tcPr>
          <w:p w:rsidR="00BD78D9" w:rsidRPr="00997CAA" w:rsidRDefault="00BD78D9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Référence</w:t>
            </w:r>
          </w:p>
        </w:tc>
        <w:tc>
          <w:tcPr>
            <w:tcW w:w="1643" w:type="dxa"/>
            <w:vAlign w:val="center"/>
          </w:tcPr>
          <w:p w:rsidR="00BD78D9" w:rsidRPr="00997CAA" w:rsidRDefault="00BD78D9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Obligatoire</w:t>
            </w:r>
          </w:p>
        </w:tc>
      </w:tr>
      <w:tr w:rsidR="00211660" w:rsidRPr="00E06A80" w:rsidTr="00E06A80">
        <w:tc>
          <w:tcPr>
            <w:tcW w:w="3261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  <w:szCs w:val="20"/>
              </w:rPr>
              <w:t>Inscription à l’actif des contrats de crédit-bail</w:t>
            </w:r>
          </w:p>
        </w:tc>
        <w:tc>
          <w:tcPr>
            <w:tcW w:w="1642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Interdit</w:t>
            </w:r>
          </w:p>
        </w:tc>
        <w:tc>
          <w:tcPr>
            <w:tcW w:w="1643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Préférentiel</w:t>
            </w:r>
          </w:p>
        </w:tc>
        <w:tc>
          <w:tcPr>
            <w:tcW w:w="1642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Interdit</w:t>
            </w:r>
          </w:p>
        </w:tc>
        <w:tc>
          <w:tcPr>
            <w:tcW w:w="1643" w:type="dxa"/>
            <w:vAlign w:val="center"/>
          </w:tcPr>
          <w:p w:rsidR="00211660" w:rsidRPr="00E35C99" w:rsidRDefault="00211660" w:rsidP="00E949E8">
            <w:pPr>
              <w:spacing w:before="120" w:after="120"/>
              <w:jc w:val="center"/>
              <w:rPr>
                <w:rFonts w:eastAsia="Calibri"/>
                <w:b/>
                <w:bCs/>
                <w:color w:val="000000" w:themeColor="text1"/>
                <w:sz w:val="20"/>
              </w:rPr>
            </w:pPr>
            <w:r w:rsidRPr="00E35C9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Obligatoire</w:t>
            </w:r>
          </w:p>
        </w:tc>
      </w:tr>
      <w:tr w:rsidR="00211660" w:rsidRPr="00E06A80" w:rsidTr="00E06A80">
        <w:tc>
          <w:tcPr>
            <w:tcW w:w="3261" w:type="dxa"/>
            <w:vAlign w:val="center"/>
          </w:tcPr>
          <w:p w:rsidR="00211660" w:rsidRPr="003A2978" w:rsidRDefault="00211660" w:rsidP="00E949E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</w:rPr>
            </w:pPr>
            <w:r w:rsidRPr="003A2978">
              <w:rPr>
                <w:rFonts w:cstheme="minorHAnsi"/>
                <w:color w:val="000000" w:themeColor="text1"/>
                <w:sz w:val="20"/>
                <w:szCs w:val="20"/>
              </w:rPr>
              <w:t>Etalement des frais d’émission et des primes de remboursement sur la durée de vie des emprunts</w:t>
            </w:r>
          </w:p>
        </w:tc>
        <w:tc>
          <w:tcPr>
            <w:tcW w:w="1642" w:type="dxa"/>
            <w:vAlign w:val="center"/>
          </w:tcPr>
          <w:p w:rsidR="00211660" w:rsidRPr="003A2978" w:rsidRDefault="00997CAA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3A2978">
              <w:rPr>
                <w:rFonts w:eastAsia="Calibri"/>
                <w:color w:val="000000" w:themeColor="text1"/>
                <w:sz w:val="20"/>
                <w:szCs w:val="20"/>
              </w:rPr>
              <w:t>Comptabilisation possible en charges des frais d’émission</w:t>
            </w:r>
          </w:p>
        </w:tc>
        <w:tc>
          <w:tcPr>
            <w:tcW w:w="1643" w:type="dxa"/>
            <w:vAlign w:val="center"/>
          </w:tcPr>
          <w:p w:rsidR="00211660" w:rsidRPr="003A2978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3A2978">
              <w:rPr>
                <w:rFonts w:eastAsia="Calibri"/>
                <w:color w:val="000000" w:themeColor="text1"/>
                <w:sz w:val="20"/>
                <w:szCs w:val="20"/>
              </w:rPr>
              <w:t>Préférentiel</w:t>
            </w:r>
          </w:p>
        </w:tc>
        <w:tc>
          <w:tcPr>
            <w:tcW w:w="1642" w:type="dxa"/>
            <w:vAlign w:val="center"/>
          </w:tcPr>
          <w:p w:rsidR="00211660" w:rsidRPr="003A2978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3A2978">
              <w:rPr>
                <w:rFonts w:eastAsia="Calibri"/>
                <w:color w:val="000000" w:themeColor="text1"/>
                <w:sz w:val="20"/>
                <w:szCs w:val="20"/>
              </w:rPr>
              <w:t>Comptabilisation possible en charges des frais d’émission</w:t>
            </w:r>
          </w:p>
        </w:tc>
        <w:tc>
          <w:tcPr>
            <w:tcW w:w="1643" w:type="dxa"/>
            <w:vAlign w:val="center"/>
          </w:tcPr>
          <w:p w:rsidR="00211660" w:rsidRPr="00E35C99" w:rsidRDefault="00211660" w:rsidP="00E949E8">
            <w:pPr>
              <w:spacing w:before="120" w:after="120"/>
              <w:jc w:val="center"/>
              <w:rPr>
                <w:rFonts w:eastAsia="Calibri"/>
                <w:b/>
                <w:bCs/>
                <w:color w:val="000000" w:themeColor="text1"/>
                <w:sz w:val="20"/>
              </w:rPr>
            </w:pPr>
            <w:r w:rsidRPr="00E35C9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Obligatoire</w:t>
            </w:r>
          </w:p>
        </w:tc>
      </w:tr>
      <w:tr w:rsidR="003A2978" w:rsidRPr="00E06A80" w:rsidTr="00E06A80">
        <w:tc>
          <w:tcPr>
            <w:tcW w:w="3261" w:type="dxa"/>
            <w:vAlign w:val="center"/>
          </w:tcPr>
          <w:p w:rsidR="003A2978" w:rsidRPr="00997CAA" w:rsidRDefault="003A2978" w:rsidP="003A297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  <w:szCs w:val="20"/>
              </w:rPr>
              <w:t>Imputation des frais d’augmentation de capital sur les primes d’émission</w:t>
            </w:r>
          </w:p>
        </w:tc>
        <w:tc>
          <w:tcPr>
            <w:tcW w:w="1642" w:type="dxa"/>
            <w:vAlign w:val="center"/>
          </w:tcPr>
          <w:p w:rsidR="003A2978" w:rsidRPr="00997CAA" w:rsidRDefault="003A2978" w:rsidP="003A297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Préférentiel</w:t>
            </w:r>
          </w:p>
        </w:tc>
        <w:tc>
          <w:tcPr>
            <w:tcW w:w="1643" w:type="dxa"/>
            <w:vAlign w:val="center"/>
          </w:tcPr>
          <w:p w:rsidR="003A2978" w:rsidRPr="00997CAA" w:rsidRDefault="003A2978" w:rsidP="003A297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Obligatoire</w:t>
            </w:r>
          </w:p>
          <w:p w:rsidR="003A2978" w:rsidRPr="00997CAA" w:rsidRDefault="003A2978" w:rsidP="003A297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997CAA">
              <w:rPr>
                <w:rFonts w:eastAsia="Calibri"/>
                <w:color w:val="000000" w:themeColor="text1"/>
                <w:sz w:val="12"/>
                <w:szCs w:val="12"/>
              </w:rPr>
              <w:t>Avis CNC 2000-D</w:t>
            </w:r>
          </w:p>
        </w:tc>
        <w:tc>
          <w:tcPr>
            <w:tcW w:w="1642" w:type="dxa"/>
            <w:vAlign w:val="center"/>
          </w:tcPr>
          <w:p w:rsidR="003A2978" w:rsidRPr="00997CAA" w:rsidRDefault="003A2978" w:rsidP="003A297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Possible</w:t>
            </w:r>
          </w:p>
        </w:tc>
        <w:tc>
          <w:tcPr>
            <w:tcW w:w="1643" w:type="dxa"/>
            <w:vAlign w:val="center"/>
          </w:tcPr>
          <w:p w:rsidR="003A2978" w:rsidRPr="00997CAA" w:rsidRDefault="003A2978" w:rsidP="003A297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Obligatoire</w:t>
            </w:r>
          </w:p>
        </w:tc>
      </w:tr>
      <w:tr w:rsidR="003A2978" w:rsidRPr="00E06A80" w:rsidTr="00E06A80">
        <w:tc>
          <w:tcPr>
            <w:tcW w:w="3261" w:type="dxa"/>
            <w:vAlign w:val="center"/>
          </w:tcPr>
          <w:p w:rsidR="003A2978" w:rsidRPr="00997CAA" w:rsidRDefault="003A2978" w:rsidP="003A297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</w:rPr>
              <w:t>Impôts différés</w:t>
            </w:r>
          </w:p>
        </w:tc>
        <w:tc>
          <w:tcPr>
            <w:tcW w:w="1642" w:type="dxa"/>
            <w:vAlign w:val="center"/>
          </w:tcPr>
          <w:p w:rsidR="003A2978" w:rsidRPr="00997CAA" w:rsidRDefault="003A2978" w:rsidP="003A297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</w:rPr>
              <w:t>Non prévue</w:t>
            </w:r>
          </w:p>
        </w:tc>
        <w:tc>
          <w:tcPr>
            <w:tcW w:w="1643" w:type="dxa"/>
            <w:vAlign w:val="center"/>
          </w:tcPr>
          <w:p w:rsidR="003A2978" w:rsidRPr="00997CAA" w:rsidRDefault="003A2978" w:rsidP="003A297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</w:rPr>
              <w:t>Obligatoire</w:t>
            </w:r>
          </w:p>
        </w:tc>
        <w:tc>
          <w:tcPr>
            <w:tcW w:w="1642" w:type="dxa"/>
            <w:vAlign w:val="center"/>
          </w:tcPr>
          <w:p w:rsidR="003A2978" w:rsidRPr="00997CAA" w:rsidRDefault="003A2978" w:rsidP="003A297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</w:rPr>
              <w:t>Non prévue</w:t>
            </w:r>
          </w:p>
        </w:tc>
        <w:tc>
          <w:tcPr>
            <w:tcW w:w="1643" w:type="dxa"/>
            <w:vAlign w:val="center"/>
          </w:tcPr>
          <w:p w:rsidR="003A2978" w:rsidRPr="00997CAA" w:rsidRDefault="003A2978" w:rsidP="003A297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</w:rPr>
              <w:t>Obligatoire</w:t>
            </w:r>
          </w:p>
        </w:tc>
      </w:tr>
      <w:tr w:rsidR="00211660" w:rsidRPr="00E06A80" w:rsidTr="00E06A80">
        <w:tc>
          <w:tcPr>
            <w:tcW w:w="3261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  <w:szCs w:val="20"/>
              </w:rPr>
              <w:t>Provisionnement des coûts des prestations de retraite</w:t>
            </w:r>
          </w:p>
        </w:tc>
        <w:tc>
          <w:tcPr>
            <w:tcW w:w="1642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Préférentiel</w:t>
            </w:r>
          </w:p>
        </w:tc>
        <w:tc>
          <w:tcPr>
            <w:tcW w:w="1643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Préférentiel</w:t>
            </w:r>
          </w:p>
        </w:tc>
        <w:tc>
          <w:tcPr>
            <w:tcW w:w="1642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Référence</w:t>
            </w:r>
          </w:p>
        </w:tc>
        <w:tc>
          <w:tcPr>
            <w:tcW w:w="1643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Référence</w:t>
            </w:r>
          </w:p>
        </w:tc>
      </w:tr>
      <w:tr w:rsidR="00211660" w:rsidRPr="00E06A80" w:rsidTr="00E06A80">
        <w:tc>
          <w:tcPr>
            <w:tcW w:w="3261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  <w:szCs w:val="20"/>
              </w:rPr>
              <w:t>Comptabilisation des contrats à long terme</w:t>
            </w:r>
          </w:p>
        </w:tc>
        <w:tc>
          <w:tcPr>
            <w:tcW w:w="1642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Avancement préférentiel</w:t>
            </w:r>
          </w:p>
        </w:tc>
        <w:tc>
          <w:tcPr>
            <w:tcW w:w="1643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Avancement préférentiel</w:t>
            </w:r>
          </w:p>
        </w:tc>
        <w:tc>
          <w:tcPr>
            <w:tcW w:w="1642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Pas de méthode de référence</w:t>
            </w:r>
          </w:p>
        </w:tc>
        <w:tc>
          <w:tcPr>
            <w:tcW w:w="1643" w:type="dxa"/>
            <w:vAlign w:val="center"/>
          </w:tcPr>
          <w:p w:rsidR="00211660" w:rsidRPr="00E35C99" w:rsidRDefault="00211660" w:rsidP="00E949E8">
            <w:pPr>
              <w:spacing w:before="120" w:after="12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35C9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Pas de méthode de référence</w:t>
            </w:r>
          </w:p>
        </w:tc>
      </w:tr>
      <w:tr w:rsidR="000E5DD4" w:rsidRPr="00E06A80" w:rsidTr="00E06A80">
        <w:tc>
          <w:tcPr>
            <w:tcW w:w="3261" w:type="dxa"/>
            <w:vAlign w:val="center"/>
          </w:tcPr>
          <w:p w:rsidR="000E5DD4" w:rsidRPr="00997CAA" w:rsidRDefault="00E949E8" w:rsidP="00E949E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Valorisation des stocks en LIFO</w:t>
            </w:r>
          </w:p>
        </w:tc>
        <w:tc>
          <w:tcPr>
            <w:tcW w:w="1642" w:type="dxa"/>
            <w:vAlign w:val="center"/>
          </w:tcPr>
          <w:p w:rsidR="000E5DD4" w:rsidRPr="00997CAA" w:rsidRDefault="000E5DD4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Non prévue</w:t>
            </w:r>
          </w:p>
        </w:tc>
        <w:tc>
          <w:tcPr>
            <w:tcW w:w="1643" w:type="dxa"/>
            <w:vAlign w:val="center"/>
          </w:tcPr>
          <w:p w:rsidR="000E5DD4" w:rsidRPr="00997CAA" w:rsidRDefault="000E5DD4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 xml:space="preserve">Possible </w:t>
            </w: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br/>
            </w:r>
            <w:r w:rsidRPr="00997CAA">
              <w:rPr>
                <w:rFonts w:eastAsia="Calibri"/>
                <w:color w:val="000000" w:themeColor="text1"/>
                <w:sz w:val="12"/>
                <w:szCs w:val="12"/>
              </w:rPr>
              <w:t>(pour les éléments fongibles de l’actif circulant)</w:t>
            </w:r>
          </w:p>
        </w:tc>
        <w:tc>
          <w:tcPr>
            <w:tcW w:w="1642" w:type="dxa"/>
            <w:vAlign w:val="center"/>
          </w:tcPr>
          <w:p w:rsidR="000E5DD4" w:rsidRPr="00997CAA" w:rsidRDefault="000E5DD4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Non prévue</w:t>
            </w:r>
          </w:p>
        </w:tc>
        <w:tc>
          <w:tcPr>
            <w:tcW w:w="1643" w:type="dxa"/>
            <w:vAlign w:val="center"/>
          </w:tcPr>
          <w:p w:rsidR="000E5DD4" w:rsidRPr="00997CAA" w:rsidRDefault="000E5DD4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 xml:space="preserve">Possible </w:t>
            </w: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br/>
            </w:r>
            <w:r w:rsidRPr="00997CAA">
              <w:rPr>
                <w:rFonts w:eastAsia="Calibri"/>
                <w:color w:val="000000" w:themeColor="text1"/>
                <w:sz w:val="12"/>
                <w:szCs w:val="12"/>
              </w:rPr>
              <w:t>(pour les éléments fongibles de l’actif circulant)</w:t>
            </w:r>
          </w:p>
        </w:tc>
      </w:tr>
      <w:tr w:rsidR="00211660" w:rsidRPr="00E06A80" w:rsidTr="00E06A80">
        <w:tc>
          <w:tcPr>
            <w:tcW w:w="3261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  <w:szCs w:val="20"/>
              </w:rPr>
              <w:t>Enregistrement en résultat des écarts de conversion</w:t>
            </w:r>
          </w:p>
        </w:tc>
        <w:tc>
          <w:tcPr>
            <w:tcW w:w="1642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Interdit</w:t>
            </w:r>
          </w:p>
        </w:tc>
        <w:tc>
          <w:tcPr>
            <w:tcW w:w="1643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Préférentiel</w:t>
            </w:r>
          </w:p>
        </w:tc>
        <w:tc>
          <w:tcPr>
            <w:tcW w:w="1642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  <w:szCs w:val="20"/>
              </w:rPr>
              <w:t>Interdit</w:t>
            </w:r>
          </w:p>
        </w:tc>
        <w:tc>
          <w:tcPr>
            <w:tcW w:w="1643" w:type="dxa"/>
            <w:vAlign w:val="center"/>
          </w:tcPr>
          <w:p w:rsidR="00211660" w:rsidRPr="00E35C99" w:rsidRDefault="00211660" w:rsidP="00E949E8">
            <w:pPr>
              <w:spacing w:before="120" w:after="12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35C9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Interdit</w:t>
            </w:r>
          </w:p>
        </w:tc>
      </w:tr>
      <w:tr w:rsidR="00211660" w:rsidRPr="00E06A80" w:rsidTr="00E06A80">
        <w:tc>
          <w:tcPr>
            <w:tcW w:w="3261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7CAA">
              <w:rPr>
                <w:rFonts w:cstheme="minorHAnsi"/>
                <w:color w:val="000000" w:themeColor="text1"/>
                <w:sz w:val="20"/>
              </w:rPr>
              <w:t>Ecriture comptabilisée pour la seule application des législations fiscales</w:t>
            </w:r>
          </w:p>
        </w:tc>
        <w:tc>
          <w:tcPr>
            <w:tcW w:w="1642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</w:rPr>
              <w:t>Autorisé</w:t>
            </w:r>
          </w:p>
        </w:tc>
        <w:tc>
          <w:tcPr>
            <w:tcW w:w="1643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</w:rPr>
              <w:t>Interdit</w:t>
            </w:r>
          </w:p>
        </w:tc>
        <w:tc>
          <w:tcPr>
            <w:tcW w:w="1642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</w:rPr>
              <w:t>Autorisé</w:t>
            </w:r>
          </w:p>
        </w:tc>
        <w:tc>
          <w:tcPr>
            <w:tcW w:w="1643" w:type="dxa"/>
            <w:vAlign w:val="center"/>
          </w:tcPr>
          <w:p w:rsidR="00211660" w:rsidRPr="00997CAA" w:rsidRDefault="00211660" w:rsidP="00E949E8">
            <w:pPr>
              <w:spacing w:before="120" w:after="12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97CAA">
              <w:rPr>
                <w:rFonts w:eastAsia="Calibri"/>
                <w:color w:val="000000" w:themeColor="text1"/>
                <w:sz w:val="20"/>
              </w:rPr>
              <w:t>Interdit</w:t>
            </w:r>
          </w:p>
        </w:tc>
      </w:tr>
    </w:tbl>
    <w:p w:rsidR="006A66B9" w:rsidRDefault="006A66B9" w:rsidP="004430C7">
      <w:pPr>
        <w:rPr>
          <w:rFonts w:eastAsia="Calibri"/>
          <w:lang w:eastAsia="en-US"/>
        </w:rPr>
      </w:pPr>
    </w:p>
    <w:sectPr w:rsidR="006A66B9" w:rsidSect="00A161F7">
      <w:headerReference w:type="default" r:id="rId12"/>
      <w:footerReference w:type="default" r:id="rId13"/>
      <w:type w:val="continuous"/>
      <w:pgSz w:w="11906" w:h="16838" w:code="9"/>
      <w:pgMar w:top="1134" w:right="1134" w:bottom="1021" w:left="1418" w:header="28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C5" w:rsidRDefault="000E34C5">
      <w:r>
        <w:separator/>
      </w:r>
    </w:p>
  </w:endnote>
  <w:endnote w:type="continuationSeparator" w:id="1">
    <w:p w:rsidR="000E34C5" w:rsidRDefault="000E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F7" w:rsidRPr="00ED5A97" w:rsidRDefault="00A161F7" w:rsidP="00ED5A97">
    <w:pPr>
      <w:pStyle w:val="Pieddepage"/>
    </w:pPr>
    <w:r w:rsidRPr="00F12DC5">
      <w:rPr>
        <w:sz w:val="12"/>
      </w:rPr>
      <w:t>Veille comptable 20</w:t>
    </w:r>
    <w:r>
      <w:rPr>
        <w:sz w:val="12"/>
      </w:rPr>
      <w:t>21</w:t>
    </w:r>
    <w:r w:rsidRPr="00F12DC5">
      <w:rPr>
        <w:sz w:val="12"/>
      </w:rPr>
      <w:t xml:space="preserve"> n°</w:t>
    </w:r>
    <w:r>
      <w:rPr>
        <w:sz w:val="12"/>
      </w:rPr>
      <w:t>1</w:t>
    </w:r>
    <w:r w:rsidRPr="00F12DC5">
      <w:rPr>
        <w:sz w:val="12"/>
      </w:rPr>
      <w:t>. doc</w:t>
    </w:r>
    <w:r w:rsidRPr="00ED5A97">
      <w:tab/>
    </w:r>
    <w:r w:rsidRPr="00ED5A97">
      <w:rPr>
        <w:sz w:val="16"/>
      </w:rPr>
      <w:t xml:space="preserve">© Réseau CRCF - Ministère de l'Éducation nationale - </w:t>
    </w:r>
    <w:hyperlink r:id="rId1" w:history="1">
      <w:r w:rsidRPr="00ED5A97">
        <w:rPr>
          <w:rStyle w:val="Lienhypertexte"/>
          <w:color w:val="auto"/>
          <w:sz w:val="16"/>
          <w:szCs w:val="16"/>
          <w:u w:val="none"/>
        </w:rPr>
        <w:t>http://crcf.ac-grenoble.fr</w:t>
      </w:r>
    </w:hyperlink>
    <w:r w:rsidRPr="00ED5A97">
      <w:tab/>
      <w:t xml:space="preserve">page </w:t>
    </w:r>
    <w:r w:rsidR="008D0DC6" w:rsidRPr="00ED5A97">
      <w:fldChar w:fldCharType="begin"/>
    </w:r>
    <w:r w:rsidRPr="00ED5A97">
      <w:instrText xml:space="preserve"> PAGE   \* MERGEFORMAT </w:instrText>
    </w:r>
    <w:r w:rsidR="008D0DC6" w:rsidRPr="00ED5A97">
      <w:fldChar w:fldCharType="separate"/>
    </w:r>
    <w:r w:rsidR="00707708">
      <w:rPr>
        <w:noProof/>
      </w:rPr>
      <w:t>1</w:t>
    </w:r>
    <w:r w:rsidR="008D0DC6" w:rsidRPr="00ED5A97">
      <w:fldChar w:fldCharType="end"/>
    </w:r>
    <w:r w:rsidRPr="00ED5A97">
      <w:t>/</w:t>
    </w:r>
    <w:fldSimple w:instr=" NUMPAGES   \* MERGEFORMAT ">
      <w:r w:rsidR="00707708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C5" w:rsidRDefault="000E34C5">
      <w:r>
        <w:separator/>
      </w:r>
    </w:p>
  </w:footnote>
  <w:footnote w:type="continuationSeparator" w:id="1">
    <w:p w:rsidR="000E34C5" w:rsidRDefault="000E3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1F7" w:rsidRPr="00ED5A97" w:rsidRDefault="00A161F7" w:rsidP="00ED5A97">
    <w:pPr>
      <w:pStyle w:val="En-tte"/>
    </w:pPr>
    <w:r>
      <w:t>Actualité comptable</w:t>
    </w:r>
    <w:r w:rsidRPr="00ED5A97">
      <w:tab/>
    </w:r>
    <w:r w:rsidRPr="00ED5A97">
      <w:tab/>
    </w:r>
    <w:r>
      <w:t>Février 202</w:t>
    </w:r>
    <w:r w:rsidR="000A765D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06DB4029"/>
    <w:multiLevelType w:val="multilevel"/>
    <w:tmpl w:val="5EE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1BA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BCD7BC9"/>
    <w:multiLevelType w:val="hybridMultilevel"/>
    <w:tmpl w:val="6324E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3CBA"/>
    <w:multiLevelType w:val="hybridMultilevel"/>
    <w:tmpl w:val="E4506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835A8"/>
    <w:multiLevelType w:val="hybridMultilevel"/>
    <w:tmpl w:val="25DE1ECC"/>
    <w:lvl w:ilvl="0" w:tplc="C5DAAF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5277C"/>
    <w:multiLevelType w:val="multilevel"/>
    <w:tmpl w:val="070A60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>
    <w:nsid w:val="2A831A75"/>
    <w:multiLevelType w:val="hybridMultilevel"/>
    <w:tmpl w:val="7A929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A499E"/>
    <w:multiLevelType w:val="hybridMultilevel"/>
    <w:tmpl w:val="5ADE7884"/>
    <w:lvl w:ilvl="0" w:tplc="DCBA708E">
      <w:start w:val="1"/>
      <w:numFmt w:val="bullet"/>
      <w:pStyle w:val="liste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B21A9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3559"/>
    <w:multiLevelType w:val="hybridMultilevel"/>
    <w:tmpl w:val="2B42FB72"/>
    <w:lvl w:ilvl="0" w:tplc="040C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93067"/>
    <w:multiLevelType w:val="hybridMultilevel"/>
    <w:tmpl w:val="400A2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70D78"/>
    <w:multiLevelType w:val="hybridMultilevel"/>
    <w:tmpl w:val="2B42FB72"/>
    <w:lvl w:ilvl="0" w:tplc="040C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97838"/>
    <w:multiLevelType w:val="hybridMultilevel"/>
    <w:tmpl w:val="9912B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43B3B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14DE7"/>
    <w:multiLevelType w:val="multilevel"/>
    <w:tmpl w:val="9E9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D07CC9"/>
    <w:multiLevelType w:val="multilevel"/>
    <w:tmpl w:val="DBA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594C51"/>
    <w:multiLevelType w:val="hybridMultilevel"/>
    <w:tmpl w:val="ADECE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5336C"/>
    <w:multiLevelType w:val="hybridMultilevel"/>
    <w:tmpl w:val="CF16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B3B94"/>
    <w:multiLevelType w:val="multilevel"/>
    <w:tmpl w:val="C15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DE19A5"/>
    <w:multiLevelType w:val="multilevel"/>
    <w:tmpl w:val="05F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97A2B"/>
    <w:multiLevelType w:val="hybridMultilevel"/>
    <w:tmpl w:val="1C2E736E"/>
    <w:lvl w:ilvl="0" w:tplc="1AC4396C">
      <w:start w:val="1"/>
      <w:numFmt w:val="bullet"/>
      <w:pStyle w:val="StyleVerdana8ptAvant5ptAprs6ptInterligneAumo1"/>
      <w:lvlText w:val=""/>
      <w:lvlJc w:val="left"/>
      <w:pPr>
        <w:tabs>
          <w:tab w:val="num" w:pos="426"/>
        </w:tabs>
        <w:ind w:left="426" w:hanging="142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E421871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E203C"/>
    <w:multiLevelType w:val="hybridMultilevel"/>
    <w:tmpl w:val="CF16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22F12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7"/>
  </w:num>
  <w:num w:numId="5">
    <w:abstractNumId w:val="8"/>
  </w:num>
  <w:num w:numId="6">
    <w:abstractNumId w:val="18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23"/>
  </w:num>
  <w:num w:numId="12">
    <w:abstractNumId w:val="20"/>
  </w:num>
  <w:num w:numId="13">
    <w:abstractNumId w:val="15"/>
  </w:num>
  <w:num w:numId="14">
    <w:abstractNumId w:val="19"/>
  </w:num>
  <w:num w:numId="15">
    <w:abstractNumId w:val="16"/>
  </w:num>
  <w:num w:numId="16">
    <w:abstractNumId w:val="11"/>
  </w:num>
  <w:num w:numId="17">
    <w:abstractNumId w:val="4"/>
  </w:num>
  <w:num w:numId="18">
    <w:abstractNumId w:val="10"/>
  </w:num>
  <w:num w:numId="19">
    <w:abstractNumId w:val="17"/>
  </w:num>
  <w:num w:numId="20">
    <w:abstractNumId w:val="0"/>
  </w:num>
  <w:num w:numId="21">
    <w:abstractNumId w:val="22"/>
  </w:num>
  <w:num w:numId="22">
    <w:abstractNumId w:val="9"/>
  </w:num>
  <w:num w:numId="23">
    <w:abstractNumId w:val="14"/>
  </w:num>
  <w:num w:numId="24">
    <w:abstractNumId w:val="24"/>
  </w:num>
  <w:num w:numId="25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60EA"/>
    <w:rsid w:val="00000189"/>
    <w:rsid w:val="00016B2F"/>
    <w:rsid w:val="00020DF6"/>
    <w:rsid w:val="00030DE5"/>
    <w:rsid w:val="00044392"/>
    <w:rsid w:val="00045EF8"/>
    <w:rsid w:val="000467E0"/>
    <w:rsid w:val="000473B7"/>
    <w:rsid w:val="00060389"/>
    <w:rsid w:val="00070014"/>
    <w:rsid w:val="00082D36"/>
    <w:rsid w:val="000916FF"/>
    <w:rsid w:val="00091E31"/>
    <w:rsid w:val="000924F4"/>
    <w:rsid w:val="00093417"/>
    <w:rsid w:val="00093D7C"/>
    <w:rsid w:val="00094210"/>
    <w:rsid w:val="00097F94"/>
    <w:rsid w:val="000A765D"/>
    <w:rsid w:val="000B3D0F"/>
    <w:rsid w:val="000C2D62"/>
    <w:rsid w:val="000D0628"/>
    <w:rsid w:val="000E34C5"/>
    <w:rsid w:val="000E5DD4"/>
    <w:rsid w:val="000E7084"/>
    <w:rsid w:val="00102B5B"/>
    <w:rsid w:val="001159E9"/>
    <w:rsid w:val="001159F5"/>
    <w:rsid w:val="00122DD8"/>
    <w:rsid w:val="00146388"/>
    <w:rsid w:val="00150D9C"/>
    <w:rsid w:val="00151650"/>
    <w:rsid w:val="0015246D"/>
    <w:rsid w:val="001735D1"/>
    <w:rsid w:val="00187B53"/>
    <w:rsid w:val="00191E27"/>
    <w:rsid w:val="001934F7"/>
    <w:rsid w:val="001A553A"/>
    <w:rsid w:val="001A5C95"/>
    <w:rsid w:val="001B4AAE"/>
    <w:rsid w:val="001C0872"/>
    <w:rsid w:val="001D2098"/>
    <w:rsid w:val="001D2444"/>
    <w:rsid w:val="001D500F"/>
    <w:rsid w:val="001E0018"/>
    <w:rsid w:val="001E08E5"/>
    <w:rsid w:val="001F30FF"/>
    <w:rsid w:val="001F4166"/>
    <w:rsid w:val="0020688C"/>
    <w:rsid w:val="00211660"/>
    <w:rsid w:val="00213E06"/>
    <w:rsid w:val="00215F0E"/>
    <w:rsid w:val="00217004"/>
    <w:rsid w:val="002231F6"/>
    <w:rsid w:val="00230396"/>
    <w:rsid w:val="00240001"/>
    <w:rsid w:val="0025004C"/>
    <w:rsid w:val="00250221"/>
    <w:rsid w:val="00251623"/>
    <w:rsid w:val="00273CD9"/>
    <w:rsid w:val="00280C29"/>
    <w:rsid w:val="00283C6F"/>
    <w:rsid w:val="002936D1"/>
    <w:rsid w:val="002A063C"/>
    <w:rsid w:val="002A35E3"/>
    <w:rsid w:val="002A5158"/>
    <w:rsid w:val="002B632B"/>
    <w:rsid w:val="002B6FF6"/>
    <w:rsid w:val="002C4C4D"/>
    <w:rsid w:val="002D4028"/>
    <w:rsid w:val="002E3802"/>
    <w:rsid w:val="002E58AD"/>
    <w:rsid w:val="002E5F47"/>
    <w:rsid w:val="002E6E3A"/>
    <w:rsid w:val="002F280B"/>
    <w:rsid w:val="002F2BD3"/>
    <w:rsid w:val="002F61A3"/>
    <w:rsid w:val="00302B4F"/>
    <w:rsid w:val="0030302D"/>
    <w:rsid w:val="00316A2A"/>
    <w:rsid w:val="00323C9B"/>
    <w:rsid w:val="0032792C"/>
    <w:rsid w:val="00333D37"/>
    <w:rsid w:val="00335B0A"/>
    <w:rsid w:val="00383399"/>
    <w:rsid w:val="003968C6"/>
    <w:rsid w:val="003A1A03"/>
    <w:rsid w:val="003A2978"/>
    <w:rsid w:val="003B1E29"/>
    <w:rsid w:val="003B4D2D"/>
    <w:rsid w:val="003B53A3"/>
    <w:rsid w:val="003B7ADB"/>
    <w:rsid w:val="003D4EEE"/>
    <w:rsid w:val="003E2FB2"/>
    <w:rsid w:val="003E38E9"/>
    <w:rsid w:val="003E469F"/>
    <w:rsid w:val="003E5082"/>
    <w:rsid w:val="003E785A"/>
    <w:rsid w:val="003E79BA"/>
    <w:rsid w:val="003F4A6D"/>
    <w:rsid w:val="00416205"/>
    <w:rsid w:val="004235E6"/>
    <w:rsid w:val="004430C7"/>
    <w:rsid w:val="004563F0"/>
    <w:rsid w:val="004723A2"/>
    <w:rsid w:val="00485820"/>
    <w:rsid w:val="004878D8"/>
    <w:rsid w:val="004945F6"/>
    <w:rsid w:val="00494661"/>
    <w:rsid w:val="004A0727"/>
    <w:rsid w:val="004C2CD6"/>
    <w:rsid w:val="004D1AB3"/>
    <w:rsid w:val="004D1E60"/>
    <w:rsid w:val="004E00E7"/>
    <w:rsid w:val="004E01FD"/>
    <w:rsid w:val="004E22CF"/>
    <w:rsid w:val="004E37CB"/>
    <w:rsid w:val="004E67D0"/>
    <w:rsid w:val="004F7346"/>
    <w:rsid w:val="0050214D"/>
    <w:rsid w:val="00531586"/>
    <w:rsid w:val="00534ACD"/>
    <w:rsid w:val="005461B5"/>
    <w:rsid w:val="005462AA"/>
    <w:rsid w:val="0055086D"/>
    <w:rsid w:val="005532AF"/>
    <w:rsid w:val="00553891"/>
    <w:rsid w:val="0055467D"/>
    <w:rsid w:val="00555C2B"/>
    <w:rsid w:val="0057008E"/>
    <w:rsid w:val="005748D2"/>
    <w:rsid w:val="005808F0"/>
    <w:rsid w:val="005827A1"/>
    <w:rsid w:val="005858B8"/>
    <w:rsid w:val="005A2EB6"/>
    <w:rsid w:val="005A6024"/>
    <w:rsid w:val="005B7E5B"/>
    <w:rsid w:val="006073E0"/>
    <w:rsid w:val="00610797"/>
    <w:rsid w:val="00625F26"/>
    <w:rsid w:val="00632A31"/>
    <w:rsid w:val="00633F70"/>
    <w:rsid w:val="00644C99"/>
    <w:rsid w:val="00653276"/>
    <w:rsid w:val="00656EF7"/>
    <w:rsid w:val="00657C9E"/>
    <w:rsid w:val="00662F9E"/>
    <w:rsid w:val="00672D5A"/>
    <w:rsid w:val="006765B0"/>
    <w:rsid w:val="00677458"/>
    <w:rsid w:val="0067773E"/>
    <w:rsid w:val="00692512"/>
    <w:rsid w:val="006A058D"/>
    <w:rsid w:val="006A66B9"/>
    <w:rsid w:val="006A6AF0"/>
    <w:rsid w:val="006A7700"/>
    <w:rsid w:val="006B2337"/>
    <w:rsid w:val="006B2493"/>
    <w:rsid w:val="006B618F"/>
    <w:rsid w:val="006C23D1"/>
    <w:rsid w:val="006D2A49"/>
    <w:rsid w:val="006E511E"/>
    <w:rsid w:val="006E6615"/>
    <w:rsid w:val="006F29D2"/>
    <w:rsid w:val="006F6B32"/>
    <w:rsid w:val="00703D53"/>
    <w:rsid w:val="00707708"/>
    <w:rsid w:val="00707D27"/>
    <w:rsid w:val="00713651"/>
    <w:rsid w:val="007218FC"/>
    <w:rsid w:val="0073264E"/>
    <w:rsid w:val="00734305"/>
    <w:rsid w:val="00742289"/>
    <w:rsid w:val="007536C1"/>
    <w:rsid w:val="00762D43"/>
    <w:rsid w:val="0077054E"/>
    <w:rsid w:val="00771FA0"/>
    <w:rsid w:val="007745C9"/>
    <w:rsid w:val="0077551F"/>
    <w:rsid w:val="00782042"/>
    <w:rsid w:val="00787BE3"/>
    <w:rsid w:val="00797FE3"/>
    <w:rsid w:val="007A07B4"/>
    <w:rsid w:val="007A1A0D"/>
    <w:rsid w:val="007A5544"/>
    <w:rsid w:val="007B6B62"/>
    <w:rsid w:val="007C0974"/>
    <w:rsid w:val="007D1648"/>
    <w:rsid w:val="007F0C73"/>
    <w:rsid w:val="00805568"/>
    <w:rsid w:val="0081689C"/>
    <w:rsid w:val="00825703"/>
    <w:rsid w:val="00850718"/>
    <w:rsid w:val="008602E9"/>
    <w:rsid w:val="00866276"/>
    <w:rsid w:val="00873551"/>
    <w:rsid w:val="00873873"/>
    <w:rsid w:val="00895D27"/>
    <w:rsid w:val="00896530"/>
    <w:rsid w:val="008974D1"/>
    <w:rsid w:val="008976D7"/>
    <w:rsid w:val="008B1E61"/>
    <w:rsid w:val="008B3941"/>
    <w:rsid w:val="008B40B6"/>
    <w:rsid w:val="008C1FC5"/>
    <w:rsid w:val="008C35AC"/>
    <w:rsid w:val="008C415E"/>
    <w:rsid w:val="008D0DC6"/>
    <w:rsid w:val="008E7D0A"/>
    <w:rsid w:val="008F2F8B"/>
    <w:rsid w:val="0090509F"/>
    <w:rsid w:val="00910001"/>
    <w:rsid w:val="00917123"/>
    <w:rsid w:val="00926FA4"/>
    <w:rsid w:val="00933156"/>
    <w:rsid w:val="00936048"/>
    <w:rsid w:val="00956F1D"/>
    <w:rsid w:val="009622C9"/>
    <w:rsid w:val="0097249D"/>
    <w:rsid w:val="0097402C"/>
    <w:rsid w:val="00982901"/>
    <w:rsid w:val="00992A30"/>
    <w:rsid w:val="00996418"/>
    <w:rsid w:val="00997CAA"/>
    <w:rsid w:val="009A3587"/>
    <w:rsid w:val="009A49A8"/>
    <w:rsid w:val="009A4A6D"/>
    <w:rsid w:val="009A558B"/>
    <w:rsid w:val="009B1DBA"/>
    <w:rsid w:val="009B4368"/>
    <w:rsid w:val="009C3961"/>
    <w:rsid w:val="009D1A99"/>
    <w:rsid w:val="009E0FC5"/>
    <w:rsid w:val="009F0D00"/>
    <w:rsid w:val="009F438B"/>
    <w:rsid w:val="00A01D74"/>
    <w:rsid w:val="00A059C6"/>
    <w:rsid w:val="00A161F7"/>
    <w:rsid w:val="00A3151D"/>
    <w:rsid w:val="00A33E74"/>
    <w:rsid w:val="00A33E9D"/>
    <w:rsid w:val="00A46E8C"/>
    <w:rsid w:val="00A860D2"/>
    <w:rsid w:val="00AA3015"/>
    <w:rsid w:val="00AA62CA"/>
    <w:rsid w:val="00AB3D5B"/>
    <w:rsid w:val="00AD39CE"/>
    <w:rsid w:val="00AD5245"/>
    <w:rsid w:val="00AD73B7"/>
    <w:rsid w:val="00AE4856"/>
    <w:rsid w:val="00B036D5"/>
    <w:rsid w:val="00B36DAD"/>
    <w:rsid w:val="00B543E0"/>
    <w:rsid w:val="00B654DA"/>
    <w:rsid w:val="00B927E8"/>
    <w:rsid w:val="00B957E2"/>
    <w:rsid w:val="00BA25F7"/>
    <w:rsid w:val="00BA41EA"/>
    <w:rsid w:val="00BA4734"/>
    <w:rsid w:val="00BB49A1"/>
    <w:rsid w:val="00BB6769"/>
    <w:rsid w:val="00BB756B"/>
    <w:rsid w:val="00BC297F"/>
    <w:rsid w:val="00BD1DF2"/>
    <w:rsid w:val="00BD53D4"/>
    <w:rsid w:val="00BD78D9"/>
    <w:rsid w:val="00BF0220"/>
    <w:rsid w:val="00BF3665"/>
    <w:rsid w:val="00C065D3"/>
    <w:rsid w:val="00C162C4"/>
    <w:rsid w:val="00C2424A"/>
    <w:rsid w:val="00C30425"/>
    <w:rsid w:val="00C525AD"/>
    <w:rsid w:val="00C54EDF"/>
    <w:rsid w:val="00C57C62"/>
    <w:rsid w:val="00C81112"/>
    <w:rsid w:val="00C8440E"/>
    <w:rsid w:val="00C9394F"/>
    <w:rsid w:val="00C94276"/>
    <w:rsid w:val="00C948B0"/>
    <w:rsid w:val="00C95349"/>
    <w:rsid w:val="00CA60EA"/>
    <w:rsid w:val="00CC58DB"/>
    <w:rsid w:val="00CD03EC"/>
    <w:rsid w:val="00CD50B7"/>
    <w:rsid w:val="00CE199E"/>
    <w:rsid w:val="00CF7068"/>
    <w:rsid w:val="00D03824"/>
    <w:rsid w:val="00D102BE"/>
    <w:rsid w:val="00D12D23"/>
    <w:rsid w:val="00D1469C"/>
    <w:rsid w:val="00D1497E"/>
    <w:rsid w:val="00D214F1"/>
    <w:rsid w:val="00D23A96"/>
    <w:rsid w:val="00D27D31"/>
    <w:rsid w:val="00D42AFA"/>
    <w:rsid w:val="00D55F57"/>
    <w:rsid w:val="00D652B9"/>
    <w:rsid w:val="00D652F2"/>
    <w:rsid w:val="00D7509E"/>
    <w:rsid w:val="00D94261"/>
    <w:rsid w:val="00DA0870"/>
    <w:rsid w:val="00DA0F0B"/>
    <w:rsid w:val="00DA1F26"/>
    <w:rsid w:val="00DA249E"/>
    <w:rsid w:val="00DA2999"/>
    <w:rsid w:val="00DA6585"/>
    <w:rsid w:val="00DC1B41"/>
    <w:rsid w:val="00DD3A16"/>
    <w:rsid w:val="00DD7226"/>
    <w:rsid w:val="00DE7E4D"/>
    <w:rsid w:val="00DF0382"/>
    <w:rsid w:val="00DF0F27"/>
    <w:rsid w:val="00DF555C"/>
    <w:rsid w:val="00DF5E22"/>
    <w:rsid w:val="00E06A80"/>
    <w:rsid w:val="00E35C99"/>
    <w:rsid w:val="00E35E35"/>
    <w:rsid w:val="00E85C04"/>
    <w:rsid w:val="00E949E8"/>
    <w:rsid w:val="00E96191"/>
    <w:rsid w:val="00EA0C87"/>
    <w:rsid w:val="00ED53BD"/>
    <w:rsid w:val="00ED5A97"/>
    <w:rsid w:val="00F0560B"/>
    <w:rsid w:val="00F12DC5"/>
    <w:rsid w:val="00F21AFC"/>
    <w:rsid w:val="00F22770"/>
    <w:rsid w:val="00F324B1"/>
    <w:rsid w:val="00F35225"/>
    <w:rsid w:val="00F439E6"/>
    <w:rsid w:val="00F43ECC"/>
    <w:rsid w:val="00F449FE"/>
    <w:rsid w:val="00F5722D"/>
    <w:rsid w:val="00F81336"/>
    <w:rsid w:val="00F84664"/>
    <w:rsid w:val="00F85052"/>
    <w:rsid w:val="00F87E2F"/>
    <w:rsid w:val="00FB30A1"/>
    <w:rsid w:val="00FB3E09"/>
    <w:rsid w:val="00FC09DC"/>
    <w:rsid w:val="00FD38D1"/>
    <w:rsid w:val="00FD502A"/>
    <w:rsid w:val="00FE4D51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35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50221"/>
    <w:pPr>
      <w:pBdr>
        <w:top w:val="single" w:sz="18" w:space="4" w:color="B8CCE4"/>
        <w:bottom w:val="single" w:sz="8" w:space="1" w:color="0F243E"/>
      </w:pBdr>
      <w:shd w:val="clear" w:color="auto" w:fill="1F497D"/>
      <w:spacing w:before="120" w:after="240"/>
      <w:jc w:val="left"/>
      <w:outlineLvl w:val="0"/>
    </w:pPr>
    <w:rPr>
      <w:rFonts w:ascii="Arial" w:eastAsia="Calibri" w:hAnsi="Arial" w:cs="Arial"/>
      <w:b/>
      <w:color w:val="FFFFFF"/>
      <w:sz w:val="28"/>
      <w:szCs w:val="22"/>
      <w:lang w:eastAsia="en-US"/>
    </w:rPr>
  </w:style>
  <w:style w:type="paragraph" w:styleId="Titre2">
    <w:name w:val="heading 2"/>
    <w:basedOn w:val="Normal"/>
    <w:next w:val="Normal"/>
    <w:qFormat/>
    <w:rsid w:val="00A01D74"/>
    <w:pPr>
      <w:keepNext/>
      <w:spacing w:before="240" w:after="240"/>
      <w:outlineLvl w:val="1"/>
    </w:pPr>
    <w:rPr>
      <w:rFonts w:ascii="Arial" w:hAnsi="Arial" w:cs="Arial"/>
      <w:b/>
      <w:bCs/>
      <w:iCs/>
      <w:color w:val="0F243E"/>
      <w:sz w:val="26"/>
      <w:szCs w:val="26"/>
      <w:u w:val="single"/>
    </w:rPr>
  </w:style>
  <w:style w:type="paragraph" w:styleId="Titre3">
    <w:name w:val="heading 3"/>
    <w:basedOn w:val="Normal"/>
    <w:next w:val="Normal"/>
    <w:autoRedefine/>
    <w:qFormat/>
    <w:rsid w:val="00A01D74"/>
    <w:pPr>
      <w:keepNext/>
      <w:tabs>
        <w:tab w:val="left" w:pos="1134"/>
      </w:tabs>
      <w:spacing w:before="240" w:after="120"/>
      <w:outlineLvl w:val="2"/>
    </w:pPr>
    <w:rPr>
      <w:rFonts w:ascii="Arial" w:hAnsi="Arial" w:cs="Arial"/>
      <w:b/>
      <w:bCs/>
      <w:i/>
      <w:iCs/>
      <w:color w:val="0F243E"/>
      <w:szCs w:val="26"/>
    </w:rPr>
  </w:style>
  <w:style w:type="paragraph" w:styleId="Titre4">
    <w:name w:val="heading 4"/>
    <w:basedOn w:val="Normal"/>
    <w:next w:val="Normal"/>
    <w:qFormat/>
    <w:rsid w:val="00A01D74"/>
    <w:pPr>
      <w:keepNext/>
      <w:spacing w:before="120" w:after="120"/>
      <w:outlineLvl w:val="3"/>
    </w:pPr>
    <w:rPr>
      <w:rFonts w:ascii="Arial" w:hAnsi="Arial" w:cs="Arial"/>
      <w:b/>
      <w:bCs/>
      <w:color w:val="0F243E"/>
      <w:sz w:val="20"/>
      <w:szCs w:val="24"/>
    </w:rPr>
  </w:style>
  <w:style w:type="paragraph" w:styleId="Titre5">
    <w:name w:val="heading 5"/>
    <w:basedOn w:val="Normal"/>
    <w:next w:val="Normal"/>
    <w:qFormat/>
    <w:rsid w:val="00A01D74"/>
    <w:pPr>
      <w:spacing w:before="120" w:after="60"/>
      <w:outlineLvl w:val="4"/>
    </w:pPr>
    <w:rPr>
      <w:rFonts w:cs="Arial"/>
      <w:bCs/>
      <w:i/>
      <w:iCs/>
      <w:szCs w:val="22"/>
    </w:rPr>
  </w:style>
  <w:style w:type="paragraph" w:styleId="Titre6">
    <w:name w:val="heading 6"/>
    <w:basedOn w:val="Normal"/>
    <w:next w:val="Normal"/>
    <w:qFormat/>
    <w:rsid w:val="0032792C"/>
    <w:pPr>
      <w:spacing w:before="240" w:after="60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97F94"/>
    <w:pPr>
      <w:numPr>
        <w:numId w:val="4"/>
      </w:numPr>
      <w:tabs>
        <w:tab w:val="left" w:pos="567"/>
      </w:tabs>
      <w:spacing w:after="120"/>
      <w:ind w:left="568" w:hanging="284"/>
    </w:pPr>
  </w:style>
  <w:style w:type="character" w:styleId="Lienhypertexte">
    <w:name w:val="Hyperlink"/>
    <w:uiPriority w:val="99"/>
    <w:rsid w:val="008C1FC5"/>
    <w:rPr>
      <w:color w:val="0000FF"/>
      <w:u w:val="single"/>
    </w:rPr>
  </w:style>
  <w:style w:type="character" w:styleId="lev">
    <w:name w:val="Strong"/>
    <w:uiPriority w:val="22"/>
    <w:qFormat/>
    <w:rsid w:val="00AD39CE"/>
    <w:rPr>
      <w:b/>
      <w:bCs/>
    </w:rPr>
  </w:style>
  <w:style w:type="character" w:styleId="Marquedecommentaire">
    <w:name w:val="annotation reference"/>
    <w:semiHidden/>
    <w:rsid w:val="00016B2F"/>
    <w:rPr>
      <w:sz w:val="16"/>
      <w:szCs w:val="16"/>
    </w:rPr>
  </w:style>
  <w:style w:type="paragraph" w:styleId="Commentaire">
    <w:name w:val="annotation text"/>
    <w:basedOn w:val="Normal"/>
    <w:semiHidden/>
    <w:rsid w:val="00016B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16B2F"/>
    <w:rPr>
      <w:b/>
      <w:bCs/>
    </w:rPr>
  </w:style>
  <w:style w:type="paragraph" w:styleId="Textedebulles">
    <w:name w:val="Balloon Text"/>
    <w:basedOn w:val="Normal"/>
    <w:semiHidden/>
    <w:rsid w:val="00016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D5A97"/>
    <w:pPr>
      <w:tabs>
        <w:tab w:val="center" w:pos="5760"/>
        <w:tab w:val="right" w:pos="9072"/>
      </w:tabs>
    </w:pPr>
    <w:rPr>
      <w:rFonts w:ascii="Arial" w:hAnsi="Arial" w:cs="Arial"/>
      <w:b/>
      <w:sz w:val="18"/>
      <w:szCs w:val="18"/>
    </w:rPr>
  </w:style>
  <w:style w:type="paragraph" w:styleId="Pieddepage">
    <w:name w:val="footer"/>
    <w:basedOn w:val="Normal"/>
    <w:rsid w:val="00ED5A97"/>
    <w:pPr>
      <w:pBdr>
        <w:top w:val="single" w:sz="4" w:space="1" w:color="auto"/>
      </w:pBdr>
      <w:tabs>
        <w:tab w:val="center" w:pos="4860"/>
        <w:tab w:val="right" w:pos="9072"/>
      </w:tabs>
    </w:pPr>
    <w:rPr>
      <w:rFonts w:ascii="Arial" w:hAnsi="Arial" w:cs="Arial"/>
      <w:b/>
      <w:sz w:val="18"/>
      <w:szCs w:val="18"/>
    </w:rPr>
  </w:style>
  <w:style w:type="paragraph" w:customStyle="1" w:styleId="Titre215pt">
    <w:name w:val="Titre 2 + 15 pt"/>
    <w:aliases w:val="Non Italique"/>
    <w:basedOn w:val="Titre2"/>
    <w:rsid w:val="002F2BD3"/>
    <w:rPr>
      <w:i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33E74"/>
    <w:pPr>
      <w:tabs>
        <w:tab w:val="left" w:pos="284"/>
        <w:tab w:val="right" w:leader="dot" w:pos="9072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A33E74"/>
    <w:pPr>
      <w:tabs>
        <w:tab w:val="left" w:pos="567"/>
        <w:tab w:val="right" w:pos="9072"/>
      </w:tabs>
      <w:spacing w:before="240"/>
      <w:ind w:left="142"/>
    </w:pPr>
    <w:rPr>
      <w:b/>
      <w:bCs/>
      <w:noProof/>
      <w:sz w:val="20"/>
    </w:rPr>
  </w:style>
  <w:style w:type="paragraph" w:styleId="TM3">
    <w:name w:val="toc 3"/>
    <w:basedOn w:val="Normal"/>
    <w:next w:val="Normal"/>
    <w:autoRedefine/>
    <w:uiPriority w:val="39"/>
    <w:rsid w:val="00A33E74"/>
    <w:pPr>
      <w:tabs>
        <w:tab w:val="left" w:pos="993"/>
        <w:tab w:val="right" w:leader="dot" w:pos="9072"/>
      </w:tabs>
      <w:ind w:left="426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rsid w:val="00F35225"/>
    <w:pPr>
      <w:ind w:left="44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F35225"/>
    <w:pPr>
      <w:ind w:left="66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F35225"/>
    <w:pPr>
      <w:ind w:left="88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F35225"/>
    <w:pPr>
      <w:ind w:left="11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F35225"/>
    <w:pPr>
      <w:ind w:left="132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F35225"/>
    <w:pPr>
      <w:ind w:left="1540"/>
    </w:pPr>
    <w:rPr>
      <w:sz w:val="20"/>
    </w:rPr>
  </w:style>
  <w:style w:type="numbering" w:styleId="111111">
    <w:name w:val="Outline List 2"/>
    <w:basedOn w:val="Aucuneliste"/>
    <w:rsid w:val="006E511E"/>
    <w:pPr>
      <w:numPr>
        <w:numId w:val="2"/>
      </w:numPr>
    </w:pPr>
  </w:style>
  <w:style w:type="paragraph" w:customStyle="1" w:styleId="StyleVerdana8ptAvant5ptAprs6ptInterligneAumo1">
    <w:name w:val="Style Verdana 8 pt Avant : 5 pt Après : 6 pt Interligne : Au mo...1"/>
    <w:basedOn w:val="Normal"/>
    <w:rsid w:val="006E511E"/>
    <w:pPr>
      <w:numPr>
        <w:numId w:val="3"/>
      </w:numPr>
    </w:pPr>
  </w:style>
  <w:style w:type="character" w:styleId="Lienhypertextesuivivisit">
    <w:name w:val="FollowedHyperlink"/>
    <w:rsid w:val="00AE485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71FA0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771FA0"/>
    <w:rPr>
      <w:i/>
      <w:iCs/>
    </w:rPr>
  </w:style>
  <w:style w:type="paragraph" w:styleId="Titre">
    <w:name w:val="Title"/>
    <w:basedOn w:val="Normal"/>
    <w:next w:val="Normal"/>
    <w:link w:val="TitreCar"/>
    <w:qFormat/>
    <w:rsid w:val="00A01D74"/>
    <w:pPr>
      <w:pBdr>
        <w:top w:val="single" w:sz="4" w:space="6" w:color="DDDDDD"/>
        <w:bottom w:val="single" w:sz="4" w:space="6" w:color="DDDDDD"/>
      </w:pBdr>
      <w:shd w:val="clear" w:color="auto" w:fill="DBE5F1"/>
      <w:spacing w:before="120" w:after="240"/>
      <w:ind w:left="1701" w:right="1701"/>
      <w:jc w:val="center"/>
    </w:pPr>
    <w:rPr>
      <w:rFonts w:ascii="Arial" w:hAnsi="Arial" w:cs="Arial"/>
      <w:b/>
      <w:sz w:val="36"/>
      <w:szCs w:val="36"/>
    </w:rPr>
  </w:style>
  <w:style w:type="character" w:customStyle="1" w:styleId="TitreCar">
    <w:name w:val="Titre Car"/>
    <w:link w:val="Titre"/>
    <w:rsid w:val="00A01D74"/>
    <w:rPr>
      <w:rFonts w:ascii="Arial" w:hAnsi="Arial" w:cs="Arial"/>
      <w:b/>
      <w:sz w:val="36"/>
      <w:szCs w:val="36"/>
      <w:shd w:val="clear" w:color="auto" w:fill="DBE5F1"/>
    </w:rPr>
  </w:style>
  <w:style w:type="paragraph" w:customStyle="1" w:styleId="liste2">
    <w:name w:val="liste2"/>
    <w:basedOn w:val="Normal"/>
    <w:link w:val="liste2Car"/>
    <w:qFormat/>
    <w:rsid w:val="00097F94"/>
    <w:pPr>
      <w:numPr>
        <w:numId w:val="5"/>
      </w:numPr>
      <w:spacing w:after="120"/>
      <w:ind w:left="851" w:hanging="284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33E74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character" w:customStyle="1" w:styleId="liste2Car">
    <w:name w:val="liste2 Car"/>
    <w:link w:val="liste2"/>
    <w:rsid w:val="00097F94"/>
    <w:rPr>
      <w:rFonts w:ascii="Calibri" w:hAnsi="Calibri"/>
      <w:sz w:val="22"/>
    </w:rPr>
  </w:style>
  <w:style w:type="paragraph" w:customStyle="1" w:styleId="Annexe">
    <w:name w:val="Annexe"/>
    <w:basedOn w:val="Normal"/>
    <w:link w:val="AnnexeCar"/>
    <w:qFormat/>
    <w:rsid w:val="006073E0"/>
    <w:pPr>
      <w:pBdr>
        <w:top w:val="single" w:sz="12" w:space="1" w:color="17365D"/>
      </w:pBdr>
      <w:shd w:val="clear" w:color="auto" w:fill="C6D9F1"/>
      <w:spacing w:before="120" w:after="240"/>
      <w:jc w:val="left"/>
    </w:pPr>
    <w:rPr>
      <w:rFonts w:eastAsia="Calibri"/>
      <w:b/>
      <w:color w:val="003366"/>
      <w:sz w:val="28"/>
      <w:szCs w:val="22"/>
      <w:lang w:eastAsia="en-US"/>
    </w:rPr>
  </w:style>
  <w:style w:type="character" w:customStyle="1" w:styleId="AnnexeCar">
    <w:name w:val="Annexe Car"/>
    <w:link w:val="Annexe"/>
    <w:rsid w:val="006073E0"/>
    <w:rPr>
      <w:rFonts w:ascii="Calibri" w:eastAsia="Calibri" w:hAnsi="Calibri"/>
      <w:b/>
      <w:color w:val="003366"/>
      <w:sz w:val="28"/>
      <w:szCs w:val="22"/>
      <w:shd w:val="clear" w:color="auto" w:fill="C6D9F1"/>
      <w:lang w:eastAsia="en-US"/>
    </w:rPr>
  </w:style>
  <w:style w:type="paragraph" w:styleId="Paragraphedeliste">
    <w:name w:val="List Paragraph"/>
    <w:basedOn w:val="Normal"/>
    <w:uiPriority w:val="34"/>
    <w:qFormat/>
    <w:rsid w:val="00C953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ansinterligne">
    <w:name w:val="No Spacing"/>
    <w:uiPriority w:val="1"/>
    <w:qFormat/>
    <w:rsid w:val="00C953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953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D73B7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782042"/>
    <w:rPr>
      <w:rFonts w:ascii="Arial" w:eastAsia="Calibri" w:hAnsi="Arial" w:cs="Arial"/>
      <w:b/>
      <w:color w:val="FFFFFF"/>
      <w:sz w:val="28"/>
      <w:szCs w:val="22"/>
      <w:shd w:val="clear" w:color="auto" w:fill="1F497D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091E31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91E31"/>
    <w:rPr>
      <w:rFonts w:ascii="Calibri" w:hAnsi="Calibri"/>
    </w:rPr>
  </w:style>
  <w:style w:type="character" w:customStyle="1" w:styleId="ctreference">
    <w:name w:val="ct_reference"/>
    <w:basedOn w:val="Policepardfaut"/>
    <w:rsid w:val="00A3151D"/>
  </w:style>
  <w:style w:type="character" w:customStyle="1" w:styleId="hidden-xs">
    <w:name w:val="hidden-xs"/>
    <w:basedOn w:val="Policepardfaut"/>
    <w:rsid w:val="00797FE3"/>
  </w:style>
  <w:style w:type="paragraph" w:customStyle="1" w:styleId="emphb-para">
    <w:name w:val="emphb-para"/>
    <w:basedOn w:val="Normal"/>
    <w:rsid w:val="00797F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iscalement">
    <w:name w:val="fiscalement"/>
    <w:basedOn w:val="Normal"/>
    <w:rsid w:val="00797F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Normal"/>
    <w:rsid w:val="00797F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97F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97FE3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97F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97FE3"/>
    <w:rPr>
      <w:rFonts w:ascii="Arial" w:hAnsi="Arial" w:cs="Arial"/>
      <w:vanish/>
      <w:sz w:val="16"/>
      <w:szCs w:val="16"/>
    </w:rPr>
  </w:style>
  <w:style w:type="character" w:customStyle="1" w:styleId="cookies-close-block">
    <w:name w:val="cookies-close-block"/>
    <w:basedOn w:val="Policepardfaut"/>
    <w:rsid w:val="00797FE3"/>
  </w:style>
  <w:style w:type="character" w:customStyle="1" w:styleId="cookies-a">
    <w:name w:val="cookies-a"/>
    <w:basedOn w:val="Policepardfaut"/>
    <w:rsid w:val="00797FE3"/>
  </w:style>
  <w:style w:type="paragraph" w:customStyle="1" w:styleId="exemple-western">
    <w:name w:val="exemple-western"/>
    <w:basedOn w:val="Normal"/>
    <w:rsid w:val="003833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7054E"/>
    <w:rPr>
      <w:color w:val="605E5C"/>
      <w:shd w:val="clear" w:color="auto" w:fill="E1DFDD"/>
    </w:rPr>
  </w:style>
  <w:style w:type="paragraph" w:customStyle="1" w:styleId="Default">
    <w:name w:val="Default"/>
    <w:rsid w:val="009A558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7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6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0381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0788">
                                                          <w:marLeft w:val="49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003035">
                                                          <w:marLeft w:val="4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234090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0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8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3055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884292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354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4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2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283850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nc.gouv.fr/files/live/sites/anc/files/contributed/ANC/1_Normes_fran%c3%a7aises/Reglements/2020/Reglt_2020_01/Reglt_2020_01_version_recuei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cf.ac-grenoble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593A1-7422-4D8E-A194-5F38D211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1652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&lt;Intitulé du document saisi dans Fichier, Propriétés&gt;</vt:lpstr>
    </vt:vector>
  </TitlesOfParts>
  <Company>CRCF EN</Company>
  <LinksUpToDate>false</LinksUpToDate>
  <CharactersWithSpaces>10719</CharactersWithSpaces>
  <SharedDoc>false</SharedDoc>
  <HLinks>
    <vt:vector size="78" baseType="variant"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_Toc337805170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_Toc337805169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_Toc337805168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_Toc337805167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_Toc337805166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_Toc337805165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_Toc337805164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_Toc337805163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_Toc337805162</vt:lpwstr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</vt:lpwstr>
      </vt:variant>
      <vt:variant>
        <vt:lpwstr/>
      </vt:variant>
      <vt:variant>
        <vt:i4>2883629</vt:i4>
      </vt:variant>
      <vt:variant>
        <vt:i4>33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2883629</vt:i4>
      </vt:variant>
      <vt:variant>
        <vt:i4>21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917510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http://creativecommons.org/licenses/by-nc-sa/2.0/fr/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&lt;Intitulé du document saisi dans Fichier, Propriétés&gt;</dc:title>
  <dc:subject>&lt;catégorie, thème&gt; Ex: Crcf Privé, Fonctionnement...</dc:subject>
  <dc:creator>svial</dc:creator>
  <cp:keywords>Charte graphique Document type (séparateur=espace)</cp:keywords>
  <dc:description>Version 1.3, 23/10/2009, format Word 2000-2003</dc:description>
  <cp:lastModifiedBy>Audrey</cp:lastModifiedBy>
  <cp:revision>20</cp:revision>
  <cp:lastPrinted>2021-02-11T16:22:00Z</cp:lastPrinted>
  <dcterms:created xsi:type="dcterms:W3CDTF">2021-02-11T07:33:00Z</dcterms:created>
  <dcterms:modified xsi:type="dcterms:W3CDTF">2021-02-12T15:09:00Z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