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479" w14:textId="77777777" w:rsidR="00A42CA7" w:rsidRPr="00A42CA7" w:rsidRDefault="00A42CA7" w:rsidP="00A42CA7">
      <w:pPr>
        <w:spacing w:line="240" w:lineRule="auto"/>
        <w:jc w:val="left"/>
      </w:pPr>
    </w:p>
    <w:p w14:paraId="2B8400DF" w14:textId="77629182" w:rsidR="00A42CA7" w:rsidRPr="00A42CA7" w:rsidRDefault="00A42CA7" w:rsidP="00A42CA7">
      <w:pPr>
        <w:pStyle w:val="Titre"/>
        <w:jc w:val="center"/>
      </w:pPr>
      <w:r w:rsidRPr="00A42CA7">
        <w:t>Loi de finances pour 202</w:t>
      </w:r>
      <w:r w:rsidR="00D71EF5">
        <w:t>6</w:t>
      </w:r>
    </w:p>
    <w:p w14:paraId="02222C94" w14:textId="77777777" w:rsidR="00A42CA7" w:rsidRPr="00A42CA7" w:rsidRDefault="00A42CA7" w:rsidP="00A42CA7">
      <w:pPr>
        <w:spacing w:line="240" w:lineRule="auto"/>
        <w:jc w:val="center"/>
        <w:rPr>
          <w:b/>
        </w:rPr>
      </w:pPr>
    </w:p>
    <w:p w14:paraId="733D9D59" w14:textId="77777777" w:rsidR="00CC4090" w:rsidRDefault="00CC4090" w:rsidP="00CC4090">
      <w:pPr>
        <w:spacing w:line="240" w:lineRule="auto"/>
        <w:jc w:val="center"/>
      </w:pPr>
    </w:p>
    <w:p w14:paraId="498B92B4" w14:textId="77777777" w:rsidR="00CC4090" w:rsidRDefault="00CC4090" w:rsidP="00CC4090">
      <w:pPr>
        <w:pBdr>
          <w:top w:val="single" w:sz="4" w:space="1" w:color="auto"/>
          <w:left w:val="single" w:sz="4" w:space="4" w:color="auto"/>
          <w:bottom w:val="single" w:sz="4" w:space="1" w:color="auto"/>
          <w:right w:val="single" w:sz="4" w:space="4" w:color="auto"/>
        </w:pBdr>
        <w:spacing w:line="240" w:lineRule="auto"/>
        <w:jc w:val="center"/>
      </w:pPr>
    </w:p>
    <w:p w14:paraId="7414DAC4" w14:textId="5C241AAB" w:rsidR="00A42CA7" w:rsidRDefault="00000000" w:rsidP="00CC4090">
      <w:pPr>
        <w:pBdr>
          <w:top w:val="single" w:sz="4" w:space="1" w:color="auto"/>
          <w:left w:val="single" w:sz="4" w:space="4" w:color="auto"/>
          <w:bottom w:val="single" w:sz="4" w:space="1" w:color="auto"/>
          <w:right w:val="single" w:sz="4" w:space="4" w:color="auto"/>
        </w:pBdr>
        <w:spacing w:line="240" w:lineRule="auto"/>
        <w:jc w:val="center"/>
        <w:rPr>
          <w:b/>
          <w:bCs/>
        </w:rPr>
      </w:pPr>
      <w:hyperlink r:id="rId8" w:history="1">
        <w:r w:rsidR="00A42CA7" w:rsidRPr="00A42CA7">
          <w:rPr>
            <w:rStyle w:val="Lienhypertexte"/>
            <w:b/>
            <w:bCs/>
          </w:rPr>
          <w:t>LOI n° 202</w:t>
        </w:r>
        <w:r w:rsidR="00D71EF5">
          <w:rPr>
            <w:rStyle w:val="Lienhypertexte"/>
            <w:b/>
            <w:bCs/>
          </w:rPr>
          <w:t>6</w:t>
        </w:r>
        <w:r w:rsidR="00A42CA7" w:rsidRPr="00A42CA7">
          <w:rPr>
            <w:rStyle w:val="Lienhypertexte"/>
            <w:b/>
            <w:bCs/>
          </w:rPr>
          <w:t>-12</w:t>
        </w:r>
        <w:r w:rsidR="00D71EF5">
          <w:rPr>
            <w:rStyle w:val="Lienhypertexte"/>
            <w:b/>
            <w:bCs/>
          </w:rPr>
          <w:t>3</w:t>
        </w:r>
      </w:hyperlink>
      <w:r w:rsidR="00A42CA7" w:rsidRPr="00A42CA7">
        <w:rPr>
          <w:b/>
          <w:bCs/>
        </w:rPr>
        <w:t xml:space="preserve"> du 1</w:t>
      </w:r>
      <w:r w:rsidR="00D71EF5">
        <w:rPr>
          <w:b/>
          <w:bCs/>
        </w:rPr>
        <w:t>9</w:t>
      </w:r>
      <w:r w:rsidR="00A42CA7" w:rsidRPr="00A42CA7">
        <w:rPr>
          <w:b/>
          <w:bCs/>
        </w:rPr>
        <w:t xml:space="preserve"> février 202</w:t>
      </w:r>
      <w:r w:rsidR="00D71EF5">
        <w:rPr>
          <w:b/>
          <w:bCs/>
        </w:rPr>
        <w:t>6</w:t>
      </w:r>
      <w:r w:rsidR="00A42CA7" w:rsidRPr="00A42CA7">
        <w:rPr>
          <w:b/>
          <w:bCs/>
        </w:rPr>
        <w:t xml:space="preserve"> de finances pour 202</w:t>
      </w:r>
      <w:r w:rsidR="00D71EF5">
        <w:rPr>
          <w:b/>
          <w:bCs/>
        </w:rPr>
        <w:t>6</w:t>
      </w:r>
    </w:p>
    <w:p w14:paraId="17A104BB" w14:textId="77777777" w:rsidR="00CC4090" w:rsidRDefault="00CC4090" w:rsidP="00CC4090">
      <w:pPr>
        <w:pBdr>
          <w:top w:val="single" w:sz="4" w:space="1" w:color="auto"/>
          <w:left w:val="single" w:sz="4" w:space="4" w:color="auto"/>
          <w:bottom w:val="single" w:sz="4" w:space="1" w:color="auto"/>
          <w:right w:val="single" w:sz="4" w:space="4" w:color="auto"/>
        </w:pBdr>
        <w:spacing w:line="240" w:lineRule="auto"/>
        <w:jc w:val="center"/>
        <w:rPr>
          <w:b/>
          <w:bCs/>
        </w:rPr>
      </w:pPr>
    </w:p>
    <w:p w14:paraId="75C03389" w14:textId="6F6D42C2" w:rsidR="00CC4090" w:rsidRPr="00A42CA7" w:rsidRDefault="00CC4090" w:rsidP="00CC4090">
      <w:pPr>
        <w:spacing w:line="240" w:lineRule="auto"/>
        <w:jc w:val="center"/>
        <w:rPr>
          <w:b/>
          <w:bCs/>
        </w:rPr>
      </w:pPr>
    </w:p>
    <w:p w14:paraId="5F198977" w14:textId="05EF080A" w:rsidR="00A42CA7" w:rsidRPr="00A42CA7" w:rsidRDefault="00A42CA7" w:rsidP="00A42CA7">
      <w:pPr>
        <w:spacing w:line="240" w:lineRule="auto"/>
        <w:jc w:val="left"/>
        <w:rPr>
          <w:bCs/>
        </w:rPr>
      </w:pPr>
    </w:p>
    <w:p w14:paraId="71BB7929" w14:textId="77777777" w:rsidR="00A42CA7" w:rsidRPr="00A42CA7" w:rsidRDefault="00A42CA7" w:rsidP="00A42CA7">
      <w:pPr>
        <w:spacing w:line="240" w:lineRule="auto"/>
        <w:jc w:val="left"/>
      </w:pPr>
    </w:p>
    <w:p w14:paraId="40241F6B" w14:textId="77777777" w:rsidR="00A42CA7" w:rsidRPr="00A42CA7" w:rsidRDefault="00A42CA7" w:rsidP="00A42CA7">
      <w:pPr>
        <w:spacing w:line="240" w:lineRule="auto"/>
        <w:jc w:val="left"/>
        <w:rPr>
          <w:b/>
          <w:u w:val="single"/>
        </w:rPr>
      </w:pPr>
      <w:r w:rsidRPr="00A42CA7">
        <w:rPr>
          <w:b/>
          <w:u w:val="single"/>
        </w:rPr>
        <w:t>Sommaire</w:t>
      </w:r>
    </w:p>
    <w:p w14:paraId="44D619B9" w14:textId="77777777" w:rsidR="00A42CA7" w:rsidRPr="00A42CA7" w:rsidRDefault="00A42CA7" w:rsidP="00A42CA7">
      <w:pPr>
        <w:spacing w:line="240" w:lineRule="auto"/>
        <w:jc w:val="left"/>
      </w:pPr>
    </w:p>
    <w:p w14:paraId="64A59D7B" w14:textId="47BEEA7D" w:rsidR="00A42CA7" w:rsidRPr="00A42CA7" w:rsidRDefault="00000000" w:rsidP="00A42CA7">
      <w:pPr>
        <w:numPr>
          <w:ilvl w:val="0"/>
          <w:numId w:val="18"/>
        </w:numPr>
        <w:spacing w:line="240" w:lineRule="auto"/>
        <w:jc w:val="left"/>
        <w:rPr>
          <w:b/>
          <w:bCs/>
          <w:u w:val="single"/>
        </w:rPr>
      </w:pPr>
      <w:hyperlink w:anchor="particuliers" w:history="1">
        <w:r w:rsidR="00A42CA7" w:rsidRPr="0009593B">
          <w:rPr>
            <w:rStyle w:val="Lienhypertexte"/>
            <w:b/>
            <w:bCs/>
          </w:rPr>
          <w:t>Fiscalité des particuliers</w:t>
        </w:r>
      </w:hyperlink>
    </w:p>
    <w:p w14:paraId="40975844" w14:textId="77777777" w:rsidR="00A42CA7" w:rsidRPr="00A42CA7" w:rsidRDefault="00A42CA7" w:rsidP="00A42CA7">
      <w:pPr>
        <w:spacing w:line="240" w:lineRule="auto"/>
        <w:jc w:val="left"/>
      </w:pPr>
    </w:p>
    <w:p w14:paraId="092207B7" w14:textId="516F37AB" w:rsidR="00A42CA7" w:rsidRPr="00A42CA7" w:rsidRDefault="00A42CA7" w:rsidP="00A42CA7">
      <w:pPr>
        <w:numPr>
          <w:ilvl w:val="0"/>
          <w:numId w:val="19"/>
        </w:numPr>
        <w:spacing w:line="240" w:lineRule="auto"/>
        <w:jc w:val="left"/>
      </w:pPr>
      <w:hyperlink w:anchor="bareme" w:history="1">
        <w:r w:rsidRPr="0009593B">
          <w:rPr>
            <w:rStyle w:val="Lienhypertexte"/>
          </w:rPr>
          <w:t>Barème de l’IR sur les revenus 202</w:t>
        </w:r>
        <w:r w:rsidR="00D71EF5" w:rsidRPr="0009593B">
          <w:rPr>
            <w:rStyle w:val="Lienhypertexte"/>
          </w:rPr>
          <w:t>5</w:t>
        </w:r>
      </w:hyperlink>
    </w:p>
    <w:p w14:paraId="798EB73E" w14:textId="640D6895" w:rsidR="00A42CA7" w:rsidRDefault="00000000" w:rsidP="00A42CA7">
      <w:pPr>
        <w:numPr>
          <w:ilvl w:val="0"/>
          <w:numId w:val="19"/>
        </w:numPr>
        <w:spacing w:line="240" w:lineRule="auto"/>
        <w:jc w:val="left"/>
      </w:pPr>
      <w:hyperlink w:anchor="bareme" w:history="1">
        <w:r w:rsidR="00A42CA7" w:rsidRPr="0009593B">
          <w:rPr>
            <w:rStyle w:val="Lienhypertexte"/>
          </w:rPr>
          <w:t>Seuils et limites d’imposition pour les revenus 202</w:t>
        </w:r>
        <w:r w:rsidR="00D71EF5" w:rsidRPr="0009593B">
          <w:rPr>
            <w:rStyle w:val="Lienhypertexte"/>
          </w:rPr>
          <w:t>5</w:t>
        </w:r>
      </w:hyperlink>
    </w:p>
    <w:p w14:paraId="3CF7D9C3" w14:textId="5AE8E647" w:rsidR="00461EDA" w:rsidRDefault="00000000" w:rsidP="00A42CA7">
      <w:pPr>
        <w:numPr>
          <w:ilvl w:val="0"/>
          <w:numId w:val="19"/>
        </w:numPr>
        <w:spacing w:line="240" w:lineRule="auto"/>
        <w:jc w:val="left"/>
      </w:pPr>
      <w:hyperlink w:anchor="bailleur" w:history="1">
        <w:r w:rsidR="00461EDA" w:rsidRPr="0009593B">
          <w:rPr>
            <w:rStyle w:val="Lienhypertexte"/>
          </w:rPr>
          <w:t>Nouveau statut du bailleur privé</w:t>
        </w:r>
      </w:hyperlink>
    </w:p>
    <w:p w14:paraId="5FF4D3BC" w14:textId="7456EEEB" w:rsidR="00461EDA" w:rsidRDefault="00000000" w:rsidP="00A42CA7">
      <w:pPr>
        <w:numPr>
          <w:ilvl w:val="0"/>
          <w:numId w:val="19"/>
        </w:numPr>
        <w:spacing w:line="240" w:lineRule="auto"/>
        <w:jc w:val="left"/>
      </w:pPr>
      <w:hyperlink w:anchor="IRdivers" w:history="1">
        <w:r w:rsidR="00461EDA" w:rsidRPr="0009593B">
          <w:rPr>
            <w:rStyle w:val="Lienhypertexte"/>
          </w:rPr>
          <w:t>IR mesures diverses </w:t>
        </w:r>
      </w:hyperlink>
      <w:r w:rsidR="00461EDA">
        <w:t>: RI dons, option barème des RCM/PV, pourboires, CDHR</w:t>
      </w:r>
    </w:p>
    <w:p w14:paraId="363FAB4C" w14:textId="77777777" w:rsidR="00461EDA" w:rsidRPr="00A42CA7" w:rsidRDefault="00461EDA" w:rsidP="00461EDA">
      <w:pPr>
        <w:spacing w:line="240" w:lineRule="auto"/>
        <w:jc w:val="left"/>
      </w:pPr>
    </w:p>
    <w:p w14:paraId="2C5E1B75" w14:textId="77777777" w:rsidR="00A42CA7" w:rsidRPr="00A42CA7" w:rsidRDefault="00A42CA7" w:rsidP="00A42CA7">
      <w:pPr>
        <w:spacing w:line="240" w:lineRule="auto"/>
        <w:jc w:val="left"/>
      </w:pPr>
    </w:p>
    <w:p w14:paraId="31501FE3" w14:textId="6C47F335" w:rsidR="00A42CA7" w:rsidRPr="00A42CA7" w:rsidRDefault="00000000" w:rsidP="00A42CA7">
      <w:pPr>
        <w:numPr>
          <w:ilvl w:val="0"/>
          <w:numId w:val="18"/>
        </w:numPr>
        <w:spacing w:line="240" w:lineRule="auto"/>
        <w:jc w:val="left"/>
        <w:rPr>
          <w:b/>
          <w:bCs/>
          <w:u w:val="single"/>
        </w:rPr>
      </w:pPr>
      <w:hyperlink w:anchor="Entreprises" w:history="1">
        <w:r w:rsidR="00A42CA7" w:rsidRPr="0009593B">
          <w:rPr>
            <w:rStyle w:val="Lienhypertexte"/>
            <w:b/>
            <w:bCs/>
          </w:rPr>
          <w:t>Fiscalité des entreprises</w:t>
        </w:r>
      </w:hyperlink>
    </w:p>
    <w:p w14:paraId="69E40CC5" w14:textId="77777777" w:rsidR="00A42CA7" w:rsidRPr="00A42CA7" w:rsidRDefault="00A42CA7" w:rsidP="00A42CA7">
      <w:pPr>
        <w:spacing w:line="240" w:lineRule="auto"/>
        <w:jc w:val="left"/>
        <w:rPr>
          <w:b/>
        </w:rPr>
      </w:pPr>
    </w:p>
    <w:p w14:paraId="6CCAE271" w14:textId="0E3D079D" w:rsidR="00A42CA7" w:rsidRDefault="00000000" w:rsidP="00A42CA7">
      <w:pPr>
        <w:numPr>
          <w:ilvl w:val="0"/>
          <w:numId w:val="19"/>
        </w:numPr>
        <w:spacing w:line="240" w:lineRule="auto"/>
        <w:jc w:val="left"/>
      </w:pPr>
      <w:hyperlink w:anchor="Entreprises" w:history="1">
        <w:r w:rsidR="00A42CA7" w:rsidRPr="0009593B">
          <w:rPr>
            <w:rStyle w:val="Lienhypertexte"/>
          </w:rPr>
          <w:t>Seuils et limites 202</w:t>
        </w:r>
        <w:r w:rsidR="00D71EF5" w:rsidRPr="0009593B">
          <w:rPr>
            <w:rStyle w:val="Lienhypertexte"/>
          </w:rPr>
          <w:t>6</w:t>
        </w:r>
        <w:r w:rsidR="00A42CA7" w:rsidRPr="0009593B">
          <w:rPr>
            <w:rStyle w:val="Lienhypertexte"/>
          </w:rPr>
          <w:t>-202</w:t>
        </w:r>
        <w:r w:rsidR="00D71EF5" w:rsidRPr="0009593B">
          <w:rPr>
            <w:rStyle w:val="Lienhypertexte"/>
          </w:rPr>
          <w:t>8</w:t>
        </w:r>
      </w:hyperlink>
    </w:p>
    <w:p w14:paraId="0E5047FC" w14:textId="56C8A166" w:rsidR="00D71EF5" w:rsidRDefault="00000000" w:rsidP="00A42CA7">
      <w:pPr>
        <w:numPr>
          <w:ilvl w:val="0"/>
          <w:numId w:val="19"/>
        </w:numPr>
        <w:spacing w:line="240" w:lineRule="auto"/>
        <w:jc w:val="left"/>
      </w:pPr>
      <w:hyperlink w:anchor="RSD" w:history="1">
        <w:r w:rsidR="00461EDA" w:rsidRPr="0009593B">
          <w:rPr>
            <w:rStyle w:val="Lienhypertexte"/>
          </w:rPr>
          <w:t>TVA : rappel suppression RSD</w:t>
        </w:r>
      </w:hyperlink>
    </w:p>
    <w:p w14:paraId="5B1AB690" w14:textId="7156C8BA" w:rsidR="00461EDA" w:rsidRDefault="00000000" w:rsidP="00A42CA7">
      <w:pPr>
        <w:numPr>
          <w:ilvl w:val="0"/>
          <w:numId w:val="19"/>
        </w:numPr>
        <w:spacing w:line="240" w:lineRule="auto"/>
        <w:jc w:val="left"/>
      </w:pPr>
      <w:hyperlink w:anchor="tvafactelec" w:history="1">
        <w:r w:rsidR="00461EDA" w:rsidRPr="0009593B">
          <w:rPr>
            <w:rStyle w:val="Lienhypertexte"/>
          </w:rPr>
          <w:t>TVA : facturation électronique</w:t>
        </w:r>
      </w:hyperlink>
    </w:p>
    <w:p w14:paraId="0FE84111" w14:textId="0BE3FC50" w:rsidR="00461EDA" w:rsidRDefault="00000000" w:rsidP="00A42CA7">
      <w:pPr>
        <w:numPr>
          <w:ilvl w:val="0"/>
          <w:numId w:val="19"/>
        </w:numPr>
        <w:spacing w:line="240" w:lineRule="auto"/>
        <w:jc w:val="left"/>
      </w:pPr>
      <w:hyperlink w:anchor="tvadivers" w:history="1">
        <w:r w:rsidR="00461EDA" w:rsidRPr="0009593B">
          <w:rPr>
            <w:rStyle w:val="Lienhypertexte"/>
          </w:rPr>
          <w:t>TVA mesures diverses </w:t>
        </w:r>
      </w:hyperlink>
      <w:r w:rsidR="00461EDA">
        <w:t>: logiciel de caisse, taux réduit, droit à déduction, taxe petits colis</w:t>
      </w:r>
    </w:p>
    <w:p w14:paraId="7F254635" w14:textId="4FC32B50" w:rsidR="00461EDA" w:rsidRDefault="00000000" w:rsidP="00A42CA7">
      <w:pPr>
        <w:numPr>
          <w:ilvl w:val="0"/>
          <w:numId w:val="19"/>
        </w:numPr>
        <w:spacing w:line="240" w:lineRule="auto"/>
        <w:jc w:val="left"/>
      </w:pPr>
      <w:hyperlink w:anchor="IScontribexcep" w:history="1">
        <w:r w:rsidR="00461EDA" w:rsidRPr="0009593B">
          <w:rPr>
            <w:rStyle w:val="Lienhypertexte"/>
          </w:rPr>
          <w:t>IS : contribution exceptionnelle</w:t>
        </w:r>
      </w:hyperlink>
    </w:p>
    <w:p w14:paraId="39372DF3" w14:textId="28DB3899" w:rsidR="00461EDA" w:rsidRDefault="00000000" w:rsidP="00A42CA7">
      <w:pPr>
        <w:numPr>
          <w:ilvl w:val="0"/>
          <w:numId w:val="19"/>
        </w:numPr>
        <w:spacing w:line="240" w:lineRule="auto"/>
        <w:jc w:val="left"/>
      </w:pPr>
      <w:hyperlink w:anchor="Holdings" w:history="1">
        <w:r w:rsidR="00461EDA" w:rsidRPr="0009593B">
          <w:rPr>
            <w:rStyle w:val="Lienhypertexte"/>
          </w:rPr>
          <w:t>Nouvelle taxe sur les holdings</w:t>
        </w:r>
      </w:hyperlink>
    </w:p>
    <w:p w14:paraId="4CD9AE65" w14:textId="20F3582B" w:rsidR="00461EDA" w:rsidRPr="00A42CA7" w:rsidRDefault="00000000" w:rsidP="00A42CA7">
      <w:pPr>
        <w:numPr>
          <w:ilvl w:val="0"/>
          <w:numId w:val="19"/>
        </w:numPr>
        <w:spacing w:line="240" w:lineRule="auto"/>
        <w:jc w:val="left"/>
      </w:pPr>
      <w:hyperlink w:anchor="divers" w:history="1">
        <w:r w:rsidR="00461EDA" w:rsidRPr="0009593B">
          <w:rPr>
            <w:rStyle w:val="Lienhypertexte"/>
          </w:rPr>
          <w:t>Mesures diverses </w:t>
        </w:r>
      </w:hyperlink>
      <w:r w:rsidR="00461EDA">
        <w:t>: impôts locaux, amortissement des FDC</w:t>
      </w:r>
      <w:r w:rsidR="003B5DCD">
        <w:t>, EI et EIRL à l’IS et report d’imposition</w:t>
      </w:r>
    </w:p>
    <w:p w14:paraId="36F6CDA8" w14:textId="77777777" w:rsidR="00A42CA7" w:rsidRDefault="00A42CA7" w:rsidP="00A42CA7">
      <w:pPr>
        <w:spacing w:line="240" w:lineRule="auto"/>
        <w:jc w:val="left"/>
      </w:pPr>
    </w:p>
    <w:p w14:paraId="6203543E" w14:textId="77777777" w:rsidR="00030A77" w:rsidRDefault="00030A77" w:rsidP="00A42CA7">
      <w:pPr>
        <w:spacing w:line="240" w:lineRule="auto"/>
        <w:jc w:val="left"/>
      </w:pPr>
    </w:p>
    <w:p w14:paraId="537D4E2B" w14:textId="77777777" w:rsidR="00030A77" w:rsidRDefault="00030A77" w:rsidP="00A42CA7">
      <w:pPr>
        <w:spacing w:line="240" w:lineRule="auto"/>
        <w:jc w:val="left"/>
      </w:pPr>
    </w:p>
    <w:p w14:paraId="12154834" w14:textId="77777777" w:rsidR="00030A77" w:rsidRDefault="00030A77" w:rsidP="00A42CA7">
      <w:pPr>
        <w:spacing w:line="240" w:lineRule="auto"/>
        <w:jc w:val="left"/>
      </w:pPr>
    </w:p>
    <w:p w14:paraId="1EA2445D" w14:textId="77777777" w:rsidR="00030A77" w:rsidRDefault="00030A77" w:rsidP="00A42CA7">
      <w:pPr>
        <w:spacing w:line="240" w:lineRule="auto"/>
        <w:jc w:val="left"/>
      </w:pPr>
    </w:p>
    <w:p w14:paraId="005D36D0" w14:textId="77777777" w:rsidR="00030A77" w:rsidRDefault="00030A77" w:rsidP="00A42CA7">
      <w:pPr>
        <w:spacing w:line="240" w:lineRule="auto"/>
        <w:jc w:val="left"/>
      </w:pPr>
    </w:p>
    <w:p w14:paraId="62874A66" w14:textId="77777777" w:rsidR="00030A77" w:rsidRPr="00A42CA7" w:rsidRDefault="00030A77" w:rsidP="00A42CA7">
      <w:pPr>
        <w:spacing w:line="240" w:lineRule="auto"/>
        <w:jc w:val="left"/>
      </w:pPr>
    </w:p>
    <w:p w14:paraId="353C6712" w14:textId="77777777" w:rsidR="00A42CA7" w:rsidRPr="00A42CA7" w:rsidRDefault="00A42CA7" w:rsidP="00A42CA7">
      <w:pPr>
        <w:spacing w:line="240" w:lineRule="auto"/>
        <w:jc w:val="left"/>
        <w:rPr>
          <w:b/>
          <w:bCs/>
          <w:i/>
          <w:u w:val="single"/>
        </w:rPr>
      </w:pPr>
      <w:r w:rsidRPr="00A42CA7">
        <w:rPr>
          <w:b/>
          <w:bCs/>
          <w:i/>
          <w:u w:val="single"/>
        </w:rPr>
        <w:t>Abréviations utilisées :</w:t>
      </w:r>
    </w:p>
    <w:p w14:paraId="694AEA7D" w14:textId="77777777" w:rsidR="00A42CA7" w:rsidRPr="00A42CA7" w:rsidRDefault="00A42CA7" w:rsidP="00A42CA7">
      <w:pPr>
        <w:spacing w:line="240" w:lineRule="auto"/>
        <w:jc w:val="left"/>
        <w:rPr>
          <w:bCs/>
          <w:i/>
        </w:rPr>
      </w:pPr>
      <w:r w:rsidRPr="00A42CA7">
        <w:rPr>
          <w:bCs/>
          <w:i/>
        </w:rPr>
        <w:t>CVD : Célibataire, Veuf, Divorcé</w:t>
      </w:r>
    </w:p>
    <w:p w14:paraId="7A12AC27" w14:textId="77777777" w:rsidR="00A42CA7" w:rsidRPr="00A42CA7" w:rsidRDefault="00A42CA7" w:rsidP="00A42CA7">
      <w:pPr>
        <w:spacing w:line="240" w:lineRule="auto"/>
        <w:jc w:val="left"/>
        <w:rPr>
          <w:bCs/>
          <w:i/>
        </w:rPr>
      </w:pPr>
      <w:r w:rsidRPr="00A42CA7">
        <w:rPr>
          <w:bCs/>
          <w:i/>
        </w:rPr>
        <w:t>MP : Marié, Pacsé</w:t>
      </w:r>
    </w:p>
    <w:p w14:paraId="39633FD7" w14:textId="77777777" w:rsidR="00A42CA7" w:rsidRPr="00A42CA7" w:rsidRDefault="00A42CA7" w:rsidP="00A42CA7">
      <w:pPr>
        <w:spacing w:line="240" w:lineRule="auto"/>
        <w:jc w:val="left"/>
        <w:rPr>
          <w:bCs/>
          <w:i/>
        </w:rPr>
      </w:pPr>
      <w:r w:rsidRPr="00A42CA7">
        <w:rPr>
          <w:bCs/>
          <w:i/>
        </w:rPr>
        <w:t>RFR : Revenu Fiscal de Référence</w:t>
      </w:r>
    </w:p>
    <w:p w14:paraId="2F94F5B2" w14:textId="77777777" w:rsidR="00A42CA7" w:rsidRPr="00A42CA7" w:rsidRDefault="00A42CA7" w:rsidP="00A42CA7">
      <w:pPr>
        <w:spacing w:line="240" w:lineRule="auto"/>
        <w:jc w:val="left"/>
        <w:rPr>
          <w:bCs/>
          <w:i/>
        </w:rPr>
      </w:pPr>
      <w:r w:rsidRPr="00A42CA7">
        <w:rPr>
          <w:bCs/>
          <w:i/>
        </w:rPr>
        <w:t>PV : Plus-value</w:t>
      </w:r>
    </w:p>
    <w:p w14:paraId="00A2784C" w14:textId="77777777" w:rsidR="00A42CA7" w:rsidRPr="00A42CA7" w:rsidRDefault="00A42CA7" w:rsidP="00A42CA7">
      <w:pPr>
        <w:spacing w:line="240" w:lineRule="auto"/>
        <w:jc w:val="left"/>
        <w:rPr>
          <w:bCs/>
          <w:i/>
        </w:rPr>
      </w:pPr>
      <w:r w:rsidRPr="00A42CA7">
        <w:rPr>
          <w:bCs/>
          <w:i/>
        </w:rPr>
        <w:t>PAS : Prélèvements à la source</w:t>
      </w:r>
    </w:p>
    <w:p w14:paraId="73EDABC9" w14:textId="77777777" w:rsidR="00A42CA7" w:rsidRPr="00A42CA7" w:rsidRDefault="00A42CA7" w:rsidP="00A42CA7">
      <w:pPr>
        <w:spacing w:line="240" w:lineRule="auto"/>
        <w:jc w:val="left"/>
        <w:rPr>
          <w:bCs/>
          <w:i/>
        </w:rPr>
      </w:pPr>
      <w:r w:rsidRPr="00A42CA7">
        <w:rPr>
          <w:bCs/>
          <w:i/>
        </w:rPr>
        <w:t>OSBL : Organisme Sans But Lucratif</w:t>
      </w:r>
    </w:p>
    <w:p w14:paraId="7FE4365A" w14:textId="77777777" w:rsidR="00A42CA7" w:rsidRPr="00A42CA7" w:rsidRDefault="00A42CA7" w:rsidP="00A42CA7">
      <w:pPr>
        <w:spacing w:line="240" w:lineRule="auto"/>
        <w:jc w:val="left"/>
        <w:rPr>
          <w:bCs/>
          <w:i/>
        </w:rPr>
      </w:pPr>
      <w:r w:rsidRPr="00A42CA7">
        <w:rPr>
          <w:bCs/>
          <w:i/>
        </w:rPr>
        <w:t>LB : Livraisons de Biens</w:t>
      </w:r>
    </w:p>
    <w:p w14:paraId="1B7A732A" w14:textId="77777777" w:rsidR="00433C96" w:rsidRDefault="00A42CA7" w:rsidP="00A42CA7">
      <w:pPr>
        <w:spacing w:line="240" w:lineRule="auto"/>
        <w:jc w:val="left"/>
        <w:rPr>
          <w:bCs/>
          <w:i/>
        </w:rPr>
      </w:pPr>
      <w:r w:rsidRPr="00A42CA7">
        <w:rPr>
          <w:bCs/>
          <w:i/>
        </w:rPr>
        <w:t>PS : Prestations de Services</w:t>
      </w:r>
    </w:p>
    <w:p w14:paraId="0D46C703" w14:textId="77777777" w:rsidR="00433C96" w:rsidRDefault="00433C96" w:rsidP="00A42CA7">
      <w:pPr>
        <w:spacing w:line="240" w:lineRule="auto"/>
        <w:jc w:val="left"/>
        <w:rPr>
          <w:bCs/>
          <w:i/>
        </w:rPr>
      </w:pPr>
    </w:p>
    <w:p w14:paraId="76E70090" w14:textId="77777777" w:rsidR="00433C96" w:rsidRDefault="00433C96" w:rsidP="00A42CA7">
      <w:pPr>
        <w:spacing w:line="240" w:lineRule="auto"/>
        <w:jc w:val="left"/>
      </w:pPr>
    </w:p>
    <w:p w14:paraId="006BCDAB" w14:textId="77777777" w:rsidR="00CC4090" w:rsidRPr="00CC4090" w:rsidRDefault="00CC4090" w:rsidP="00CC4090"/>
    <w:p w14:paraId="05818538" w14:textId="77777777" w:rsidR="00CC4090" w:rsidRPr="00CC4090" w:rsidRDefault="00CC4090" w:rsidP="00CC4090"/>
    <w:p w14:paraId="3D986F30" w14:textId="77777777" w:rsidR="00CC4090" w:rsidRPr="00CC4090" w:rsidRDefault="00CC4090" w:rsidP="00CC4090"/>
    <w:p w14:paraId="242A89E1" w14:textId="77777777" w:rsidR="00CC4090" w:rsidRPr="00CC4090" w:rsidRDefault="00CC4090" w:rsidP="00CC4090"/>
    <w:p w14:paraId="648C2690" w14:textId="77777777" w:rsidR="00CC4090" w:rsidRDefault="00CC4090" w:rsidP="00CC4090"/>
    <w:p w14:paraId="57DAEC03" w14:textId="166F6F84" w:rsidR="00CC4090" w:rsidRDefault="00CC4090" w:rsidP="00CC4090">
      <w:pPr>
        <w:tabs>
          <w:tab w:val="left" w:pos="8220"/>
        </w:tabs>
      </w:pPr>
      <w:r>
        <w:tab/>
      </w:r>
    </w:p>
    <w:p w14:paraId="6F4D69B2" w14:textId="049D0257" w:rsidR="00CC4090" w:rsidRPr="00CC4090" w:rsidRDefault="00CC4090" w:rsidP="00CC4090">
      <w:pPr>
        <w:tabs>
          <w:tab w:val="left" w:pos="8220"/>
        </w:tabs>
        <w:sectPr w:rsidR="00CC4090" w:rsidRPr="00CC4090" w:rsidSect="00CC4090">
          <w:headerReference w:type="default" r:id="rId9"/>
          <w:footerReference w:type="default" r:id="rId10"/>
          <w:headerReference w:type="first" r:id="rId11"/>
          <w:footerReference w:type="first" r:id="rId12"/>
          <w:pgSz w:w="11906" w:h="16838"/>
          <w:pgMar w:top="851" w:right="709" w:bottom="709" w:left="1134" w:header="709" w:footer="419" w:gutter="0"/>
          <w:cols w:space="708"/>
          <w:titlePg/>
          <w:docGrid w:linePitch="360"/>
        </w:sectPr>
      </w:pPr>
      <w:r>
        <w:tab/>
      </w:r>
    </w:p>
    <w:p w14:paraId="1259BA45" w14:textId="77777777" w:rsidR="00A42CA7" w:rsidRPr="00A42CA7" w:rsidRDefault="00A42CA7" w:rsidP="003E538D">
      <w:pPr>
        <w:pStyle w:val="Titre"/>
        <w:jc w:val="center"/>
      </w:pPr>
      <w:bookmarkStart w:id="0" w:name="particuliers"/>
      <w:bookmarkEnd w:id="0"/>
      <w:r w:rsidRPr="00A42CA7">
        <w:lastRenderedPageBreak/>
        <w:t>Fiscalité des particuliers</w:t>
      </w:r>
    </w:p>
    <w:p w14:paraId="174BA889" w14:textId="0B410077" w:rsidR="00A42CA7" w:rsidRPr="00A42CA7" w:rsidRDefault="00A42CA7" w:rsidP="00A42CA7">
      <w:pPr>
        <w:spacing w:line="240" w:lineRule="auto"/>
        <w:jc w:val="left"/>
        <w:rPr>
          <w:sz w:val="10"/>
          <w:szCs w:val="10"/>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866"/>
      </w:tblGrid>
      <w:tr w:rsidR="00A42CA7" w:rsidRPr="00A42CA7" w14:paraId="2FD9D7E3" w14:textId="77777777" w:rsidTr="00433C96">
        <w:trPr>
          <w:trHeight w:val="3389"/>
        </w:trPr>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D3D7A" w14:textId="5E767A1A" w:rsidR="00A42CA7" w:rsidRPr="00A42CA7" w:rsidRDefault="00A42CA7" w:rsidP="00A42CA7">
            <w:pPr>
              <w:spacing w:line="240" w:lineRule="auto"/>
              <w:jc w:val="center"/>
              <w:rPr>
                <w:b/>
                <w:i/>
              </w:rPr>
            </w:pPr>
            <w:bookmarkStart w:id="1" w:name="bareme"/>
            <w:r w:rsidRPr="00A42CA7">
              <w:rPr>
                <w:b/>
                <w:i/>
              </w:rPr>
              <w:t>Barème de l’impôt sur le revenu 202</w:t>
            </w:r>
            <w:r w:rsidR="00D71EF5">
              <w:rPr>
                <w:b/>
                <w:i/>
              </w:rPr>
              <w:t>5</w:t>
            </w:r>
            <w:bookmarkEnd w:id="1"/>
          </w:p>
        </w:tc>
        <w:tc>
          <w:tcPr>
            <w:tcW w:w="9866" w:type="dxa"/>
            <w:tcBorders>
              <w:top w:val="single" w:sz="4" w:space="0" w:color="auto"/>
              <w:left w:val="single" w:sz="4" w:space="0" w:color="auto"/>
              <w:bottom w:val="single" w:sz="4" w:space="0" w:color="auto"/>
              <w:right w:val="single" w:sz="4" w:space="0" w:color="auto"/>
            </w:tcBorders>
            <w:vAlign w:val="center"/>
          </w:tcPr>
          <w:p w14:paraId="3A47E8CC" w14:textId="77777777" w:rsidR="00433C96" w:rsidRPr="00433C96" w:rsidRDefault="00433C96" w:rsidP="00A42CA7">
            <w:pPr>
              <w:spacing w:line="240" w:lineRule="auto"/>
              <w:jc w:val="left"/>
              <w:rPr>
                <w:sz w:val="10"/>
                <w:szCs w:val="10"/>
              </w:rPr>
            </w:pPr>
          </w:p>
          <w:p w14:paraId="617C4384" w14:textId="71B59A88" w:rsidR="00A42CA7" w:rsidRPr="00A42CA7" w:rsidRDefault="00A42CA7" w:rsidP="00A42CA7">
            <w:pPr>
              <w:spacing w:line="240" w:lineRule="auto"/>
              <w:jc w:val="left"/>
            </w:pPr>
            <w:r w:rsidRPr="00A42CA7">
              <w:t>Les tranches du barème de l’impôt sur le revenu 202</w:t>
            </w:r>
            <w:r w:rsidR="00D71EF5">
              <w:t>5</w:t>
            </w:r>
            <w:r w:rsidRPr="00A42CA7">
              <w:t xml:space="preserve"> sont revalorisées de </w:t>
            </w:r>
            <w:r w:rsidR="00D71EF5">
              <w:t>0</w:t>
            </w:r>
            <w:r w:rsidRPr="00A42CA7">
              <w:t>,</w:t>
            </w:r>
            <w:r w:rsidR="00D71EF5">
              <w:t>9</w:t>
            </w:r>
            <w:r w:rsidRPr="00A42CA7">
              <w:t>0 %.</w:t>
            </w:r>
          </w:p>
          <w:p w14:paraId="773702C1" w14:textId="4DA7093B" w:rsidR="00A42CA7" w:rsidRPr="00A42CA7" w:rsidRDefault="003B13DD" w:rsidP="00A42CA7">
            <w:pPr>
              <w:spacing w:line="240" w:lineRule="auto"/>
              <w:jc w:val="left"/>
              <w:rPr>
                <w:sz w:val="10"/>
                <w:szCs w:val="10"/>
              </w:rPr>
            </w:pPr>
            <w:r>
              <w:rPr>
                <w:b/>
                <w:bCs/>
                <w:noProof/>
              </w:rPr>
              <mc:AlternateContent>
                <mc:Choice Requires="wps">
                  <w:drawing>
                    <wp:anchor distT="0" distB="0" distL="114300" distR="114300" simplePos="0" relativeHeight="251682816" behindDoc="0" locked="0" layoutInCell="1" allowOverlap="1" wp14:anchorId="47CE0252" wp14:editId="7E4D9CB3">
                      <wp:simplePos x="0" y="0"/>
                      <wp:positionH relativeFrom="column">
                        <wp:posOffset>2376805</wp:posOffset>
                      </wp:positionH>
                      <wp:positionV relativeFrom="paragraph">
                        <wp:posOffset>90170</wp:posOffset>
                      </wp:positionV>
                      <wp:extent cx="3667125" cy="1238250"/>
                      <wp:effectExtent l="0" t="0" r="9525" b="0"/>
                      <wp:wrapNone/>
                      <wp:docPr id="4" name="Rectangle 4"/>
                      <wp:cNvGraphicFramePr/>
                      <a:graphic xmlns:a="http://schemas.openxmlformats.org/drawingml/2006/main">
                        <a:graphicData uri="http://schemas.microsoft.com/office/word/2010/wordprocessingShape">
                          <wps:wsp>
                            <wps:cNvSpPr/>
                            <wps:spPr>
                              <a:xfrm>
                                <a:off x="0" y="0"/>
                                <a:ext cx="3667125" cy="1238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89"/>
                                    <w:gridCol w:w="2835"/>
                                  </w:tblGrid>
                                  <w:tr w:rsidR="003B13DD" w:rsidRPr="00A42CA7" w14:paraId="3E0FEAED" w14:textId="77777777" w:rsidTr="00A74F09">
                                    <w:tc>
                                      <w:tcPr>
                                        <w:tcW w:w="5524" w:type="dxa"/>
                                        <w:gridSpan w:val="2"/>
                                        <w:tcBorders>
                                          <w:bottom w:val="single" w:sz="4" w:space="0" w:color="auto"/>
                                        </w:tcBorders>
                                        <w:shd w:val="clear" w:color="auto" w:fill="FFFFFF" w:themeFill="background1"/>
                                      </w:tcPr>
                                      <w:p w14:paraId="2F1B1C0D" w14:textId="77777777" w:rsidR="003B13DD" w:rsidRPr="00416FA3" w:rsidRDefault="003B13DD" w:rsidP="003B13DD">
                                        <w:pPr>
                                          <w:spacing w:line="240" w:lineRule="auto"/>
                                          <w:jc w:val="center"/>
                                          <w:rPr>
                                            <w:i/>
                                          </w:rPr>
                                        </w:pPr>
                                        <w:r w:rsidRPr="00A42CA7">
                                          <w:rPr>
                                            <w:i/>
                                          </w:rPr>
                                          <w:t>Calcul de l’impôt brut (formule « directe »)</w:t>
                                        </w:r>
                                      </w:p>
                                    </w:tc>
                                  </w:tr>
                                  <w:tr w:rsidR="003B13DD" w:rsidRPr="00A42CA7" w14:paraId="4D1C9182" w14:textId="77777777" w:rsidTr="00A74F09">
                                    <w:tc>
                                      <w:tcPr>
                                        <w:tcW w:w="2689" w:type="dxa"/>
                                        <w:shd w:val="clear" w:color="auto" w:fill="BFBFBF" w:themeFill="background1" w:themeFillShade="BF"/>
                                        <w:hideMark/>
                                      </w:tcPr>
                                      <w:p w14:paraId="03B45587" w14:textId="77777777" w:rsidR="003B13DD" w:rsidRPr="00A42CA7" w:rsidRDefault="003B13DD" w:rsidP="003B13DD">
                                        <w:pPr>
                                          <w:spacing w:line="240" w:lineRule="auto"/>
                                          <w:jc w:val="center"/>
                                          <w:rPr>
                                            <w:b/>
                                          </w:rPr>
                                        </w:pPr>
                                        <w:r w:rsidRPr="00A42CA7">
                                          <w:rPr>
                                            <w:b/>
                                          </w:rPr>
                                          <w:t>Quotient Familial</w:t>
                                        </w:r>
                                      </w:p>
                                    </w:tc>
                                    <w:tc>
                                      <w:tcPr>
                                        <w:tcW w:w="2835" w:type="dxa"/>
                                        <w:shd w:val="clear" w:color="auto" w:fill="BFBFBF" w:themeFill="background1" w:themeFillShade="BF"/>
                                        <w:hideMark/>
                                      </w:tcPr>
                                      <w:p w14:paraId="3841BDD6" w14:textId="77777777" w:rsidR="003B13DD" w:rsidRPr="00A42CA7" w:rsidRDefault="003B13DD" w:rsidP="003B13DD">
                                        <w:pPr>
                                          <w:spacing w:line="240" w:lineRule="auto"/>
                                          <w:jc w:val="center"/>
                                          <w:rPr>
                                            <w:b/>
                                          </w:rPr>
                                        </w:pPr>
                                        <w:r w:rsidRPr="00A42CA7">
                                          <w:rPr>
                                            <w:b/>
                                          </w:rPr>
                                          <w:t>Impôt brut</w:t>
                                        </w:r>
                                      </w:p>
                                    </w:tc>
                                  </w:tr>
                                  <w:tr w:rsidR="003B13DD" w:rsidRPr="00A42CA7" w14:paraId="1766B233" w14:textId="77777777" w:rsidTr="00A74F09">
                                    <w:tc>
                                      <w:tcPr>
                                        <w:tcW w:w="2689" w:type="dxa"/>
                                        <w:shd w:val="clear" w:color="auto" w:fill="FFFFFF" w:themeFill="background1"/>
                                        <w:vAlign w:val="center"/>
                                        <w:hideMark/>
                                      </w:tcPr>
                                      <w:p w14:paraId="5C070F1A" w14:textId="77777777" w:rsidR="003B13DD" w:rsidRPr="00A42CA7" w:rsidRDefault="003B13DD" w:rsidP="003B13DD">
                                        <w:pPr>
                                          <w:spacing w:line="240" w:lineRule="auto"/>
                                          <w:jc w:val="left"/>
                                          <w:rPr>
                                            <w:sz w:val="22"/>
                                          </w:rPr>
                                        </w:pPr>
                                        <w:r w:rsidRPr="00A42CA7">
                                          <w:rPr>
                                            <w:sz w:val="22"/>
                                          </w:rPr>
                                          <w:t xml:space="preserve">Jusqu’à 11 </w:t>
                                        </w:r>
                                        <w:r>
                                          <w:rPr>
                                            <w:sz w:val="22"/>
                                          </w:rPr>
                                          <w:t>600</w:t>
                                        </w:r>
                                        <w:r w:rsidRPr="00A42CA7">
                                          <w:rPr>
                                            <w:sz w:val="22"/>
                                          </w:rPr>
                                          <w:t xml:space="preserve"> €</w:t>
                                        </w:r>
                                      </w:p>
                                    </w:tc>
                                    <w:tc>
                                      <w:tcPr>
                                        <w:tcW w:w="2835" w:type="dxa"/>
                                        <w:shd w:val="clear" w:color="auto" w:fill="FFFFFF" w:themeFill="background1"/>
                                        <w:vAlign w:val="center"/>
                                        <w:hideMark/>
                                      </w:tcPr>
                                      <w:p w14:paraId="15DB4159" w14:textId="77777777" w:rsidR="003B13DD" w:rsidRPr="00A42CA7" w:rsidRDefault="003B13DD" w:rsidP="003B13DD">
                                        <w:pPr>
                                          <w:spacing w:line="240" w:lineRule="auto"/>
                                          <w:jc w:val="left"/>
                                          <w:rPr>
                                            <w:sz w:val="22"/>
                                          </w:rPr>
                                        </w:pPr>
                                        <w:r w:rsidRPr="00A42CA7">
                                          <w:rPr>
                                            <w:sz w:val="22"/>
                                          </w:rPr>
                                          <w:t>0</w:t>
                                        </w:r>
                                      </w:p>
                                    </w:tc>
                                  </w:tr>
                                  <w:tr w:rsidR="003B13DD" w:rsidRPr="00A42CA7" w14:paraId="236CD477" w14:textId="77777777" w:rsidTr="00A74F09">
                                    <w:tc>
                                      <w:tcPr>
                                        <w:tcW w:w="2689" w:type="dxa"/>
                                        <w:shd w:val="clear" w:color="auto" w:fill="FFFFFF" w:themeFill="background1"/>
                                        <w:vAlign w:val="center"/>
                                        <w:hideMark/>
                                      </w:tcPr>
                                      <w:p w14:paraId="59CF1136" w14:textId="67E0647D" w:rsidR="003B13DD" w:rsidRPr="00A42CA7" w:rsidRDefault="003B13DD" w:rsidP="003B13DD">
                                        <w:pPr>
                                          <w:spacing w:line="240" w:lineRule="auto"/>
                                          <w:jc w:val="left"/>
                                          <w:rPr>
                                            <w:sz w:val="22"/>
                                          </w:rPr>
                                        </w:pPr>
                                        <w:r w:rsidRPr="00A42CA7">
                                          <w:rPr>
                                            <w:sz w:val="22"/>
                                          </w:rPr>
                                          <w:t xml:space="preserve">De 11 </w:t>
                                        </w:r>
                                        <w:r>
                                          <w:rPr>
                                            <w:sz w:val="22"/>
                                          </w:rPr>
                                          <w:t>60</w:t>
                                        </w:r>
                                        <w:r w:rsidR="00893398">
                                          <w:rPr>
                                            <w:sz w:val="22"/>
                                          </w:rPr>
                                          <w:t>1</w:t>
                                        </w:r>
                                        <w:r w:rsidRPr="00A42CA7">
                                          <w:rPr>
                                            <w:sz w:val="22"/>
                                          </w:rPr>
                                          <w:t xml:space="preserve"> € à 29 </w:t>
                                        </w:r>
                                        <w:r>
                                          <w:rPr>
                                            <w:sz w:val="22"/>
                                          </w:rPr>
                                          <w:t>579</w:t>
                                        </w:r>
                                        <w:r w:rsidRPr="00A42CA7">
                                          <w:rPr>
                                            <w:sz w:val="22"/>
                                          </w:rPr>
                                          <w:t xml:space="preserve"> €</w:t>
                                        </w:r>
                                      </w:p>
                                    </w:tc>
                                    <w:tc>
                                      <w:tcPr>
                                        <w:tcW w:w="2835" w:type="dxa"/>
                                        <w:shd w:val="clear" w:color="auto" w:fill="FFFFFF" w:themeFill="background1"/>
                                        <w:vAlign w:val="center"/>
                                        <w:hideMark/>
                                      </w:tcPr>
                                      <w:p w14:paraId="77D437C7" w14:textId="77777777" w:rsidR="003B13DD" w:rsidRPr="00A42CA7" w:rsidRDefault="003B13DD" w:rsidP="003B13DD">
                                        <w:pPr>
                                          <w:spacing w:line="240" w:lineRule="auto"/>
                                          <w:jc w:val="left"/>
                                          <w:rPr>
                                            <w:sz w:val="22"/>
                                          </w:rPr>
                                        </w:pPr>
                                        <w:r w:rsidRPr="00A42CA7">
                                          <w:rPr>
                                            <w:sz w:val="22"/>
                                          </w:rPr>
                                          <w:t>(R x 0,11) – (1 </w:t>
                                        </w:r>
                                        <w:r>
                                          <w:rPr>
                                            <w:sz w:val="22"/>
                                          </w:rPr>
                                          <w:t>276</w:t>
                                        </w:r>
                                        <w:r w:rsidRPr="00A42CA7">
                                          <w:rPr>
                                            <w:sz w:val="22"/>
                                          </w:rPr>
                                          <w:t xml:space="preserve"> x N)</w:t>
                                        </w:r>
                                      </w:p>
                                    </w:tc>
                                  </w:tr>
                                  <w:tr w:rsidR="003B13DD" w:rsidRPr="00A42CA7" w14:paraId="0E3E99F1" w14:textId="77777777" w:rsidTr="00A74F09">
                                    <w:tc>
                                      <w:tcPr>
                                        <w:tcW w:w="2689" w:type="dxa"/>
                                        <w:shd w:val="clear" w:color="auto" w:fill="FFFFFF" w:themeFill="background1"/>
                                        <w:vAlign w:val="center"/>
                                        <w:hideMark/>
                                      </w:tcPr>
                                      <w:p w14:paraId="211FA6C9" w14:textId="7F7FE71F" w:rsidR="003B13DD" w:rsidRPr="00A42CA7" w:rsidRDefault="003B13DD" w:rsidP="003B13DD">
                                        <w:pPr>
                                          <w:spacing w:line="240" w:lineRule="auto"/>
                                          <w:jc w:val="left"/>
                                          <w:rPr>
                                            <w:sz w:val="22"/>
                                          </w:rPr>
                                        </w:pPr>
                                        <w:r w:rsidRPr="00A42CA7">
                                          <w:rPr>
                                            <w:sz w:val="22"/>
                                          </w:rPr>
                                          <w:t xml:space="preserve">De 29 </w:t>
                                        </w:r>
                                        <w:r>
                                          <w:rPr>
                                            <w:sz w:val="22"/>
                                          </w:rPr>
                                          <w:t>5</w:t>
                                        </w:r>
                                        <w:r w:rsidR="00893398">
                                          <w:rPr>
                                            <w:sz w:val="22"/>
                                          </w:rPr>
                                          <w:t>80</w:t>
                                        </w:r>
                                        <w:r w:rsidRPr="00A42CA7">
                                          <w:rPr>
                                            <w:sz w:val="22"/>
                                          </w:rPr>
                                          <w:t xml:space="preserve"> € à 8</w:t>
                                        </w:r>
                                        <w:r>
                                          <w:rPr>
                                            <w:sz w:val="22"/>
                                          </w:rPr>
                                          <w:t>4</w:t>
                                        </w:r>
                                        <w:r w:rsidRPr="00A42CA7">
                                          <w:rPr>
                                            <w:sz w:val="22"/>
                                          </w:rPr>
                                          <w:t xml:space="preserve"> </w:t>
                                        </w:r>
                                        <w:r>
                                          <w:rPr>
                                            <w:sz w:val="22"/>
                                          </w:rPr>
                                          <w:t>577</w:t>
                                        </w:r>
                                        <w:r w:rsidRPr="00A42CA7">
                                          <w:rPr>
                                            <w:sz w:val="22"/>
                                          </w:rPr>
                                          <w:t xml:space="preserve"> €</w:t>
                                        </w:r>
                                      </w:p>
                                    </w:tc>
                                    <w:tc>
                                      <w:tcPr>
                                        <w:tcW w:w="2835" w:type="dxa"/>
                                        <w:shd w:val="clear" w:color="auto" w:fill="FFFFFF" w:themeFill="background1"/>
                                        <w:vAlign w:val="center"/>
                                        <w:hideMark/>
                                      </w:tcPr>
                                      <w:p w14:paraId="564E206B" w14:textId="77777777" w:rsidR="003B13DD" w:rsidRPr="00A42CA7" w:rsidRDefault="003B13DD" w:rsidP="003B13DD">
                                        <w:pPr>
                                          <w:spacing w:line="240" w:lineRule="auto"/>
                                          <w:jc w:val="left"/>
                                          <w:rPr>
                                            <w:sz w:val="22"/>
                                          </w:rPr>
                                        </w:pPr>
                                        <w:r w:rsidRPr="00A42CA7">
                                          <w:rPr>
                                            <w:sz w:val="22"/>
                                          </w:rPr>
                                          <w:t>(R x 0,30) – (6 </w:t>
                                        </w:r>
                                        <w:r>
                                          <w:rPr>
                                            <w:sz w:val="22"/>
                                          </w:rPr>
                                          <w:t>896,01</w:t>
                                        </w:r>
                                        <w:r w:rsidRPr="00A42CA7">
                                          <w:rPr>
                                            <w:sz w:val="22"/>
                                          </w:rPr>
                                          <w:t xml:space="preserve"> x N)</w:t>
                                        </w:r>
                                      </w:p>
                                    </w:tc>
                                  </w:tr>
                                  <w:tr w:rsidR="003B13DD" w:rsidRPr="00A42CA7" w14:paraId="35EF1803" w14:textId="77777777" w:rsidTr="00A74F09">
                                    <w:tc>
                                      <w:tcPr>
                                        <w:tcW w:w="2689" w:type="dxa"/>
                                        <w:shd w:val="clear" w:color="auto" w:fill="FFFFFF" w:themeFill="background1"/>
                                        <w:vAlign w:val="center"/>
                                        <w:hideMark/>
                                      </w:tcPr>
                                      <w:p w14:paraId="12A469B3" w14:textId="6EA9F1AC" w:rsidR="003B13DD" w:rsidRPr="00A42CA7" w:rsidRDefault="003B13DD" w:rsidP="003B13DD">
                                        <w:pPr>
                                          <w:spacing w:line="240" w:lineRule="auto"/>
                                          <w:jc w:val="left"/>
                                          <w:rPr>
                                            <w:sz w:val="22"/>
                                          </w:rPr>
                                        </w:pPr>
                                        <w:r w:rsidRPr="00A42CA7">
                                          <w:rPr>
                                            <w:sz w:val="22"/>
                                          </w:rPr>
                                          <w:t>De 8</w:t>
                                        </w:r>
                                        <w:r>
                                          <w:rPr>
                                            <w:sz w:val="22"/>
                                          </w:rPr>
                                          <w:t>4</w:t>
                                        </w:r>
                                        <w:r w:rsidRPr="00A42CA7">
                                          <w:rPr>
                                            <w:sz w:val="22"/>
                                          </w:rPr>
                                          <w:t xml:space="preserve"> </w:t>
                                        </w:r>
                                        <w:r>
                                          <w:rPr>
                                            <w:sz w:val="22"/>
                                          </w:rPr>
                                          <w:t>57</w:t>
                                        </w:r>
                                        <w:r w:rsidR="00893398">
                                          <w:rPr>
                                            <w:sz w:val="22"/>
                                          </w:rPr>
                                          <w:t>8</w:t>
                                        </w:r>
                                        <w:r w:rsidRPr="00A42CA7">
                                          <w:rPr>
                                            <w:sz w:val="22"/>
                                          </w:rPr>
                                          <w:t xml:space="preserve"> € à 18</w:t>
                                        </w:r>
                                        <w:r>
                                          <w:rPr>
                                            <w:sz w:val="22"/>
                                          </w:rPr>
                                          <w:t>1</w:t>
                                        </w:r>
                                        <w:r w:rsidRPr="00A42CA7">
                                          <w:rPr>
                                            <w:sz w:val="22"/>
                                          </w:rPr>
                                          <w:t xml:space="preserve"> </w:t>
                                        </w:r>
                                        <w:r>
                                          <w:rPr>
                                            <w:sz w:val="22"/>
                                          </w:rPr>
                                          <w:t>917</w:t>
                                        </w:r>
                                        <w:r w:rsidRPr="00A42CA7">
                                          <w:rPr>
                                            <w:sz w:val="22"/>
                                          </w:rPr>
                                          <w:t xml:space="preserve"> €</w:t>
                                        </w:r>
                                      </w:p>
                                    </w:tc>
                                    <w:tc>
                                      <w:tcPr>
                                        <w:tcW w:w="2835" w:type="dxa"/>
                                        <w:shd w:val="clear" w:color="auto" w:fill="FFFFFF" w:themeFill="background1"/>
                                        <w:vAlign w:val="center"/>
                                        <w:hideMark/>
                                      </w:tcPr>
                                      <w:p w14:paraId="4877C5E1" w14:textId="77777777" w:rsidR="003B13DD" w:rsidRPr="00A42CA7" w:rsidRDefault="003B13DD" w:rsidP="003B13DD">
                                        <w:pPr>
                                          <w:spacing w:line="240" w:lineRule="auto"/>
                                          <w:jc w:val="left"/>
                                          <w:rPr>
                                            <w:sz w:val="22"/>
                                          </w:rPr>
                                        </w:pPr>
                                        <w:r w:rsidRPr="00A42CA7">
                                          <w:rPr>
                                            <w:sz w:val="22"/>
                                          </w:rPr>
                                          <w:t>(R x 0,41) – (16 </w:t>
                                        </w:r>
                                        <w:r>
                                          <w:rPr>
                                            <w:sz w:val="22"/>
                                          </w:rPr>
                                          <w:t>199,48</w:t>
                                        </w:r>
                                        <w:r w:rsidRPr="00A42CA7">
                                          <w:rPr>
                                            <w:sz w:val="22"/>
                                          </w:rPr>
                                          <w:t xml:space="preserve"> x N)</w:t>
                                        </w:r>
                                      </w:p>
                                    </w:tc>
                                  </w:tr>
                                  <w:tr w:rsidR="003B13DD" w:rsidRPr="00A42CA7" w14:paraId="55D05BE6" w14:textId="77777777" w:rsidTr="00A74F09">
                                    <w:tc>
                                      <w:tcPr>
                                        <w:tcW w:w="2689" w:type="dxa"/>
                                        <w:shd w:val="clear" w:color="auto" w:fill="FFFFFF" w:themeFill="background1"/>
                                        <w:vAlign w:val="center"/>
                                        <w:hideMark/>
                                      </w:tcPr>
                                      <w:p w14:paraId="30790BAC" w14:textId="77777777" w:rsidR="003B13DD" w:rsidRPr="00A42CA7" w:rsidRDefault="003B13DD" w:rsidP="003B13DD">
                                        <w:pPr>
                                          <w:spacing w:line="240" w:lineRule="auto"/>
                                          <w:jc w:val="left"/>
                                          <w:rPr>
                                            <w:sz w:val="22"/>
                                          </w:rPr>
                                        </w:pPr>
                                        <w:r w:rsidRPr="00A42CA7">
                                          <w:rPr>
                                            <w:sz w:val="22"/>
                                          </w:rPr>
                                          <w:t>Supérieure à 18</w:t>
                                        </w:r>
                                        <w:r>
                                          <w:rPr>
                                            <w:sz w:val="22"/>
                                          </w:rPr>
                                          <w:t>1</w:t>
                                        </w:r>
                                        <w:r w:rsidRPr="00A42CA7">
                                          <w:rPr>
                                            <w:sz w:val="22"/>
                                          </w:rPr>
                                          <w:t xml:space="preserve"> </w:t>
                                        </w:r>
                                        <w:r>
                                          <w:rPr>
                                            <w:sz w:val="22"/>
                                          </w:rPr>
                                          <w:t>917</w:t>
                                        </w:r>
                                        <w:r w:rsidRPr="00A42CA7">
                                          <w:rPr>
                                            <w:sz w:val="22"/>
                                          </w:rPr>
                                          <w:t xml:space="preserve"> €</w:t>
                                        </w:r>
                                      </w:p>
                                    </w:tc>
                                    <w:tc>
                                      <w:tcPr>
                                        <w:tcW w:w="2835" w:type="dxa"/>
                                        <w:shd w:val="clear" w:color="auto" w:fill="FFFFFF" w:themeFill="background1"/>
                                        <w:vAlign w:val="center"/>
                                        <w:hideMark/>
                                      </w:tcPr>
                                      <w:p w14:paraId="2EC1A47F" w14:textId="77777777" w:rsidR="003B13DD" w:rsidRPr="00A42CA7" w:rsidRDefault="003B13DD" w:rsidP="003B13DD">
                                        <w:pPr>
                                          <w:spacing w:line="240" w:lineRule="auto"/>
                                          <w:jc w:val="left"/>
                                          <w:rPr>
                                            <w:sz w:val="22"/>
                                          </w:rPr>
                                        </w:pPr>
                                        <w:r w:rsidRPr="00A42CA7">
                                          <w:rPr>
                                            <w:sz w:val="22"/>
                                          </w:rPr>
                                          <w:t>(R x 0,45) – (23 </w:t>
                                        </w:r>
                                        <w:r>
                                          <w:rPr>
                                            <w:sz w:val="22"/>
                                          </w:rPr>
                                          <w:t>476,16</w:t>
                                        </w:r>
                                        <w:r w:rsidRPr="00A42CA7">
                                          <w:rPr>
                                            <w:sz w:val="22"/>
                                          </w:rPr>
                                          <w:t xml:space="preserve"> x N)</w:t>
                                        </w:r>
                                      </w:p>
                                    </w:tc>
                                  </w:tr>
                                </w:tbl>
                                <w:p w14:paraId="3780E715" w14:textId="77777777" w:rsidR="003B13DD" w:rsidRDefault="003B13DD" w:rsidP="003B13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E0252" id="Rectangle 4" o:spid="_x0000_s1026" style="position:absolute;margin-left:187.15pt;margin-top:7.1pt;width:288.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LgwIAAGoFAAAOAAAAZHJzL2Uyb0RvYy54bWysVEtPGzEQvlfqf7B8L/sgARqxQVEQVSUE&#10;CKg4O147u5LX49pOdtNf37H3EaCoh6oX79jzzTePnZnLq65RZC+sq0EXNDtJKRGaQ1nrbUF/PN98&#10;uaDEeaZLpkCLgh6Eo1fLz58uW7MQOVSgSmEJkmi3aE1BK+/NIkkcr0TD3AkYoVEpwTbM49Vuk9Ky&#10;FtkbleRpepa0YEtjgQvn8PW6V9Jl5JdScH8vpROeqIJibD6eNp6bcCbLS7bYWmaqmg9hsH+IomG1&#10;RqcT1TXzjOxs/QdVU3MLDqQ/4dAkIGXNRcwBs8nSd9k8VcyImAsWx5mpTO7/0fK7/ZN5sFiG1riF&#10;QzFk0UnbhC/GR7pYrMNULNF5wvHx9OzsPMvnlHDUZfnpRT6P5UyO5sY6/01AQ4JQUIt/IxaJ7W+d&#10;R5cIHSHBmwNVlze1UvESOkCslSV7hv9us83Cv0KLNyilA1ZDsOrV4SU55hIlf1Ai4JR+FJLUJUaf&#10;x0Bimx2dMM6F9lmvqlgpet/ZPE3H1CaLGEskDMwS/U/cA8HbBEbuPsoBH0xF7NLJOP1bYL3xZBE9&#10;g/aTcVNrsB8RKMxq8NzjxyL1pQlV8t2mQ0gQN1AeHiyx0I+LM/ymxj94y5x/YBbnAycJZ97f4yEV&#10;tAWFQaKkAvvro/eAx7ZFLSUtzltB3c8ds4IS9V1jQ3/NZrMwoPEym5/neLGvNZvXGr1r1oBtkeF2&#10;MTyKAe/VKEoLzQuuhlXwiiqmOfouKPd2vKx9vwdwuXCxWkUYDqVh/lY/GR7IQ4FDhz53L8yaoY09&#10;TsAdjLPJFu+6uccGSw2rnQdZx1Y/1nUoPQ507KFh+YSN8foeUccVufwNAAD//wMAUEsDBBQABgAI&#10;AAAAIQAx76Ef4QAAAAoBAAAPAAAAZHJzL2Rvd25yZXYueG1sTI/LTsMwEEX3SPyDNUhsUOs0Lo+G&#10;OBUgIbHpglJVLN14iK3GdhS7ScrXM6xgObpHd84t15Nr2YB9tMFLWMwzYOjroK1vJOw+XmcPwGJS&#10;Xqs2eJRwxgjr6vKiVIUOo3/HYZsaRiU+FkqCSakrOI+1QafiPHToKfsKvVOJzr7hulcjlbuW51l2&#10;x52ynj4Y1eGLwfq4PTkJm7MQb8ONOI47Kxr7zT+f9yZIeX01PT0CSzilPxh+9UkdKnI6hJPXkbUS&#10;xP1SEErBMgdGwOp2QVsOEvJslQOvSv5/QvUDAAD//wMAUEsBAi0AFAAGAAgAAAAhALaDOJL+AAAA&#10;4QEAABMAAAAAAAAAAAAAAAAAAAAAAFtDb250ZW50X1R5cGVzXS54bWxQSwECLQAUAAYACAAAACEA&#10;OP0h/9YAAACUAQAACwAAAAAAAAAAAAAAAAAvAQAAX3JlbHMvLnJlbHNQSwECLQAUAAYACAAAACEA&#10;WJG/y4MCAABqBQAADgAAAAAAAAAAAAAAAAAuAgAAZHJzL2Uyb0RvYy54bWxQSwECLQAUAAYACAAA&#10;ACEAMe+hH+EAAAAKAQAADwAAAAAAAAAAAAAAAADdBAAAZHJzL2Rvd25yZXYueG1sUEsFBgAAAAAE&#10;AAQA8wAAAOsFAAAAAA==&#10;" fillcolor="white [3212]" stroked="f" strokeweight="1pt">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89"/>
                              <w:gridCol w:w="2835"/>
                            </w:tblGrid>
                            <w:tr w:rsidR="003B13DD" w:rsidRPr="00A42CA7" w14:paraId="3E0FEAED" w14:textId="77777777" w:rsidTr="00A74F09">
                              <w:tc>
                                <w:tcPr>
                                  <w:tcW w:w="5524" w:type="dxa"/>
                                  <w:gridSpan w:val="2"/>
                                  <w:tcBorders>
                                    <w:bottom w:val="single" w:sz="4" w:space="0" w:color="auto"/>
                                  </w:tcBorders>
                                  <w:shd w:val="clear" w:color="auto" w:fill="FFFFFF" w:themeFill="background1"/>
                                </w:tcPr>
                                <w:p w14:paraId="2F1B1C0D" w14:textId="77777777" w:rsidR="003B13DD" w:rsidRPr="00416FA3" w:rsidRDefault="003B13DD" w:rsidP="003B13DD">
                                  <w:pPr>
                                    <w:spacing w:line="240" w:lineRule="auto"/>
                                    <w:jc w:val="center"/>
                                    <w:rPr>
                                      <w:i/>
                                    </w:rPr>
                                  </w:pPr>
                                  <w:r w:rsidRPr="00A42CA7">
                                    <w:rPr>
                                      <w:i/>
                                    </w:rPr>
                                    <w:t>Calcul de l’impôt brut (formule « directe »)</w:t>
                                  </w:r>
                                </w:p>
                              </w:tc>
                            </w:tr>
                            <w:tr w:rsidR="003B13DD" w:rsidRPr="00A42CA7" w14:paraId="4D1C9182" w14:textId="77777777" w:rsidTr="00A74F09">
                              <w:tc>
                                <w:tcPr>
                                  <w:tcW w:w="2689" w:type="dxa"/>
                                  <w:shd w:val="clear" w:color="auto" w:fill="BFBFBF" w:themeFill="background1" w:themeFillShade="BF"/>
                                  <w:hideMark/>
                                </w:tcPr>
                                <w:p w14:paraId="03B45587" w14:textId="77777777" w:rsidR="003B13DD" w:rsidRPr="00A42CA7" w:rsidRDefault="003B13DD" w:rsidP="003B13DD">
                                  <w:pPr>
                                    <w:spacing w:line="240" w:lineRule="auto"/>
                                    <w:jc w:val="center"/>
                                    <w:rPr>
                                      <w:b/>
                                    </w:rPr>
                                  </w:pPr>
                                  <w:r w:rsidRPr="00A42CA7">
                                    <w:rPr>
                                      <w:b/>
                                    </w:rPr>
                                    <w:t>Quotient Familial</w:t>
                                  </w:r>
                                </w:p>
                              </w:tc>
                              <w:tc>
                                <w:tcPr>
                                  <w:tcW w:w="2835" w:type="dxa"/>
                                  <w:shd w:val="clear" w:color="auto" w:fill="BFBFBF" w:themeFill="background1" w:themeFillShade="BF"/>
                                  <w:hideMark/>
                                </w:tcPr>
                                <w:p w14:paraId="3841BDD6" w14:textId="77777777" w:rsidR="003B13DD" w:rsidRPr="00A42CA7" w:rsidRDefault="003B13DD" w:rsidP="003B13DD">
                                  <w:pPr>
                                    <w:spacing w:line="240" w:lineRule="auto"/>
                                    <w:jc w:val="center"/>
                                    <w:rPr>
                                      <w:b/>
                                    </w:rPr>
                                  </w:pPr>
                                  <w:r w:rsidRPr="00A42CA7">
                                    <w:rPr>
                                      <w:b/>
                                    </w:rPr>
                                    <w:t>Impôt brut</w:t>
                                  </w:r>
                                </w:p>
                              </w:tc>
                            </w:tr>
                            <w:tr w:rsidR="003B13DD" w:rsidRPr="00A42CA7" w14:paraId="1766B233" w14:textId="77777777" w:rsidTr="00A74F09">
                              <w:tc>
                                <w:tcPr>
                                  <w:tcW w:w="2689" w:type="dxa"/>
                                  <w:shd w:val="clear" w:color="auto" w:fill="FFFFFF" w:themeFill="background1"/>
                                  <w:vAlign w:val="center"/>
                                  <w:hideMark/>
                                </w:tcPr>
                                <w:p w14:paraId="5C070F1A" w14:textId="77777777" w:rsidR="003B13DD" w:rsidRPr="00A42CA7" w:rsidRDefault="003B13DD" w:rsidP="003B13DD">
                                  <w:pPr>
                                    <w:spacing w:line="240" w:lineRule="auto"/>
                                    <w:jc w:val="left"/>
                                    <w:rPr>
                                      <w:sz w:val="22"/>
                                    </w:rPr>
                                  </w:pPr>
                                  <w:r w:rsidRPr="00A42CA7">
                                    <w:rPr>
                                      <w:sz w:val="22"/>
                                    </w:rPr>
                                    <w:t xml:space="preserve">Jusqu’à 11 </w:t>
                                  </w:r>
                                  <w:r>
                                    <w:rPr>
                                      <w:sz w:val="22"/>
                                    </w:rPr>
                                    <w:t>600</w:t>
                                  </w:r>
                                  <w:r w:rsidRPr="00A42CA7">
                                    <w:rPr>
                                      <w:sz w:val="22"/>
                                    </w:rPr>
                                    <w:t xml:space="preserve"> €</w:t>
                                  </w:r>
                                </w:p>
                              </w:tc>
                              <w:tc>
                                <w:tcPr>
                                  <w:tcW w:w="2835" w:type="dxa"/>
                                  <w:shd w:val="clear" w:color="auto" w:fill="FFFFFF" w:themeFill="background1"/>
                                  <w:vAlign w:val="center"/>
                                  <w:hideMark/>
                                </w:tcPr>
                                <w:p w14:paraId="15DB4159" w14:textId="77777777" w:rsidR="003B13DD" w:rsidRPr="00A42CA7" w:rsidRDefault="003B13DD" w:rsidP="003B13DD">
                                  <w:pPr>
                                    <w:spacing w:line="240" w:lineRule="auto"/>
                                    <w:jc w:val="left"/>
                                    <w:rPr>
                                      <w:sz w:val="22"/>
                                    </w:rPr>
                                  </w:pPr>
                                  <w:r w:rsidRPr="00A42CA7">
                                    <w:rPr>
                                      <w:sz w:val="22"/>
                                    </w:rPr>
                                    <w:t>0</w:t>
                                  </w:r>
                                </w:p>
                              </w:tc>
                            </w:tr>
                            <w:tr w:rsidR="003B13DD" w:rsidRPr="00A42CA7" w14:paraId="236CD477" w14:textId="77777777" w:rsidTr="00A74F09">
                              <w:tc>
                                <w:tcPr>
                                  <w:tcW w:w="2689" w:type="dxa"/>
                                  <w:shd w:val="clear" w:color="auto" w:fill="FFFFFF" w:themeFill="background1"/>
                                  <w:vAlign w:val="center"/>
                                  <w:hideMark/>
                                </w:tcPr>
                                <w:p w14:paraId="59CF1136" w14:textId="67E0647D" w:rsidR="003B13DD" w:rsidRPr="00A42CA7" w:rsidRDefault="003B13DD" w:rsidP="003B13DD">
                                  <w:pPr>
                                    <w:spacing w:line="240" w:lineRule="auto"/>
                                    <w:jc w:val="left"/>
                                    <w:rPr>
                                      <w:sz w:val="22"/>
                                    </w:rPr>
                                  </w:pPr>
                                  <w:r w:rsidRPr="00A42CA7">
                                    <w:rPr>
                                      <w:sz w:val="22"/>
                                    </w:rPr>
                                    <w:t xml:space="preserve">De 11 </w:t>
                                  </w:r>
                                  <w:r>
                                    <w:rPr>
                                      <w:sz w:val="22"/>
                                    </w:rPr>
                                    <w:t>60</w:t>
                                  </w:r>
                                  <w:r w:rsidR="00893398">
                                    <w:rPr>
                                      <w:sz w:val="22"/>
                                    </w:rPr>
                                    <w:t>1</w:t>
                                  </w:r>
                                  <w:r w:rsidRPr="00A42CA7">
                                    <w:rPr>
                                      <w:sz w:val="22"/>
                                    </w:rPr>
                                    <w:t xml:space="preserve"> € à 29 </w:t>
                                  </w:r>
                                  <w:r>
                                    <w:rPr>
                                      <w:sz w:val="22"/>
                                    </w:rPr>
                                    <w:t>579</w:t>
                                  </w:r>
                                  <w:r w:rsidRPr="00A42CA7">
                                    <w:rPr>
                                      <w:sz w:val="22"/>
                                    </w:rPr>
                                    <w:t xml:space="preserve"> €</w:t>
                                  </w:r>
                                </w:p>
                              </w:tc>
                              <w:tc>
                                <w:tcPr>
                                  <w:tcW w:w="2835" w:type="dxa"/>
                                  <w:shd w:val="clear" w:color="auto" w:fill="FFFFFF" w:themeFill="background1"/>
                                  <w:vAlign w:val="center"/>
                                  <w:hideMark/>
                                </w:tcPr>
                                <w:p w14:paraId="77D437C7" w14:textId="77777777" w:rsidR="003B13DD" w:rsidRPr="00A42CA7" w:rsidRDefault="003B13DD" w:rsidP="003B13DD">
                                  <w:pPr>
                                    <w:spacing w:line="240" w:lineRule="auto"/>
                                    <w:jc w:val="left"/>
                                    <w:rPr>
                                      <w:sz w:val="22"/>
                                    </w:rPr>
                                  </w:pPr>
                                  <w:r w:rsidRPr="00A42CA7">
                                    <w:rPr>
                                      <w:sz w:val="22"/>
                                    </w:rPr>
                                    <w:t>(R x 0,11) – (1 </w:t>
                                  </w:r>
                                  <w:r>
                                    <w:rPr>
                                      <w:sz w:val="22"/>
                                    </w:rPr>
                                    <w:t>276</w:t>
                                  </w:r>
                                  <w:r w:rsidRPr="00A42CA7">
                                    <w:rPr>
                                      <w:sz w:val="22"/>
                                    </w:rPr>
                                    <w:t xml:space="preserve"> x N)</w:t>
                                  </w:r>
                                </w:p>
                              </w:tc>
                            </w:tr>
                            <w:tr w:rsidR="003B13DD" w:rsidRPr="00A42CA7" w14:paraId="0E3E99F1" w14:textId="77777777" w:rsidTr="00A74F09">
                              <w:tc>
                                <w:tcPr>
                                  <w:tcW w:w="2689" w:type="dxa"/>
                                  <w:shd w:val="clear" w:color="auto" w:fill="FFFFFF" w:themeFill="background1"/>
                                  <w:vAlign w:val="center"/>
                                  <w:hideMark/>
                                </w:tcPr>
                                <w:p w14:paraId="211FA6C9" w14:textId="7F7FE71F" w:rsidR="003B13DD" w:rsidRPr="00A42CA7" w:rsidRDefault="003B13DD" w:rsidP="003B13DD">
                                  <w:pPr>
                                    <w:spacing w:line="240" w:lineRule="auto"/>
                                    <w:jc w:val="left"/>
                                    <w:rPr>
                                      <w:sz w:val="22"/>
                                    </w:rPr>
                                  </w:pPr>
                                  <w:r w:rsidRPr="00A42CA7">
                                    <w:rPr>
                                      <w:sz w:val="22"/>
                                    </w:rPr>
                                    <w:t xml:space="preserve">De 29 </w:t>
                                  </w:r>
                                  <w:r>
                                    <w:rPr>
                                      <w:sz w:val="22"/>
                                    </w:rPr>
                                    <w:t>5</w:t>
                                  </w:r>
                                  <w:r w:rsidR="00893398">
                                    <w:rPr>
                                      <w:sz w:val="22"/>
                                    </w:rPr>
                                    <w:t>80</w:t>
                                  </w:r>
                                  <w:r w:rsidRPr="00A42CA7">
                                    <w:rPr>
                                      <w:sz w:val="22"/>
                                    </w:rPr>
                                    <w:t xml:space="preserve"> € à 8</w:t>
                                  </w:r>
                                  <w:r>
                                    <w:rPr>
                                      <w:sz w:val="22"/>
                                    </w:rPr>
                                    <w:t>4</w:t>
                                  </w:r>
                                  <w:r w:rsidRPr="00A42CA7">
                                    <w:rPr>
                                      <w:sz w:val="22"/>
                                    </w:rPr>
                                    <w:t xml:space="preserve"> </w:t>
                                  </w:r>
                                  <w:r>
                                    <w:rPr>
                                      <w:sz w:val="22"/>
                                    </w:rPr>
                                    <w:t>577</w:t>
                                  </w:r>
                                  <w:r w:rsidRPr="00A42CA7">
                                    <w:rPr>
                                      <w:sz w:val="22"/>
                                    </w:rPr>
                                    <w:t xml:space="preserve"> €</w:t>
                                  </w:r>
                                </w:p>
                              </w:tc>
                              <w:tc>
                                <w:tcPr>
                                  <w:tcW w:w="2835" w:type="dxa"/>
                                  <w:shd w:val="clear" w:color="auto" w:fill="FFFFFF" w:themeFill="background1"/>
                                  <w:vAlign w:val="center"/>
                                  <w:hideMark/>
                                </w:tcPr>
                                <w:p w14:paraId="564E206B" w14:textId="77777777" w:rsidR="003B13DD" w:rsidRPr="00A42CA7" w:rsidRDefault="003B13DD" w:rsidP="003B13DD">
                                  <w:pPr>
                                    <w:spacing w:line="240" w:lineRule="auto"/>
                                    <w:jc w:val="left"/>
                                    <w:rPr>
                                      <w:sz w:val="22"/>
                                    </w:rPr>
                                  </w:pPr>
                                  <w:r w:rsidRPr="00A42CA7">
                                    <w:rPr>
                                      <w:sz w:val="22"/>
                                    </w:rPr>
                                    <w:t>(R x 0,30) – (6 </w:t>
                                  </w:r>
                                  <w:r>
                                    <w:rPr>
                                      <w:sz w:val="22"/>
                                    </w:rPr>
                                    <w:t>896,01</w:t>
                                  </w:r>
                                  <w:r w:rsidRPr="00A42CA7">
                                    <w:rPr>
                                      <w:sz w:val="22"/>
                                    </w:rPr>
                                    <w:t xml:space="preserve"> x N)</w:t>
                                  </w:r>
                                </w:p>
                              </w:tc>
                            </w:tr>
                            <w:tr w:rsidR="003B13DD" w:rsidRPr="00A42CA7" w14:paraId="35EF1803" w14:textId="77777777" w:rsidTr="00A74F09">
                              <w:tc>
                                <w:tcPr>
                                  <w:tcW w:w="2689" w:type="dxa"/>
                                  <w:shd w:val="clear" w:color="auto" w:fill="FFFFFF" w:themeFill="background1"/>
                                  <w:vAlign w:val="center"/>
                                  <w:hideMark/>
                                </w:tcPr>
                                <w:p w14:paraId="12A469B3" w14:textId="6EA9F1AC" w:rsidR="003B13DD" w:rsidRPr="00A42CA7" w:rsidRDefault="003B13DD" w:rsidP="003B13DD">
                                  <w:pPr>
                                    <w:spacing w:line="240" w:lineRule="auto"/>
                                    <w:jc w:val="left"/>
                                    <w:rPr>
                                      <w:sz w:val="22"/>
                                    </w:rPr>
                                  </w:pPr>
                                  <w:r w:rsidRPr="00A42CA7">
                                    <w:rPr>
                                      <w:sz w:val="22"/>
                                    </w:rPr>
                                    <w:t>De 8</w:t>
                                  </w:r>
                                  <w:r>
                                    <w:rPr>
                                      <w:sz w:val="22"/>
                                    </w:rPr>
                                    <w:t>4</w:t>
                                  </w:r>
                                  <w:r w:rsidRPr="00A42CA7">
                                    <w:rPr>
                                      <w:sz w:val="22"/>
                                    </w:rPr>
                                    <w:t xml:space="preserve"> </w:t>
                                  </w:r>
                                  <w:r>
                                    <w:rPr>
                                      <w:sz w:val="22"/>
                                    </w:rPr>
                                    <w:t>57</w:t>
                                  </w:r>
                                  <w:r w:rsidR="00893398">
                                    <w:rPr>
                                      <w:sz w:val="22"/>
                                    </w:rPr>
                                    <w:t>8</w:t>
                                  </w:r>
                                  <w:r w:rsidRPr="00A42CA7">
                                    <w:rPr>
                                      <w:sz w:val="22"/>
                                    </w:rPr>
                                    <w:t xml:space="preserve"> € à 18</w:t>
                                  </w:r>
                                  <w:r>
                                    <w:rPr>
                                      <w:sz w:val="22"/>
                                    </w:rPr>
                                    <w:t>1</w:t>
                                  </w:r>
                                  <w:r w:rsidRPr="00A42CA7">
                                    <w:rPr>
                                      <w:sz w:val="22"/>
                                    </w:rPr>
                                    <w:t xml:space="preserve"> </w:t>
                                  </w:r>
                                  <w:r>
                                    <w:rPr>
                                      <w:sz w:val="22"/>
                                    </w:rPr>
                                    <w:t>917</w:t>
                                  </w:r>
                                  <w:r w:rsidRPr="00A42CA7">
                                    <w:rPr>
                                      <w:sz w:val="22"/>
                                    </w:rPr>
                                    <w:t xml:space="preserve"> €</w:t>
                                  </w:r>
                                </w:p>
                              </w:tc>
                              <w:tc>
                                <w:tcPr>
                                  <w:tcW w:w="2835" w:type="dxa"/>
                                  <w:shd w:val="clear" w:color="auto" w:fill="FFFFFF" w:themeFill="background1"/>
                                  <w:vAlign w:val="center"/>
                                  <w:hideMark/>
                                </w:tcPr>
                                <w:p w14:paraId="4877C5E1" w14:textId="77777777" w:rsidR="003B13DD" w:rsidRPr="00A42CA7" w:rsidRDefault="003B13DD" w:rsidP="003B13DD">
                                  <w:pPr>
                                    <w:spacing w:line="240" w:lineRule="auto"/>
                                    <w:jc w:val="left"/>
                                    <w:rPr>
                                      <w:sz w:val="22"/>
                                    </w:rPr>
                                  </w:pPr>
                                  <w:r w:rsidRPr="00A42CA7">
                                    <w:rPr>
                                      <w:sz w:val="22"/>
                                    </w:rPr>
                                    <w:t>(R x 0,41) – (16 </w:t>
                                  </w:r>
                                  <w:r>
                                    <w:rPr>
                                      <w:sz w:val="22"/>
                                    </w:rPr>
                                    <w:t>199,48</w:t>
                                  </w:r>
                                  <w:r w:rsidRPr="00A42CA7">
                                    <w:rPr>
                                      <w:sz w:val="22"/>
                                    </w:rPr>
                                    <w:t xml:space="preserve"> x N)</w:t>
                                  </w:r>
                                </w:p>
                              </w:tc>
                            </w:tr>
                            <w:tr w:rsidR="003B13DD" w:rsidRPr="00A42CA7" w14:paraId="55D05BE6" w14:textId="77777777" w:rsidTr="00A74F09">
                              <w:tc>
                                <w:tcPr>
                                  <w:tcW w:w="2689" w:type="dxa"/>
                                  <w:shd w:val="clear" w:color="auto" w:fill="FFFFFF" w:themeFill="background1"/>
                                  <w:vAlign w:val="center"/>
                                  <w:hideMark/>
                                </w:tcPr>
                                <w:p w14:paraId="30790BAC" w14:textId="77777777" w:rsidR="003B13DD" w:rsidRPr="00A42CA7" w:rsidRDefault="003B13DD" w:rsidP="003B13DD">
                                  <w:pPr>
                                    <w:spacing w:line="240" w:lineRule="auto"/>
                                    <w:jc w:val="left"/>
                                    <w:rPr>
                                      <w:sz w:val="22"/>
                                    </w:rPr>
                                  </w:pPr>
                                  <w:r w:rsidRPr="00A42CA7">
                                    <w:rPr>
                                      <w:sz w:val="22"/>
                                    </w:rPr>
                                    <w:t>Supérieure à 18</w:t>
                                  </w:r>
                                  <w:r>
                                    <w:rPr>
                                      <w:sz w:val="22"/>
                                    </w:rPr>
                                    <w:t>1</w:t>
                                  </w:r>
                                  <w:r w:rsidRPr="00A42CA7">
                                    <w:rPr>
                                      <w:sz w:val="22"/>
                                    </w:rPr>
                                    <w:t xml:space="preserve"> </w:t>
                                  </w:r>
                                  <w:r>
                                    <w:rPr>
                                      <w:sz w:val="22"/>
                                    </w:rPr>
                                    <w:t>917</w:t>
                                  </w:r>
                                  <w:r w:rsidRPr="00A42CA7">
                                    <w:rPr>
                                      <w:sz w:val="22"/>
                                    </w:rPr>
                                    <w:t xml:space="preserve"> €</w:t>
                                  </w:r>
                                </w:p>
                              </w:tc>
                              <w:tc>
                                <w:tcPr>
                                  <w:tcW w:w="2835" w:type="dxa"/>
                                  <w:shd w:val="clear" w:color="auto" w:fill="FFFFFF" w:themeFill="background1"/>
                                  <w:vAlign w:val="center"/>
                                  <w:hideMark/>
                                </w:tcPr>
                                <w:p w14:paraId="2EC1A47F" w14:textId="77777777" w:rsidR="003B13DD" w:rsidRPr="00A42CA7" w:rsidRDefault="003B13DD" w:rsidP="003B13DD">
                                  <w:pPr>
                                    <w:spacing w:line="240" w:lineRule="auto"/>
                                    <w:jc w:val="left"/>
                                    <w:rPr>
                                      <w:sz w:val="22"/>
                                    </w:rPr>
                                  </w:pPr>
                                  <w:r w:rsidRPr="00A42CA7">
                                    <w:rPr>
                                      <w:sz w:val="22"/>
                                    </w:rPr>
                                    <w:t>(R x 0,45) – (23 </w:t>
                                  </w:r>
                                  <w:r>
                                    <w:rPr>
                                      <w:sz w:val="22"/>
                                    </w:rPr>
                                    <w:t>476,16</w:t>
                                  </w:r>
                                  <w:r w:rsidRPr="00A42CA7">
                                    <w:rPr>
                                      <w:sz w:val="22"/>
                                    </w:rPr>
                                    <w:t xml:space="preserve"> x N)</w:t>
                                  </w:r>
                                </w:p>
                              </w:tc>
                            </w:tr>
                          </w:tbl>
                          <w:p w14:paraId="3780E715" w14:textId="77777777" w:rsidR="003B13DD" w:rsidRDefault="003B13DD" w:rsidP="003B13DD">
                            <w:pPr>
                              <w:jc w:val="center"/>
                            </w:pP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818"/>
            </w:tblGrid>
            <w:tr w:rsidR="00416FA3" w:rsidRPr="00A42CA7" w14:paraId="252B865E" w14:textId="77777777" w:rsidTr="00416FA3">
              <w:tc>
                <w:tcPr>
                  <w:tcW w:w="34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9A0B" w14:textId="268CC63C" w:rsidR="00416FA3" w:rsidRPr="00A42CA7" w:rsidRDefault="00416FA3" w:rsidP="00030A77">
                  <w:pPr>
                    <w:spacing w:line="240" w:lineRule="auto"/>
                    <w:jc w:val="center"/>
                    <w:rPr>
                      <w:b/>
                    </w:rPr>
                  </w:pPr>
                  <w:r w:rsidRPr="00A42CA7">
                    <w:rPr>
                      <w:i/>
                    </w:rPr>
                    <w:t>Barème de l’IR pour une part</w:t>
                  </w:r>
                </w:p>
              </w:tc>
            </w:tr>
            <w:tr w:rsidR="00A42CA7" w:rsidRPr="00A42CA7" w14:paraId="5F5C6FB2" w14:textId="77777777" w:rsidTr="00030A77">
              <w:tc>
                <w:tcPr>
                  <w:tcW w:w="26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983A67" w14:textId="32998C28" w:rsidR="00A42CA7" w:rsidRPr="00A42CA7" w:rsidRDefault="00A42CA7" w:rsidP="00030A77">
                  <w:pPr>
                    <w:spacing w:line="240" w:lineRule="auto"/>
                    <w:jc w:val="center"/>
                    <w:rPr>
                      <w:b/>
                    </w:rPr>
                  </w:pPr>
                  <w:r w:rsidRPr="00A42CA7">
                    <w:rPr>
                      <w:b/>
                    </w:rPr>
                    <w:t>Fraction du revenu imposable en 202</w:t>
                  </w:r>
                  <w:r w:rsidR="00D71EF5">
                    <w:rPr>
                      <w:b/>
                    </w:rPr>
                    <w:t>5</w:t>
                  </w:r>
                </w:p>
              </w:tc>
              <w:tc>
                <w:tcPr>
                  <w:tcW w:w="8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056764" w14:textId="77777777" w:rsidR="00A42CA7" w:rsidRPr="00A42CA7" w:rsidRDefault="00A42CA7" w:rsidP="00030A77">
                  <w:pPr>
                    <w:spacing w:line="240" w:lineRule="auto"/>
                    <w:jc w:val="center"/>
                    <w:rPr>
                      <w:b/>
                    </w:rPr>
                  </w:pPr>
                  <w:r w:rsidRPr="00A42CA7">
                    <w:rPr>
                      <w:b/>
                    </w:rPr>
                    <w:t>Taux</w:t>
                  </w:r>
                </w:p>
              </w:tc>
            </w:tr>
            <w:tr w:rsidR="00A42CA7" w:rsidRPr="00A42CA7" w14:paraId="0073A783"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7835EFFA" w14:textId="3D2AFF0A" w:rsidR="00A42CA7" w:rsidRPr="00A42CA7" w:rsidRDefault="00A42CA7" w:rsidP="00A42CA7">
                  <w:pPr>
                    <w:spacing w:line="240" w:lineRule="auto"/>
                    <w:jc w:val="left"/>
                    <w:rPr>
                      <w:sz w:val="22"/>
                    </w:rPr>
                  </w:pPr>
                  <w:r w:rsidRPr="00A42CA7">
                    <w:rPr>
                      <w:sz w:val="22"/>
                    </w:rPr>
                    <w:t xml:space="preserve">Jusqu’à 11 </w:t>
                  </w:r>
                  <w:r w:rsidR="00D71EF5">
                    <w:rPr>
                      <w:sz w:val="22"/>
                    </w:rPr>
                    <w:t>600</w:t>
                  </w:r>
                  <w:r w:rsidRPr="00A42CA7">
                    <w:rPr>
                      <w:sz w:val="22"/>
                    </w:rPr>
                    <w:t xml:space="preserve"> €</w:t>
                  </w:r>
                </w:p>
              </w:tc>
              <w:tc>
                <w:tcPr>
                  <w:tcW w:w="818" w:type="dxa"/>
                  <w:tcBorders>
                    <w:top w:val="single" w:sz="4" w:space="0" w:color="auto"/>
                    <w:left w:val="single" w:sz="4" w:space="0" w:color="auto"/>
                    <w:bottom w:val="single" w:sz="4" w:space="0" w:color="auto"/>
                    <w:right w:val="single" w:sz="4" w:space="0" w:color="auto"/>
                  </w:tcBorders>
                  <w:vAlign w:val="center"/>
                  <w:hideMark/>
                </w:tcPr>
                <w:p w14:paraId="484454BD" w14:textId="77777777" w:rsidR="00A42CA7" w:rsidRPr="00A42CA7" w:rsidRDefault="00A42CA7" w:rsidP="00030A77">
                  <w:pPr>
                    <w:spacing w:line="240" w:lineRule="auto"/>
                    <w:jc w:val="center"/>
                    <w:rPr>
                      <w:sz w:val="22"/>
                    </w:rPr>
                  </w:pPr>
                  <w:r w:rsidRPr="00A42CA7">
                    <w:rPr>
                      <w:b/>
                      <w:sz w:val="22"/>
                    </w:rPr>
                    <w:t>0%</w:t>
                  </w:r>
                </w:p>
              </w:tc>
            </w:tr>
            <w:tr w:rsidR="00A42CA7" w:rsidRPr="00A42CA7" w14:paraId="280E2162"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6FEDFFB0" w14:textId="473250D7" w:rsidR="00A42CA7" w:rsidRPr="00A42CA7" w:rsidRDefault="00A42CA7" w:rsidP="00A42CA7">
                  <w:pPr>
                    <w:spacing w:line="240" w:lineRule="auto"/>
                    <w:jc w:val="left"/>
                    <w:rPr>
                      <w:sz w:val="22"/>
                    </w:rPr>
                  </w:pPr>
                  <w:r w:rsidRPr="00A42CA7">
                    <w:rPr>
                      <w:sz w:val="22"/>
                    </w:rPr>
                    <w:t xml:space="preserve">De 11 </w:t>
                  </w:r>
                  <w:r w:rsidR="00D71EF5">
                    <w:rPr>
                      <w:sz w:val="22"/>
                    </w:rPr>
                    <w:t>60</w:t>
                  </w:r>
                  <w:r w:rsidR="00893398">
                    <w:rPr>
                      <w:sz w:val="22"/>
                    </w:rPr>
                    <w:t>1</w:t>
                  </w:r>
                  <w:r w:rsidRPr="00A42CA7">
                    <w:rPr>
                      <w:sz w:val="22"/>
                    </w:rPr>
                    <w:t xml:space="preserve"> € à 29 </w:t>
                  </w:r>
                  <w:r w:rsidR="00D71EF5">
                    <w:rPr>
                      <w:sz w:val="22"/>
                    </w:rPr>
                    <w:t>579</w:t>
                  </w:r>
                  <w:r w:rsidRPr="00A42CA7">
                    <w:rPr>
                      <w:sz w:val="22"/>
                    </w:rPr>
                    <w:t xml:space="preserve"> €</w:t>
                  </w:r>
                </w:p>
              </w:tc>
              <w:tc>
                <w:tcPr>
                  <w:tcW w:w="818" w:type="dxa"/>
                  <w:tcBorders>
                    <w:top w:val="single" w:sz="4" w:space="0" w:color="auto"/>
                    <w:left w:val="single" w:sz="4" w:space="0" w:color="auto"/>
                    <w:bottom w:val="single" w:sz="4" w:space="0" w:color="auto"/>
                    <w:right w:val="single" w:sz="4" w:space="0" w:color="auto"/>
                  </w:tcBorders>
                  <w:vAlign w:val="center"/>
                  <w:hideMark/>
                </w:tcPr>
                <w:p w14:paraId="1876FE80" w14:textId="77777777" w:rsidR="00A42CA7" w:rsidRPr="00A42CA7" w:rsidRDefault="00A42CA7" w:rsidP="00030A77">
                  <w:pPr>
                    <w:spacing w:line="240" w:lineRule="auto"/>
                    <w:jc w:val="center"/>
                    <w:rPr>
                      <w:sz w:val="22"/>
                    </w:rPr>
                  </w:pPr>
                  <w:r w:rsidRPr="00A42CA7">
                    <w:rPr>
                      <w:b/>
                      <w:sz w:val="22"/>
                    </w:rPr>
                    <w:t>11%</w:t>
                  </w:r>
                </w:p>
              </w:tc>
            </w:tr>
            <w:tr w:rsidR="00A42CA7" w:rsidRPr="00A42CA7" w14:paraId="3681C1A4"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41237EE0" w14:textId="14B935AE" w:rsidR="00A42CA7" w:rsidRPr="00A42CA7" w:rsidRDefault="00A42CA7" w:rsidP="00A42CA7">
                  <w:pPr>
                    <w:spacing w:line="240" w:lineRule="auto"/>
                    <w:jc w:val="left"/>
                    <w:rPr>
                      <w:sz w:val="22"/>
                    </w:rPr>
                  </w:pPr>
                  <w:r w:rsidRPr="00A42CA7">
                    <w:rPr>
                      <w:sz w:val="22"/>
                    </w:rPr>
                    <w:t xml:space="preserve">De 29 </w:t>
                  </w:r>
                  <w:r w:rsidR="00D71EF5">
                    <w:rPr>
                      <w:sz w:val="22"/>
                    </w:rPr>
                    <w:t>5</w:t>
                  </w:r>
                  <w:r w:rsidR="00893398">
                    <w:rPr>
                      <w:sz w:val="22"/>
                    </w:rPr>
                    <w:t>80</w:t>
                  </w:r>
                  <w:r w:rsidRPr="00A42CA7">
                    <w:rPr>
                      <w:sz w:val="22"/>
                    </w:rPr>
                    <w:t xml:space="preserve"> € à 8</w:t>
                  </w:r>
                  <w:r w:rsidR="00D71EF5">
                    <w:rPr>
                      <w:sz w:val="22"/>
                    </w:rPr>
                    <w:t>4</w:t>
                  </w:r>
                  <w:r w:rsidRPr="00A42CA7">
                    <w:rPr>
                      <w:sz w:val="22"/>
                    </w:rPr>
                    <w:t xml:space="preserve"> </w:t>
                  </w:r>
                  <w:r w:rsidR="00D71EF5">
                    <w:rPr>
                      <w:sz w:val="22"/>
                    </w:rPr>
                    <w:t>577</w:t>
                  </w:r>
                  <w:r w:rsidRPr="00A42CA7">
                    <w:rPr>
                      <w:sz w:val="22"/>
                    </w:rPr>
                    <w:t xml:space="preserve"> €</w:t>
                  </w:r>
                </w:p>
              </w:tc>
              <w:tc>
                <w:tcPr>
                  <w:tcW w:w="818" w:type="dxa"/>
                  <w:tcBorders>
                    <w:top w:val="single" w:sz="4" w:space="0" w:color="auto"/>
                    <w:left w:val="single" w:sz="4" w:space="0" w:color="auto"/>
                    <w:bottom w:val="single" w:sz="4" w:space="0" w:color="auto"/>
                    <w:right w:val="single" w:sz="4" w:space="0" w:color="auto"/>
                  </w:tcBorders>
                  <w:vAlign w:val="center"/>
                  <w:hideMark/>
                </w:tcPr>
                <w:p w14:paraId="09C71BCA" w14:textId="752A9894" w:rsidR="00A42CA7" w:rsidRPr="00A42CA7" w:rsidRDefault="00A42CA7" w:rsidP="00030A77">
                  <w:pPr>
                    <w:spacing w:line="240" w:lineRule="auto"/>
                    <w:jc w:val="center"/>
                    <w:rPr>
                      <w:sz w:val="22"/>
                    </w:rPr>
                  </w:pPr>
                  <w:r w:rsidRPr="00A42CA7">
                    <w:rPr>
                      <w:b/>
                      <w:sz w:val="22"/>
                    </w:rPr>
                    <w:t>30%</w:t>
                  </w:r>
                </w:p>
              </w:tc>
            </w:tr>
            <w:tr w:rsidR="00A42CA7" w:rsidRPr="00A42CA7" w14:paraId="43700211"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2AEE7F54" w14:textId="5DDF199E" w:rsidR="00A42CA7" w:rsidRPr="00A42CA7" w:rsidRDefault="00A42CA7" w:rsidP="00A42CA7">
                  <w:pPr>
                    <w:spacing w:line="240" w:lineRule="auto"/>
                    <w:jc w:val="left"/>
                    <w:rPr>
                      <w:sz w:val="22"/>
                    </w:rPr>
                  </w:pPr>
                  <w:r w:rsidRPr="00A42CA7">
                    <w:rPr>
                      <w:sz w:val="22"/>
                    </w:rPr>
                    <w:t>De 8</w:t>
                  </w:r>
                  <w:r w:rsidR="00D71EF5">
                    <w:rPr>
                      <w:sz w:val="22"/>
                    </w:rPr>
                    <w:t>4</w:t>
                  </w:r>
                  <w:r w:rsidRPr="00A42CA7">
                    <w:rPr>
                      <w:sz w:val="22"/>
                    </w:rPr>
                    <w:t xml:space="preserve"> </w:t>
                  </w:r>
                  <w:r w:rsidR="00D71EF5">
                    <w:rPr>
                      <w:sz w:val="22"/>
                    </w:rPr>
                    <w:t>57</w:t>
                  </w:r>
                  <w:r w:rsidR="00893398">
                    <w:rPr>
                      <w:sz w:val="22"/>
                    </w:rPr>
                    <w:t>8</w:t>
                  </w:r>
                  <w:r w:rsidRPr="00A42CA7">
                    <w:rPr>
                      <w:sz w:val="22"/>
                    </w:rPr>
                    <w:t xml:space="preserve"> € à 18</w:t>
                  </w:r>
                  <w:r w:rsidR="00D71EF5">
                    <w:rPr>
                      <w:sz w:val="22"/>
                    </w:rPr>
                    <w:t>1</w:t>
                  </w:r>
                  <w:r w:rsidRPr="00A42CA7">
                    <w:rPr>
                      <w:sz w:val="22"/>
                    </w:rPr>
                    <w:t xml:space="preserve"> </w:t>
                  </w:r>
                  <w:r w:rsidR="00D71EF5">
                    <w:rPr>
                      <w:sz w:val="22"/>
                    </w:rPr>
                    <w:t>917</w:t>
                  </w:r>
                  <w:r w:rsidRPr="00A42CA7">
                    <w:rPr>
                      <w:sz w:val="22"/>
                    </w:rPr>
                    <w:t xml:space="preserve"> €</w:t>
                  </w:r>
                </w:p>
              </w:tc>
              <w:tc>
                <w:tcPr>
                  <w:tcW w:w="818" w:type="dxa"/>
                  <w:tcBorders>
                    <w:top w:val="single" w:sz="4" w:space="0" w:color="auto"/>
                    <w:left w:val="single" w:sz="4" w:space="0" w:color="auto"/>
                    <w:bottom w:val="single" w:sz="4" w:space="0" w:color="auto"/>
                    <w:right w:val="single" w:sz="4" w:space="0" w:color="auto"/>
                  </w:tcBorders>
                  <w:vAlign w:val="center"/>
                  <w:hideMark/>
                </w:tcPr>
                <w:p w14:paraId="1A978FB0" w14:textId="1720EEDC" w:rsidR="00A42CA7" w:rsidRPr="00A42CA7" w:rsidRDefault="00A42CA7" w:rsidP="00030A77">
                  <w:pPr>
                    <w:spacing w:line="240" w:lineRule="auto"/>
                    <w:jc w:val="center"/>
                    <w:rPr>
                      <w:sz w:val="22"/>
                    </w:rPr>
                  </w:pPr>
                  <w:r w:rsidRPr="00A42CA7">
                    <w:rPr>
                      <w:b/>
                      <w:sz w:val="22"/>
                    </w:rPr>
                    <w:t>41%</w:t>
                  </w:r>
                </w:p>
              </w:tc>
            </w:tr>
            <w:tr w:rsidR="00A42CA7" w:rsidRPr="00A42CA7" w14:paraId="2E73FFE9"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3B0C29AE" w14:textId="6F328E1F" w:rsidR="00A42CA7" w:rsidRPr="00A42CA7" w:rsidRDefault="00A42CA7" w:rsidP="00A42CA7">
                  <w:pPr>
                    <w:spacing w:line="240" w:lineRule="auto"/>
                    <w:jc w:val="left"/>
                    <w:rPr>
                      <w:sz w:val="22"/>
                    </w:rPr>
                  </w:pPr>
                  <w:r w:rsidRPr="00A42CA7">
                    <w:rPr>
                      <w:sz w:val="22"/>
                    </w:rPr>
                    <w:t>Supérieure à 18</w:t>
                  </w:r>
                  <w:r w:rsidR="00D71EF5">
                    <w:rPr>
                      <w:sz w:val="22"/>
                    </w:rPr>
                    <w:t>1</w:t>
                  </w:r>
                  <w:r w:rsidRPr="00A42CA7">
                    <w:rPr>
                      <w:sz w:val="22"/>
                    </w:rPr>
                    <w:t xml:space="preserve"> </w:t>
                  </w:r>
                  <w:r w:rsidR="00D71EF5">
                    <w:rPr>
                      <w:sz w:val="22"/>
                    </w:rPr>
                    <w:t>917</w:t>
                  </w:r>
                  <w:r w:rsidRPr="00A42CA7">
                    <w:rPr>
                      <w:sz w:val="22"/>
                    </w:rPr>
                    <w:t xml:space="preserve"> €</w:t>
                  </w:r>
                </w:p>
              </w:tc>
              <w:tc>
                <w:tcPr>
                  <w:tcW w:w="818" w:type="dxa"/>
                  <w:tcBorders>
                    <w:top w:val="single" w:sz="4" w:space="0" w:color="auto"/>
                    <w:left w:val="single" w:sz="4" w:space="0" w:color="auto"/>
                    <w:bottom w:val="single" w:sz="4" w:space="0" w:color="auto"/>
                    <w:right w:val="single" w:sz="4" w:space="0" w:color="auto"/>
                  </w:tcBorders>
                  <w:vAlign w:val="center"/>
                  <w:hideMark/>
                </w:tcPr>
                <w:p w14:paraId="5CA7DA71" w14:textId="77777777" w:rsidR="00A42CA7" w:rsidRPr="00A42CA7" w:rsidRDefault="00A42CA7" w:rsidP="00030A77">
                  <w:pPr>
                    <w:spacing w:line="240" w:lineRule="auto"/>
                    <w:jc w:val="center"/>
                    <w:rPr>
                      <w:sz w:val="22"/>
                    </w:rPr>
                  </w:pPr>
                  <w:r w:rsidRPr="00A42CA7">
                    <w:rPr>
                      <w:b/>
                      <w:sz w:val="22"/>
                    </w:rPr>
                    <w:t>45%</w:t>
                  </w:r>
                </w:p>
              </w:tc>
            </w:tr>
          </w:tbl>
          <w:p w14:paraId="332D65D6" w14:textId="77777777" w:rsidR="00A42CA7" w:rsidRPr="00A42CA7" w:rsidRDefault="00A42CA7" w:rsidP="00A42CA7">
            <w:pPr>
              <w:spacing w:line="240" w:lineRule="auto"/>
              <w:jc w:val="left"/>
              <w:rPr>
                <w:sz w:val="10"/>
                <w:szCs w:val="10"/>
              </w:rPr>
            </w:pPr>
          </w:p>
          <w:p w14:paraId="592F4A22" w14:textId="77777777" w:rsidR="00A42CA7" w:rsidRDefault="00A42CA7" w:rsidP="00A42CA7">
            <w:pPr>
              <w:spacing w:line="240" w:lineRule="auto"/>
              <w:jc w:val="left"/>
            </w:pPr>
            <w:r w:rsidRPr="00A42CA7">
              <w:t>L’impôt brut signifie avant plafonnement des effets du QF, décote, réductions d’impôt…</w:t>
            </w:r>
          </w:p>
          <w:p w14:paraId="2C395E0D" w14:textId="77777777" w:rsidR="00433C96" w:rsidRPr="00A42CA7" w:rsidRDefault="00433C96" w:rsidP="00A42CA7">
            <w:pPr>
              <w:spacing w:line="240" w:lineRule="auto"/>
              <w:jc w:val="left"/>
              <w:rPr>
                <w:i/>
                <w:sz w:val="10"/>
                <w:szCs w:val="10"/>
              </w:rPr>
            </w:pPr>
          </w:p>
        </w:tc>
      </w:tr>
      <w:tr w:rsidR="00A42CA7" w:rsidRPr="00A42CA7" w14:paraId="76D58201" w14:textId="77777777" w:rsidTr="00433C96">
        <w:trPr>
          <w:trHeight w:val="7857"/>
        </w:trPr>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3BFE06" w14:textId="3872625F" w:rsidR="00A42CA7" w:rsidRPr="00A42CA7" w:rsidRDefault="00A42CA7" w:rsidP="00433C96">
            <w:pPr>
              <w:spacing w:line="240" w:lineRule="auto"/>
              <w:jc w:val="center"/>
              <w:rPr>
                <w:b/>
                <w:i/>
              </w:rPr>
            </w:pPr>
            <w:r w:rsidRPr="00A42CA7">
              <w:rPr>
                <w:b/>
                <w:i/>
              </w:rPr>
              <w:t>Seuils et limites pour l’imposition des revenus 202</w:t>
            </w:r>
            <w:r w:rsidR="005A36A8">
              <w:rPr>
                <w:b/>
                <w:i/>
              </w:rPr>
              <w:t>5</w:t>
            </w:r>
          </w:p>
        </w:tc>
        <w:tc>
          <w:tcPr>
            <w:tcW w:w="9866" w:type="dxa"/>
            <w:tcBorders>
              <w:top w:val="single" w:sz="4" w:space="0" w:color="auto"/>
              <w:left w:val="single" w:sz="4" w:space="0" w:color="auto"/>
              <w:bottom w:val="single" w:sz="4" w:space="0" w:color="auto"/>
              <w:right w:val="single" w:sz="4" w:space="0" w:color="auto"/>
            </w:tcBorders>
          </w:tcPr>
          <w:p w14:paraId="3F8D0EDC" w14:textId="77777777" w:rsidR="00A42CA7" w:rsidRPr="00A42CA7" w:rsidRDefault="00A42CA7" w:rsidP="00A42CA7">
            <w:pPr>
              <w:spacing w:line="240" w:lineRule="auto"/>
              <w:jc w:val="left"/>
              <w:rPr>
                <w:b/>
                <w:bCs/>
                <w:sz w:val="10"/>
                <w:szCs w:val="10"/>
                <w:u w:val="single"/>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3"/>
              <w:gridCol w:w="2953"/>
              <w:gridCol w:w="3894"/>
            </w:tblGrid>
            <w:tr w:rsidR="00433C96" w:rsidRPr="00A42CA7" w14:paraId="4DA920D4" w14:textId="77777777" w:rsidTr="00433C96">
              <w:trPr>
                <w:trHeight w:val="604"/>
                <w:jc w:val="center"/>
              </w:trPr>
              <w:tc>
                <w:tcPr>
                  <w:tcW w:w="1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2FC6E6" w14:textId="77777777" w:rsidR="00A42CA7" w:rsidRPr="00A42CA7" w:rsidRDefault="00A42CA7" w:rsidP="00433C96">
                  <w:pPr>
                    <w:spacing w:line="240" w:lineRule="auto"/>
                    <w:jc w:val="center"/>
                    <w:rPr>
                      <w:b/>
                      <w:sz w:val="22"/>
                    </w:rPr>
                  </w:pPr>
                  <w:r w:rsidRPr="00A42CA7">
                    <w:rPr>
                      <w:b/>
                      <w:sz w:val="22"/>
                    </w:rPr>
                    <w:t>Éléments</w:t>
                  </w:r>
                </w:p>
              </w:tc>
              <w:tc>
                <w:tcPr>
                  <w:tcW w:w="15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EE399F" w14:textId="77777777" w:rsidR="00A42CA7" w:rsidRPr="00A42CA7" w:rsidRDefault="00A42CA7" w:rsidP="00433C96">
                  <w:pPr>
                    <w:spacing w:line="240" w:lineRule="auto"/>
                    <w:jc w:val="center"/>
                    <w:rPr>
                      <w:b/>
                      <w:sz w:val="22"/>
                    </w:rPr>
                  </w:pPr>
                  <w:r w:rsidRPr="00A42CA7">
                    <w:rPr>
                      <w:b/>
                      <w:sz w:val="22"/>
                    </w:rPr>
                    <w:t>Déduction,</w:t>
                  </w:r>
                </w:p>
                <w:p w14:paraId="09258153" w14:textId="77777777" w:rsidR="00A42CA7" w:rsidRPr="00A42CA7" w:rsidRDefault="00A42CA7" w:rsidP="00433C96">
                  <w:pPr>
                    <w:spacing w:line="240" w:lineRule="auto"/>
                    <w:jc w:val="center"/>
                    <w:rPr>
                      <w:b/>
                      <w:sz w:val="22"/>
                    </w:rPr>
                  </w:pPr>
                  <w:r w:rsidRPr="00A42CA7">
                    <w:rPr>
                      <w:b/>
                      <w:sz w:val="22"/>
                    </w:rPr>
                    <w:t>abattement ou autre</w:t>
                  </w:r>
                </w:p>
              </w:tc>
              <w:tc>
                <w:tcPr>
                  <w:tcW w:w="20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DF0AAA" w14:textId="77777777" w:rsidR="00A42CA7" w:rsidRPr="00A42CA7" w:rsidRDefault="00A42CA7" w:rsidP="00433C96">
                  <w:pPr>
                    <w:spacing w:line="240" w:lineRule="auto"/>
                    <w:jc w:val="center"/>
                    <w:rPr>
                      <w:b/>
                      <w:sz w:val="22"/>
                    </w:rPr>
                  </w:pPr>
                  <w:r w:rsidRPr="00A42CA7">
                    <w:rPr>
                      <w:b/>
                      <w:sz w:val="22"/>
                    </w:rPr>
                    <w:t>Montant</w:t>
                  </w:r>
                </w:p>
              </w:tc>
            </w:tr>
            <w:tr w:rsidR="00433C96" w:rsidRPr="00A42CA7" w14:paraId="292B5073" w14:textId="77777777" w:rsidTr="00433C96">
              <w:trPr>
                <w:trHeight w:val="556"/>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6C5D55A1" w14:textId="77777777" w:rsidR="00A42CA7" w:rsidRPr="00A42CA7" w:rsidRDefault="00A42CA7" w:rsidP="00433C96">
                  <w:pPr>
                    <w:spacing w:line="240" w:lineRule="auto"/>
                    <w:jc w:val="center"/>
                    <w:rPr>
                      <w:sz w:val="22"/>
                    </w:rPr>
                  </w:pPr>
                  <w:r w:rsidRPr="00A42CA7">
                    <w:rPr>
                      <w:sz w:val="22"/>
                    </w:rPr>
                    <w:t>Traitements et salaires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53AB01EA" w14:textId="77777777" w:rsidR="00A42CA7" w:rsidRPr="00A42CA7" w:rsidRDefault="00A42CA7" w:rsidP="00433C96">
                  <w:pPr>
                    <w:spacing w:line="240" w:lineRule="auto"/>
                    <w:jc w:val="center"/>
                    <w:rPr>
                      <w:sz w:val="22"/>
                    </w:rPr>
                  </w:pPr>
                  <w:r w:rsidRPr="00A42CA7">
                    <w:rPr>
                      <w:sz w:val="22"/>
                    </w:rPr>
                    <w:t>Déduction forfaitaire de 10 %</w:t>
                  </w:r>
                </w:p>
              </w:tc>
              <w:tc>
                <w:tcPr>
                  <w:tcW w:w="2003" w:type="pct"/>
                  <w:tcBorders>
                    <w:top w:val="single" w:sz="4" w:space="0" w:color="auto"/>
                    <w:left w:val="single" w:sz="4" w:space="0" w:color="auto"/>
                    <w:bottom w:val="single" w:sz="4" w:space="0" w:color="auto"/>
                    <w:right w:val="single" w:sz="4" w:space="0" w:color="auto"/>
                  </w:tcBorders>
                  <w:vAlign w:val="center"/>
                  <w:hideMark/>
                </w:tcPr>
                <w:p w14:paraId="627554BC" w14:textId="5BB5C202" w:rsidR="00A42CA7" w:rsidRPr="00A42CA7" w:rsidRDefault="00A42CA7" w:rsidP="00A42CA7">
                  <w:pPr>
                    <w:spacing w:line="240" w:lineRule="auto"/>
                    <w:jc w:val="left"/>
                    <w:rPr>
                      <w:sz w:val="22"/>
                    </w:rPr>
                  </w:pPr>
                  <w:r w:rsidRPr="00A42CA7">
                    <w:rPr>
                      <w:sz w:val="22"/>
                    </w:rPr>
                    <w:t>Min = 50</w:t>
                  </w:r>
                  <w:r w:rsidR="005A36A8">
                    <w:rPr>
                      <w:sz w:val="22"/>
                    </w:rPr>
                    <w:t>9</w:t>
                  </w:r>
                  <w:r w:rsidRPr="00A42CA7">
                    <w:rPr>
                      <w:sz w:val="22"/>
                    </w:rPr>
                    <w:t xml:space="preserve"> €</w:t>
                  </w:r>
                </w:p>
                <w:p w14:paraId="4A408B42" w14:textId="14B643D2" w:rsidR="00A42CA7" w:rsidRPr="00A42CA7" w:rsidRDefault="00A42CA7" w:rsidP="00A42CA7">
                  <w:pPr>
                    <w:spacing w:line="240" w:lineRule="auto"/>
                    <w:jc w:val="left"/>
                    <w:rPr>
                      <w:sz w:val="22"/>
                    </w:rPr>
                  </w:pPr>
                  <w:r w:rsidRPr="00A42CA7">
                    <w:rPr>
                      <w:sz w:val="22"/>
                    </w:rPr>
                    <w:t xml:space="preserve">Max = 14 </w:t>
                  </w:r>
                  <w:r w:rsidR="005A36A8">
                    <w:rPr>
                      <w:sz w:val="22"/>
                    </w:rPr>
                    <w:t>555</w:t>
                  </w:r>
                  <w:r w:rsidRPr="00A42CA7">
                    <w:rPr>
                      <w:sz w:val="22"/>
                    </w:rPr>
                    <w:t xml:space="preserve"> €</w:t>
                  </w:r>
                </w:p>
              </w:tc>
            </w:tr>
            <w:tr w:rsidR="00433C96" w:rsidRPr="00A42CA7" w14:paraId="2909A1DF" w14:textId="77777777" w:rsidTr="00433C96">
              <w:trPr>
                <w:trHeight w:val="692"/>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7DBA0DB6" w14:textId="77777777" w:rsidR="00A42CA7" w:rsidRPr="00A42CA7" w:rsidRDefault="00A42CA7" w:rsidP="00433C96">
                  <w:pPr>
                    <w:spacing w:line="240" w:lineRule="auto"/>
                    <w:jc w:val="center"/>
                    <w:rPr>
                      <w:sz w:val="22"/>
                    </w:rPr>
                  </w:pPr>
                  <w:r w:rsidRPr="00A42CA7">
                    <w:rPr>
                      <w:sz w:val="22"/>
                    </w:rPr>
                    <w:t>Pensions et retraites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65ACF953" w14:textId="77777777" w:rsidR="00A42CA7" w:rsidRPr="00A42CA7" w:rsidRDefault="00A42CA7" w:rsidP="00433C96">
                  <w:pPr>
                    <w:spacing w:line="240" w:lineRule="auto"/>
                    <w:jc w:val="center"/>
                    <w:rPr>
                      <w:sz w:val="22"/>
                    </w:rPr>
                  </w:pPr>
                  <w:r w:rsidRPr="00A42CA7">
                    <w:rPr>
                      <w:sz w:val="22"/>
                    </w:rPr>
                    <w:t>Abattement de 10 %</w:t>
                  </w:r>
                </w:p>
              </w:tc>
              <w:tc>
                <w:tcPr>
                  <w:tcW w:w="2003" w:type="pct"/>
                  <w:tcBorders>
                    <w:top w:val="single" w:sz="4" w:space="0" w:color="auto"/>
                    <w:left w:val="single" w:sz="4" w:space="0" w:color="auto"/>
                    <w:bottom w:val="single" w:sz="4" w:space="0" w:color="auto"/>
                    <w:right w:val="single" w:sz="4" w:space="0" w:color="auto"/>
                  </w:tcBorders>
                  <w:vAlign w:val="center"/>
                  <w:hideMark/>
                </w:tcPr>
                <w:p w14:paraId="37E5C8E2" w14:textId="52BBE980" w:rsidR="00A42CA7" w:rsidRPr="00A42CA7" w:rsidRDefault="00A42CA7" w:rsidP="00433C96">
                  <w:pPr>
                    <w:spacing w:line="240" w:lineRule="auto"/>
                    <w:rPr>
                      <w:sz w:val="22"/>
                    </w:rPr>
                  </w:pPr>
                  <w:r w:rsidRPr="00A42CA7">
                    <w:rPr>
                      <w:sz w:val="22"/>
                    </w:rPr>
                    <w:t>Min = 45</w:t>
                  </w:r>
                  <w:r w:rsidR="005A36A8">
                    <w:rPr>
                      <w:sz w:val="22"/>
                    </w:rPr>
                    <w:t>4</w:t>
                  </w:r>
                  <w:r w:rsidRPr="00A42CA7">
                    <w:rPr>
                      <w:sz w:val="22"/>
                    </w:rPr>
                    <w:t xml:space="preserve"> €</w:t>
                  </w:r>
                </w:p>
                <w:p w14:paraId="055856E1" w14:textId="10C30B9D" w:rsidR="00A42CA7" w:rsidRPr="00A42CA7" w:rsidRDefault="00A42CA7" w:rsidP="00433C96">
                  <w:pPr>
                    <w:spacing w:line="240" w:lineRule="auto"/>
                    <w:rPr>
                      <w:sz w:val="22"/>
                    </w:rPr>
                  </w:pPr>
                  <w:r w:rsidRPr="00A42CA7">
                    <w:rPr>
                      <w:sz w:val="22"/>
                    </w:rPr>
                    <w:t>Max = 4 </w:t>
                  </w:r>
                  <w:r w:rsidR="005A36A8">
                    <w:rPr>
                      <w:sz w:val="22"/>
                    </w:rPr>
                    <w:t>438</w:t>
                  </w:r>
                  <w:r w:rsidRPr="00A42CA7">
                    <w:rPr>
                      <w:sz w:val="22"/>
                    </w:rPr>
                    <w:t xml:space="preserve"> € (limite pour le foyer fiscal)</w:t>
                  </w:r>
                </w:p>
              </w:tc>
            </w:tr>
            <w:tr w:rsidR="00433C96" w:rsidRPr="00A42CA7" w14:paraId="2514CE22" w14:textId="77777777" w:rsidTr="00433C96">
              <w:trPr>
                <w:trHeight w:val="716"/>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7193C153" w14:textId="77777777" w:rsidR="00A42CA7" w:rsidRPr="00A42CA7" w:rsidRDefault="00A42CA7" w:rsidP="00433C96">
                  <w:pPr>
                    <w:spacing w:line="240" w:lineRule="auto"/>
                    <w:jc w:val="center"/>
                    <w:rPr>
                      <w:sz w:val="22"/>
                    </w:rPr>
                  </w:pPr>
                  <w:r w:rsidRPr="00A42CA7">
                    <w:rPr>
                      <w:sz w:val="22"/>
                    </w:rPr>
                    <w:t>Personnes âgées (+ 65 ans) ou invalides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4C6C7AC6" w14:textId="77777777" w:rsidR="00A42CA7" w:rsidRPr="00A42CA7" w:rsidRDefault="00A42CA7" w:rsidP="00433C96">
                  <w:pPr>
                    <w:spacing w:line="240" w:lineRule="auto"/>
                    <w:jc w:val="center"/>
                    <w:rPr>
                      <w:sz w:val="22"/>
                    </w:rPr>
                  </w:pPr>
                  <w:r w:rsidRPr="00A42CA7">
                    <w:rPr>
                      <w:sz w:val="22"/>
                    </w:rPr>
                    <w:t>Abattement</w:t>
                  </w:r>
                </w:p>
              </w:tc>
              <w:tc>
                <w:tcPr>
                  <w:tcW w:w="2003" w:type="pct"/>
                  <w:tcBorders>
                    <w:top w:val="single" w:sz="4" w:space="0" w:color="auto"/>
                    <w:left w:val="single" w:sz="4" w:space="0" w:color="auto"/>
                    <w:bottom w:val="single" w:sz="4" w:space="0" w:color="auto"/>
                    <w:right w:val="single" w:sz="4" w:space="0" w:color="auto"/>
                  </w:tcBorders>
                  <w:vAlign w:val="center"/>
                  <w:hideMark/>
                </w:tcPr>
                <w:p w14:paraId="78AECDE0" w14:textId="59537FCA" w:rsidR="00A42CA7" w:rsidRPr="00A42CA7" w:rsidRDefault="00A42CA7" w:rsidP="00433C96">
                  <w:pPr>
                    <w:spacing w:line="240" w:lineRule="auto"/>
                    <w:rPr>
                      <w:sz w:val="22"/>
                    </w:rPr>
                  </w:pPr>
                  <w:r w:rsidRPr="00A42CA7">
                    <w:rPr>
                      <w:sz w:val="22"/>
                    </w:rPr>
                    <w:t>2 </w:t>
                  </w:r>
                  <w:r w:rsidR="005A36A8">
                    <w:rPr>
                      <w:sz w:val="22"/>
                    </w:rPr>
                    <w:t>822</w:t>
                  </w:r>
                  <w:r w:rsidRPr="00A42CA7">
                    <w:rPr>
                      <w:sz w:val="22"/>
                    </w:rPr>
                    <w:t xml:space="preserve"> € (si R ≤ 17 </w:t>
                  </w:r>
                  <w:r w:rsidR="005A36A8">
                    <w:rPr>
                      <w:sz w:val="22"/>
                    </w:rPr>
                    <w:t>67</w:t>
                  </w:r>
                  <w:r w:rsidRPr="00A42CA7">
                    <w:rPr>
                      <w:sz w:val="22"/>
                    </w:rPr>
                    <w:t>0 €)</w:t>
                  </w:r>
                </w:p>
                <w:p w14:paraId="651D034F" w14:textId="1F77A505" w:rsidR="00A42CA7" w:rsidRPr="00A42CA7" w:rsidRDefault="00A42CA7" w:rsidP="00433C96">
                  <w:pPr>
                    <w:spacing w:line="240" w:lineRule="auto"/>
                    <w:rPr>
                      <w:sz w:val="22"/>
                    </w:rPr>
                  </w:pPr>
                  <w:r w:rsidRPr="00A42CA7">
                    <w:rPr>
                      <w:sz w:val="22"/>
                    </w:rPr>
                    <w:t>1 </w:t>
                  </w:r>
                  <w:r w:rsidR="005A36A8">
                    <w:rPr>
                      <w:sz w:val="22"/>
                    </w:rPr>
                    <w:t>411</w:t>
                  </w:r>
                  <w:r w:rsidRPr="00A42CA7">
                    <w:rPr>
                      <w:sz w:val="22"/>
                    </w:rPr>
                    <w:t xml:space="preserve"> € (si 17 </w:t>
                  </w:r>
                  <w:r w:rsidR="005A36A8">
                    <w:rPr>
                      <w:sz w:val="22"/>
                    </w:rPr>
                    <w:t>67</w:t>
                  </w:r>
                  <w:r w:rsidRPr="00A42CA7">
                    <w:rPr>
                      <w:sz w:val="22"/>
                    </w:rPr>
                    <w:t xml:space="preserve">0 € &lt; R ≤ 28 </w:t>
                  </w:r>
                  <w:r w:rsidR="005A36A8">
                    <w:rPr>
                      <w:sz w:val="22"/>
                    </w:rPr>
                    <w:t>43</w:t>
                  </w:r>
                  <w:r w:rsidRPr="00A42CA7">
                    <w:rPr>
                      <w:sz w:val="22"/>
                    </w:rPr>
                    <w:t>0 €)</w:t>
                  </w:r>
                </w:p>
              </w:tc>
            </w:tr>
            <w:tr w:rsidR="00433C96" w:rsidRPr="00A42CA7" w14:paraId="301DC4D6" w14:textId="77777777" w:rsidTr="00433C96">
              <w:trPr>
                <w:trHeight w:val="1110"/>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2A34BF6D" w14:textId="77777777" w:rsidR="00A42CA7" w:rsidRPr="00A42CA7" w:rsidRDefault="00A42CA7" w:rsidP="00433C96">
                  <w:pPr>
                    <w:spacing w:line="240" w:lineRule="auto"/>
                    <w:jc w:val="center"/>
                    <w:rPr>
                      <w:sz w:val="22"/>
                    </w:rPr>
                  </w:pPr>
                  <w:r w:rsidRPr="00A42CA7">
                    <w:rPr>
                      <w:sz w:val="22"/>
                    </w:rPr>
                    <w:t>Frais d’accueil des personnes âgées (+ 75 ans)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44A0809B" w14:textId="77777777" w:rsidR="00A42CA7" w:rsidRPr="00A42CA7" w:rsidRDefault="00A42CA7" w:rsidP="00433C96">
                  <w:pPr>
                    <w:spacing w:line="240" w:lineRule="auto"/>
                    <w:jc w:val="center"/>
                    <w:rPr>
                      <w:sz w:val="22"/>
                    </w:rPr>
                  </w:pPr>
                  <w:r w:rsidRPr="00A42CA7">
                    <w:rPr>
                      <w:sz w:val="22"/>
                    </w:rPr>
                    <w:t>Déduction</w:t>
                  </w:r>
                </w:p>
              </w:tc>
              <w:tc>
                <w:tcPr>
                  <w:tcW w:w="2003" w:type="pct"/>
                  <w:tcBorders>
                    <w:top w:val="single" w:sz="4" w:space="0" w:color="auto"/>
                    <w:left w:val="single" w:sz="4" w:space="0" w:color="auto"/>
                    <w:bottom w:val="single" w:sz="4" w:space="0" w:color="auto"/>
                    <w:right w:val="single" w:sz="4" w:space="0" w:color="auto"/>
                  </w:tcBorders>
                  <w:vAlign w:val="center"/>
                  <w:hideMark/>
                </w:tcPr>
                <w:p w14:paraId="5C728323" w14:textId="121E5EDA" w:rsidR="00A42CA7" w:rsidRPr="00A42CA7" w:rsidRDefault="00A42CA7" w:rsidP="00433C96">
                  <w:pPr>
                    <w:spacing w:line="240" w:lineRule="auto"/>
                    <w:rPr>
                      <w:sz w:val="22"/>
                    </w:rPr>
                  </w:pPr>
                  <w:r w:rsidRPr="00A42CA7">
                    <w:rPr>
                      <w:sz w:val="22"/>
                    </w:rPr>
                    <w:t>4 0</w:t>
                  </w:r>
                  <w:r w:rsidR="00886CFE">
                    <w:rPr>
                      <w:sz w:val="22"/>
                    </w:rPr>
                    <w:t>75</w:t>
                  </w:r>
                  <w:r w:rsidRPr="00A42CA7">
                    <w:rPr>
                      <w:sz w:val="22"/>
                    </w:rPr>
                    <w:t xml:space="preserve"> € (sous condition de ressources : 12 </w:t>
                  </w:r>
                  <w:r w:rsidR="00886CFE">
                    <w:rPr>
                      <w:sz w:val="22"/>
                    </w:rPr>
                    <w:t>411</w:t>
                  </w:r>
                  <w:r w:rsidRPr="00A42CA7">
                    <w:rPr>
                      <w:sz w:val="22"/>
                    </w:rPr>
                    <w:t xml:space="preserve"> € personne seule ou </w:t>
                  </w:r>
                  <w:r w:rsidR="00886CFE">
                    <w:rPr>
                      <w:sz w:val="22"/>
                    </w:rPr>
                    <w:t>19 269</w:t>
                  </w:r>
                  <w:r w:rsidRPr="00A42CA7">
                    <w:rPr>
                      <w:sz w:val="22"/>
                    </w:rPr>
                    <w:t xml:space="preserve"> € pour un couple / seuils après abattement 10% et abattement personnes âgées)</w:t>
                  </w:r>
                </w:p>
              </w:tc>
            </w:tr>
            <w:tr w:rsidR="00433C96" w:rsidRPr="00A42CA7" w14:paraId="3D61BBED" w14:textId="77777777" w:rsidTr="00433C96">
              <w:trPr>
                <w:trHeight w:val="767"/>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01150789" w14:textId="77777777" w:rsidR="00A42CA7" w:rsidRPr="00A42CA7" w:rsidRDefault="00A42CA7" w:rsidP="00433C96">
                  <w:pPr>
                    <w:spacing w:line="240" w:lineRule="auto"/>
                    <w:jc w:val="center"/>
                    <w:rPr>
                      <w:sz w:val="22"/>
                    </w:rPr>
                  </w:pPr>
                  <w:r w:rsidRPr="00A42CA7">
                    <w:rPr>
                      <w:sz w:val="22"/>
                    </w:rPr>
                    <w:t>Frais d’entretien d’ascendants (parents) ou de descendants (enfant majeur) dans le besoin</w:t>
                  </w:r>
                </w:p>
              </w:tc>
              <w:tc>
                <w:tcPr>
                  <w:tcW w:w="1519" w:type="pct"/>
                  <w:tcBorders>
                    <w:top w:val="single" w:sz="4" w:space="0" w:color="auto"/>
                    <w:left w:val="single" w:sz="4" w:space="0" w:color="auto"/>
                    <w:bottom w:val="single" w:sz="4" w:space="0" w:color="auto"/>
                    <w:right w:val="single" w:sz="4" w:space="0" w:color="auto"/>
                  </w:tcBorders>
                  <w:vAlign w:val="center"/>
                  <w:hideMark/>
                </w:tcPr>
                <w:p w14:paraId="1ECEB251" w14:textId="77777777" w:rsidR="00A42CA7" w:rsidRPr="00A42CA7" w:rsidRDefault="00A42CA7" w:rsidP="00433C96">
                  <w:pPr>
                    <w:spacing w:line="240" w:lineRule="auto"/>
                    <w:jc w:val="center"/>
                    <w:rPr>
                      <w:sz w:val="22"/>
                    </w:rPr>
                  </w:pPr>
                  <w:r w:rsidRPr="00A42CA7">
                    <w:rPr>
                      <w:sz w:val="22"/>
                    </w:rPr>
                    <w:t>Déduction</w:t>
                  </w:r>
                </w:p>
              </w:tc>
              <w:tc>
                <w:tcPr>
                  <w:tcW w:w="2003" w:type="pct"/>
                  <w:tcBorders>
                    <w:top w:val="single" w:sz="4" w:space="0" w:color="auto"/>
                    <w:left w:val="single" w:sz="4" w:space="0" w:color="auto"/>
                    <w:bottom w:val="single" w:sz="4" w:space="0" w:color="auto"/>
                    <w:right w:val="single" w:sz="4" w:space="0" w:color="auto"/>
                  </w:tcBorders>
                  <w:vAlign w:val="center"/>
                  <w:hideMark/>
                </w:tcPr>
                <w:p w14:paraId="7A9B92F5" w14:textId="50EEFADE" w:rsidR="00A42CA7" w:rsidRPr="00A42CA7" w:rsidRDefault="00A42CA7" w:rsidP="00433C96">
                  <w:pPr>
                    <w:spacing w:line="240" w:lineRule="auto"/>
                    <w:rPr>
                      <w:sz w:val="22"/>
                    </w:rPr>
                  </w:pPr>
                  <w:r w:rsidRPr="00A42CA7">
                    <w:rPr>
                      <w:sz w:val="22"/>
                    </w:rPr>
                    <w:t>4 0</w:t>
                  </w:r>
                  <w:r w:rsidR="005A36A8">
                    <w:rPr>
                      <w:sz w:val="22"/>
                    </w:rPr>
                    <w:t>75</w:t>
                  </w:r>
                  <w:r w:rsidRPr="00A42CA7">
                    <w:rPr>
                      <w:sz w:val="22"/>
                    </w:rPr>
                    <w:t xml:space="preserve"> €</w:t>
                  </w:r>
                </w:p>
              </w:tc>
            </w:tr>
            <w:tr w:rsidR="00433C96" w:rsidRPr="00A42CA7" w14:paraId="3CA686C2" w14:textId="77777777" w:rsidTr="00433C96">
              <w:trPr>
                <w:trHeight w:val="538"/>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69733927" w14:textId="77777777" w:rsidR="00A42CA7" w:rsidRPr="00A42CA7" w:rsidRDefault="00A42CA7" w:rsidP="00433C96">
                  <w:pPr>
                    <w:spacing w:line="240" w:lineRule="auto"/>
                    <w:jc w:val="center"/>
                    <w:rPr>
                      <w:sz w:val="22"/>
                    </w:rPr>
                  </w:pPr>
                  <w:r w:rsidRPr="00A42CA7">
                    <w:rPr>
                      <w:sz w:val="22"/>
                    </w:rPr>
                    <w:t>Pension alimentaire versée à un enfant majeur célibataire, marié ou pacsé</w:t>
                  </w:r>
                </w:p>
              </w:tc>
              <w:tc>
                <w:tcPr>
                  <w:tcW w:w="1519" w:type="pct"/>
                  <w:tcBorders>
                    <w:top w:val="single" w:sz="4" w:space="0" w:color="auto"/>
                    <w:left w:val="single" w:sz="4" w:space="0" w:color="auto"/>
                    <w:bottom w:val="single" w:sz="4" w:space="0" w:color="auto"/>
                    <w:right w:val="single" w:sz="4" w:space="0" w:color="auto"/>
                  </w:tcBorders>
                  <w:vAlign w:val="center"/>
                  <w:hideMark/>
                </w:tcPr>
                <w:p w14:paraId="04648701" w14:textId="77777777" w:rsidR="00A42CA7" w:rsidRPr="00A42CA7" w:rsidRDefault="00A42CA7" w:rsidP="00433C96">
                  <w:pPr>
                    <w:spacing w:line="240" w:lineRule="auto"/>
                    <w:jc w:val="center"/>
                    <w:rPr>
                      <w:sz w:val="22"/>
                    </w:rPr>
                  </w:pPr>
                  <w:r w:rsidRPr="00A42CA7">
                    <w:rPr>
                      <w:sz w:val="22"/>
                    </w:rPr>
                    <w:t>Déduction</w:t>
                  </w:r>
                </w:p>
              </w:tc>
              <w:tc>
                <w:tcPr>
                  <w:tcW w:w="2003" w:type="pct"/>
                  <w:tcBorders>
                    <w:top w:val="single" w:sz="4" w:space="0" w:color="auto"/>
                    <w:left w:val="single" w:sz="4" w:space="0" w:color="auto"/>
                    <w:bottom w:val="single" w:sz="4" w:space="0" w:color="auto"/>
                    <w:right w:val="single" w:sz="4" w:space="0" w:color="auto"/>
                  </w:tcBorders>
                  <w:vAlign w:val="center"/>
                  <w:hideMark/>
                </w:tcPr>
                <w:p w14:paraId="1F9BF22E" w14:textId="4F6E4E72" w:rsidR="00A42CA7" w:rsidRPr="00A42CA7" w:rsidRDefault="00A42CA7" w:rsidP="00433C96">
                  <w:pPr>
                    <w:spacing w:line="240" w:lineRule="auto"/>
                    <w:rPr>
                      <w:sz w:val="22"/>
                    </w:rPr>
                  </w:pPr>
                  <w:r w:rsidRPr="00A42CA7">
                    <w:rPr>
                      <w:sz w:val="22"/>
                    </w:rPr>
                    <w:t>6 </w:t>
                  </w:r>
                  <w:r w:rsidR="005A36A8">
                    <w:rPr>
                      <w:sz w:val="22"/>
                    </w:rPr>
                    <w:t>855</w:t>
                  </w:r>
                  <w:r w:rsidRPr="00A42CA7">
                    <w:rPr>
                      <w:sz w:val="22"/>
                    </w:rPr>
                    <w:t xml:space="preserve"> €</w:t>
                  </w:r>
                </w:p>
              </w:tc>
            </w:tr>
            <w:tr w:rsidR="00433C96" w:rsidRPr="00A42CA7" w14:paraId="6081DFA7" w14:textId="77777777" w:rsidTr="00433C96">
              <w:trPr>
                <w:trHeight w:val="892"/>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5B8C9538" w14:textId="77777777" w:rsidR="00A42CA7" w:rsidRPr="00A42CA7" w:rsidRDefault="00A42CA7" w:rsidP="00433C96">
                  <w:pPr>
                    <w:spacing w:line="240" w:lineRule="auto"/>
                    <w:jc w:val="center"/>
                    <w:rPr>
                      <w:sz w:val="22"/>
                    </w:rPr>
                  </w:pPr>
                  <w:r w:rsidRPr="00A42CA7">
                    <w:rPr>
                      <w:sz w:val="22"/>
                    </w:rPr>
                    <w:t>Plafonnement des effets du quotient familial</w:t>
                  </w:r>
                </w:p>
                <w:p w14:paraId="3B456FE4" w14:textId="77777777" w:rsidR="00A42CA7" w:rsidRPr="00A42CA7" w:rsidRDefault="00A42CA7" w:rsidP="00433C96">
                  <w:pPr>
                    <w:spacing w:line="240" w:lineRule="auto"/>
                    <w:jc w:val="center"/>
                    <w:rPr>
                      <w:sz w:val="22"/>
                    </w:rPr>
                  </w:pPr>
                  <w:r w:rsidRPr="00A42CA7">
                    <w:rPr>
                      <w:sz w:val="22"/>
                    </w:rPr>
                    <w:t>(cas généraux)</w:t>
                  </w:r>
                </w:p>
              </w:tc>
              <w:tc>
                <w:tcPr>
                  <w:tcW w:w="1519" w:type="pct"/>
                  <w:tcBorders>
                    <w:top w:val="single" w:sz="4" w:space="0" w:color="auto"/>
                    <w:left w:val="single" w:sz="4" w:space="0" w:color="auto"/>
                    <w:bottom w:val="single" w:sz="4" w:space="0" w:color="auto"/>
                    <w:right w:val="single" w:sz="4" w:space="0" w:color="auto"/>
                  </w:tcBorders>
                  <w:vAlign w:val="center"/>
                  <w:hideMark/>
                </w:tcPr>
                <w:p w14:paraId="381BACBC" w14:textId="42528617" w:rsidR="00A42CA7" w:rsidRPr="00A42CA7" w:rsidRDefault="00A42CA7" w:rsidP="00433C96">
                  <w:pPr>
                    <w:spacing w:line="240" w:lineRule="auto"/>
                    <w:jc w:val="center"/>
                    <w:rPr>
                      <w:sz w:val="22"/>
                    </w:rPr>
                  </w:pPr>
                  <w:r w:rsidRPr="00A42CA7">
                    <w:rPr>
                      <w:sz w:val="22"/>
                    </w:rPr>
                    <w:t>Avantage fiscal limité pour</w:t>
                  </w:r>
                  <w:r w:rsidR="00433C96">
                    <w:rPr>
                      <w:sz w:val="22"/>
                    </w:rPr>
                    <w:t xml:space="preserve"> </w:t>
                  </w:r>
                  <w:r w:rsidRPr="00A42CA7">
                    <w:rPr>
                      <w:sz w:val="22"/>
                    </w:rPr>
                    <w:t>chaque demi-part</w:t>
                  </w:r>
                  <w:r w:rsidR="00433C96">
                    <w:rPr>
                      <w:sz w:val="22"/>
                    </w:rPr>
                    <w:t xml:space="preserve"> </w:t>
                  </w:r>
                  <w:r w:rsidRPr="00A42CA7">
                    <w:rPr>
                      <w:sz w:val="22"/>
                    </w:rPr>
                    <w:t>au-delà de 1 part ou de 2 parts</w:t>
                  </w:r>
                </w:p>
              </w:tc>
              <w:tc>
                <w:tcPr>
                  <w:tcW w:w="2003" w:type="pct"/>
                  <w:tcBorders>
                    <w:top w:val="single" w:sz="4" w:space="0" w:color="auto"/>
                    <w:left w:val="single" w:sz="4" w:space="0" w:color="auto"/>
                    <w:bottom w:val="single" w:sz="4" w:space="0" w:color="auto"/>
                    <w:right w:val="single" w:sz="4" w:space="0" w:color="auto"/>
                  </w:tcBorders>
                  <w:vAlign w:val="center"/>
                  <w:hideMark/>
                </w:tcPr>
                <w:p w14:paraId="18BE885C" w14:textId="0CD3BDEA" w:rsidR="00A42CA7" w:rsidRPr="00A42CA7" w:rsidRDefault="00A42CA7" w:rsidP="00433C96">
                  <w:pPr>
                    <w:spacing w:line="240" w:lineRule="auto"/>
                    <w:rPr>
                      <w:sz w:val="22"/>
                    </w:rPr>
                  </w:pPr>
                  <w:r w:rsidRPr="00A42CA7">
                    <w:rPr>
                      <w:sz w:val="22"/>
                    </w:rPr>
                    <w:t>1 </w:t>
                  </w:r>
                  <w:r w:rsidR="005A36A8">
                    <w:rPr>
                      <w:sz w:val="22"/>
                    </w:rPr>
                    <w:t>807</w:t>
                  </w:r>
                  <w:r w:rsidRPr="00A42CA7">
                    <w:rPr>
                      <w:sz w:val="22"/>
                    </w:rPr>
                    <w:t xml:space="preserve"> € (4 2</w:t>
                  </w:r>
                  <w:r w:rsidR="005A36A8">
                    <w:rPr>
                      <w:sz w:val="22"/>
                    </w:rPr>
                    <w:t>62</w:t>
                  </w:r>
                  <w:r w:rsidRPr="00A42CA7">
                    <w:rPr>
                      <w:sz w:val="22"/>
                    </w:rPr>
                    <w:t xml:space="preserve"> € pour une part entière </w:t>
                  </w:r>
                  <w:r w:rsidR="00433C96">
                    <w:rPr>
                      <w:sz w:val="22"/>
                    </w:rPr>
                    <w:t xml:space="preserve">= </w:t>
                  </w:r>
                  <w:r w:rsidRPr="00A42CA7">
                    <w:rPr>
                      <w:sz w:val="22"/>
                    </w:rPr>
                    <w:t>1</w:t>
                  </w:r>
                  <w:r w:rsidRPr="00A42CA7">
                    <w:rPr>
                      <w:sz w:val="22"/>
                      <w:vertAlign w:val="superscript"/>
                    </w:rPr>
                    <w:t>er</w:t>
                  </w:r>
                  <w:r w:rsidRPr="00A42CA7">
                    <w:rPr>
                      <w:sz w:val="22"/>
                    </w:rPr>
                    <w:t xml:space="preserve"> enfant des CVD qui supportent à titre exclusif la charge)</w:t>
                  </w:r>
                </w:p>
              </w:tc>
            </w:tr>
            <w:tr w:rsidR="00A42CA7" w:rsidRPr="00A42CA7" w14:paraId="7D40B482" w14:textId="77777777" w:rsidTr="00433C96">
              <w:trPr>
                <w:trHeight w:val="647"/>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716DE647" w14:textId="77777777" w:rsidR="00A42CA7" w:rsidRPr="00A42CA7" w:rsidRDefault="00A42CA7" w:rsidP="00433C96">
                  <w:pPr>
                    <w:spacing w:line="240" w:lineRule="auto"/>
                    <w:jc w:val="center"/>
                    <w:rPr>
                      <w:sz w:val="22"/>
                    </w:rPr>
                  </w:pPr>
                  <w:r w:rsidRPr="00A42CA7">
                    <w:rPr>
                      <w:sz w:val="22"/>
                    </w:rPr>
                    <w:t>Décote (seuils / montants)</w:t>
                  </w:r>
                </w:p>
              </w:tc>
              <w:tc>
                <w:tcPr>
                  <w:tcW w:w="3522" w:type="pct"/>
                  <w:gridSpan w:val="2"/>
                  <w:tcBorders>
                    <w:top w:val="single" w:sz="4" w:space="0" w:color="auto"/>
                    <w:left w:val="single" w:sz="4" w:space="0" w:color="auto"/>
                    <w:bottom w:val="single" w:sz="4" w:space="0" w:color="auto"/>
                    <w:right w:val="single" w:sz="4" w:space="0" w:color="auto"/>
                  </w:tcBorders>
                  <w:vAlign w:val="center"/>
                  <w:hideMark/>
                </w:tcPr>
                <w:p w14:paraId="20281F1E" w14:textId="0FDBF38F" w:rsidR="00A42CA7" w:rsidRPr="00A42CA7" w:rsidRDefault="00A42CA7" w:rsidP="00433C96">
                  <w:pPr>
                    <w:spacing w:line="240" w:lineRule="auto"/>
                    <w:rPr>
                      <w:sz w:val="22"/>
                    </w:rPr>
                  </w:pPr>
                  <w:r w:rsidRPr="00A42CA7">
                    <w:rPr>
                      <w:sz w:val="22"/>
                    </w:rPr>
                    <w:t>CVD (impôt brut &lt; 1 9</w:t>
                  </w:r>
                  <w:r w:rsidR="00886CFE">
                    <w:rPr>
                      <w:sz w:val="22"/>
                    </w:rPr>
                    <w:t>82</w:t>
                  </w:r>
                  <w:r w:rsidRPr="00A42CA7">
                    <w:rPr>
                      <w:sz w:val="22"/>
                    </w:rPr>
                    <w:t xml:space="preserve"> €) : 8</w:t>
                  </w:r>
                  <w:r w:rsidR="005A36A8">
                    <w:rPr>
                      <w:sz w:val="22"/>
                    </w:rPr>
                    <w:t>97</w:t>
                  </w:r>
                  <w:r w:rsidRPr="00A42CA7">
                    <w:rPr>
                      <w:sz w:val="22"/>
                    </w:rPr>
                    <w:t xml:space="preserve"> € – (45,25% impôt brut)</w:t>
                  </w:r>
                </w:p>
                <w:p w14:paraId="3E3E75F9" w14:textId="1900E007" w:rsidR="00A42CA7" w:rsidRPr="00A42CA7" w:rsidRDefault="00A42CA7" w:rsidP="00433C96">
                  <w:pPr>
                    <w:spacing w:line="240" w:lineRule="auto"/>
                    <w:rPr>
                      <w:sz w:val="22"/>
                    </w:rPr>
                  </w:pPr>
                  <w:r w:rsidRPr="00A42CA7">
                    <w:rPr>
                      <w:sz w:val="22"/>
                    </w:rPr>
                    <w:t>MP (impôt brut &lt; 3 2</w:t>
                  </w:r>
                  <w:r w:rsidR="00886CFE">
                    <w:rPr>
                      <w:sz w:val="22"/>
                    </w:rPr>
                    <w:t>77</w:t>
                  </w:r>
                  <w:r w:rsidRPr="00A42CA7">
                    <w:rPr>
                      <w:sz w:val="22"/>
                    </w:rPr>
                    <w:t xml:space="preserve"> €) : 1 4</w:t>
                  </w:r>
                  <w:r w:rsidR="005A36A8">
                    <w:rPr>
                      <w:sz w:val="22"/>
                    </w:rPr>
                    <w:t>83</w:t>
                  </w:r>
                  <w:r w:rsidRPr="00A42CA7">
                    <w:rPr>
                      <w:sz w:val="22"/>
                    </w:rPr>
                    <w:t xml:space="preserve"> € – (45,25% impôt brut)</w:t>
                  </w:r>
                </w:p>
              </w:tc>
            </w:tr>
            <w:tr w:rsidR="00A42CA7" w:rsidRPr="00A42CA7" w14:paraId="23955CE6" w14:textId="77777777" w:rsidTr="00433C96">
              <w:trPr>
                <w:trHeight w:val="693"/>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3659E460" w14:textId="77777777" w:rsidR="00A42CA7" w:rsidRPr="00A42CA7" w:rsidRDefault="00A42CA7" w:rsidP="00433C96">
                  <w:pPr>
                    <w:spacing w:line="240" w:lineRule="auto"/>
                    <w:jc w:val="center"/>
                    <w:rPr>
                      <w:sz w:val="22"/>
                    </w:rPr>
                  </w:pPr>
                  <w:r w:rsidRPr="00A42CA7">
                    <w:rPr>
                      <w:sz w:val="22"/>
                    </w:rPr>
                    <w:t>Déficit BA</w:t>
                  </w:r>
                </w:p>
              </w:tc>
              <w:tc>
                <w:tcPr>
                  <w:tcW w:w="3522" w:type="pct"/>
                  <w:gridSpan w:val="2"/>
                  <w:tcBorders>
                    <w:top w:val="single" w:sz="4" w:space="0" w:color="auto"/>
                    <w:left w:val="single" w:sz="4" w:space="0" w:color="auto"/>
                    <w:bottom w:val="single" w:sz="4" w:space="0" w:color="auto"/>
                    <w:right w:val="single" w:sz="4" w:space="0" w:color="auto"/>
                  </w:tcBorders>
                  <w:vAlign w:val="center"/>
                  <w:hideMark/>
                </w:tcPr>
                <w:p w14:paraId="319B082C" w14:textId="30A4A485" w:rsidR="00A42CA7" w:rsidRPr="00A42CA7" w:rsidRDefault="00A42CA7" w:rsidP="00433C96">
                  <w:pPr>
                    <w:spacing w:line="240" w:lineRule="auto"/>
                    <w:rPr>
                      <w:sz w:val="22"/>
                    </w:rPr>
                  </w:pPr>
                  <w:r w:rsidRPr="00A42CA7">
                    <w:rPr>
                      <w:sz w:val="22"/>
                    </w:rPr>
                    <w:t>Total des revenus nets d’autres sources que les BA n’autorisant pas l’imputation d’un déficit agricole = 12</w:t>
                  </w:r>
                  <w:r w:rsidR="00886CFE">
                    <w:rPr>
                      <w:sz w:val="22"/>
                    </w:rPr>
                    <w:t>8</w:t>
                  </w:r>
                  <w:r w:rsidRPr="00A42CA7">
                    <w:rPr>
                      <w:sz w:val="22"/>
                    </w:rPr>
                    <w:t> </w:t>
                  </w:r>
                  <w:r w:rsidR="00886CFE">
                    <w:rPr>
                      <w:sz w:val="22"/>
                    </w:rPr>
                    <w:t>826</w:t>
                  </w:r>
                  <w:r w:rsidRPr="00A42CA7">
                    <w:rPr>
                      <w:sz w:val="22"/>
                    </w:rPr>
                    <w:t xml:space="preserve"> €</w:t>
                  </w:r>
                </w:p>
              </w:tc>
            </w:tr>
          </w:tbl>
          <w:p w14:paraId="3419A006" w14:textId="77777777" w:rsidR="00A42CA7" w:rsidRPr="00A42CA7" w:rsidRDefault="00A42CA7" w:rsidP="00A42CA7">
            <w:pPr>
              <w:spacing w:line="240" w:lineRule="auto"/>
              <w:jc w:val="left"/>
              <w:rPr>
                <w:b/>
                <w:bCs/>
                <w:sz w:val="22"/>
                <w:u w:val="single"/>
              </w:rPr>
            </w:pPr>
          </w:p>
          <w:tbl>
            <w:tblPr>
              <w:tblStyle w:val="Grilledutableau"/>
              <w:tblW w:w="0" w:type="auto"/>
              <w:jc w:val="center"/>
              <w:tblLayout w:type="fixed"/>
              <w:tblLook w:val="04A0" w:firstRow="1" w:lastRow="0" w:firstColumn="1" w:lastColumn="0" w:noHBand="0" w:noVBand="1"/>
            </w:tblPr>
            <w:tblGrid>
              <w:gridCol w:w="3291"/>
              <w:gridCol w:w="3402"/>
              <w:gridCol w:w="2238"/>
            </w:tblGrid>
            <w:tr w:rsidR="00A42CA7" w:rsidRPr="00A42CA7" w14:paraId="40090717" w14:textId="77777777" w:rsidTr="00433C96">
              <w:trPr>
                <w:trHeight w:val="307"/>
                <w:jc w:val="center"/>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A66AD09" w14:textId="77777777" w:rsidR="00A42CA7" w:rsidRPr="00A42CA7" w:rsidRDefault="00A42CA7" w:rsidP="00433C96">
                  <w:pPr>
                    <w:jc w:val="center"/>
                    <w:rPr>
                      <w:b/>
                      <w:sz w:val="22"/>
                    </w:rPr>
                  </w:pPr>
                  <w:r w:rsidRPr="00A42CA7">
                    <w:rPr>
                      <w:b/>
                      <w:sz w:val="22"/>
                    </w:rPr>
                    <w:t>Retenue à la source des non-résidents (TS…)</w:t>
                  </w:r>
                </w:p>
              </w:tc>
            </w:tr>
            <w:tr w:rsidR="00886CFE" w:rsidRPr="00A42CA7" w14:paraId="00FE17D7" w14:textId="77777777" w:rsidTr="00886CFE">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1C882" w14:textId="0C43281F" w:rsidR="00886CFE" w:rsidRPr="00A42CA7" w:rsidRDefault="00886CFE" w:rsidP="00886CFE">
                  <w:pPr>
                    <w:jc w:val="center"/>
                    <w:rPr>
                      <w:sz w:val="22"/>
                    </w:rPr>
                  </w:pPr>
                  <w:r w:rsidRPr="00A42CA7">
                    <w:rPr>
                      <w:sz w:val="22"/>
                    </w:rPr>
                    <w:t>Rev. Imposables 2025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60430" w14:textId="0E258E4A" w:rsidR="00886CFE" w:rsidRPr="00A42CA7" w:rsidRDefault="00886CFE" w:rsidP="00886CFE">
                  <w:pPr>
                    <w:jc w:val="center"/>
                    <w:rPr>
                      <w:sz w:val="22"/>
                    </w:rPr>
                  </w:pPr>
                  <w:r w:rsidRPr="00A42CA7">
                    <w:rPr>
                      <w:sz w:val="22"/>
                    </w:rPr>
                    <w:t>Rev. Imposables 202</w:t>
                  </w:r>
                  <w:r>
                    <w:rPr>
                      <w:sz w:val="22"/>
                    </w:rPr>
                    <w:t>6</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EB5A91" w14:textId="77777777" w:rsidR="00886CFE" w:rsidRPr="00A42CA7" w:rsidRDefault="00886CFE" w:rsidP="00886CFE">
                  <w:pPr>
                    <w:jc w:val="center"/>
                    <w:rPr>
                      <w:sz w:val="22"/>
                    </w:rPr>
                  </w:pPr>
                  <w:r w:rsidRPr="00A42CA7">
                    <w:rPr>
                      <w:sz w:val="22"/>
                    </w:rPr>
                    <w:t>Taux</w:t>
                  </w:r>
                </w:p>
              </w:tc>
            </w:tr>
            <w:tr w:rsidR="00886CFE" w:rsidRPr="00A42CA7" w14:paraId="111819BB" w14:textId="77777777" w:rsidTr="00886CFE">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53832" w14:textId="0766D32E" w:rsidR="00886CFE" w:rsidRPr="00A42CA7" w:rsidRDefault="00886CFE" w:rsidP="00886CFE">
                  <w:pPr>
                    <w:jc w:val="center"/>
                    <w:rPr>
                      <w:iCs/>
                      <w:sz w:val="22"/>
                    </w:rPr>
                  </w:pPr>
                  <w:r w:rsidRPr="00A42CA7">
                    <w:rPr>
                      <w:sz w:val="22"/>
                    </w:rPr>
                    <w:t>Inférieur à 17 122 €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A9ACA2" w14:textId="3504F140" w:rsidR="00886CFE" w:rsidRPr="00A42CA7" w:rsidRDefault="00886CFE" w:rsidP="00886CFE">
                  <w:pPr>
                    <w:jc w:val="center"/>
                    <w:rPr>
                      <w:sz w:val="22"/>
                    </w:rPr>
                  </w:pPr>
                  <w:r w:rsidRPr="00A42CA7">
                    <w:rPr>
                      <w:sz w:val="22"/>
                    </w:rPr>
                    <w:t>Inférieur à 17 </w:t>
                  </w:r>
                  <w:r>
                    <w:rPr>
                      <w:sz w:val="22"/>
                    </w:rPr>
                    <w:t>275</w:t>
                  </w:r>
                  <w:r w:rsidRPr="00A42CA7">
                    <w:rPr>
                      <w:sz w:val="22"/>
                    </w:rPr>
                    <w:t xml:space="preserve">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995B" w14:textId="77777777" w:rsidR="00886CFE" w:rsidRPr="00A42CA7" w:rsidRDefault="00886CFE" w:rsidP="00886CFE">
                  <w:pPr>
                    <w:jc w:val="center"/>
                    <w:rPr>
                      <w:sz w:val="22"/>
                    </w:rPr>
                  </w:pPr>
                  <w:r w:rsidRPr="00A42CA7">
                    <w:rPr>
                      <w:sz w:val="22"/>
                    </w:rPr>
                    <w:t>0%</w:t>
                  </w:r>
                </w:p>
              </w:tc>
            </w:tr>
            <w:tr w:rsidR="00886CFE" w:rsidRPr="00A42CA7" w14:paraId="76F0376D" w14:textId="77777777" w:rsidTr="00886CFE">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FD8AC" w14:textId="0EC03BBE" w:rsidR="00886CFE" w:rsidRPr="00A42CA7" w:rsidRDefault="00886CFE" w:rsidP="00886CFE">
                  <w:pPr>
                    <w:jc w:val="center"/>
                    <w:rPr>
                      <w:iCs/>
                      <w:sz w:val="22"/>
                    </w:rPr>
                  </w:pPr>
                  <w:r w:rsidRPr="00A42CA7">
                    <w:rPr>
                      <w:sz w:val="22"/>
                    </w:rPr>
                    <w:t>De 17 122 € à 49 767 €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83219" w14:textId="68084613" w:rsidR="00886CFE" w:rsidRPr="00A42CA7" w:rsidRDefault="00886CFE" w:rsidP="00886CFE">
                  <w:pPr>
                    <w:jc w:val="center"/>
                    <w:rPr>
                      <w:sz w:val="22"/>
                    </w:rPr>
                  </w:pPr>
                  <w:r w:rsidRPr="00A42CA7">
                    <w:rPr>
                      <w:sz w:val="22"/>
                    </w:rPr>
                    <w:t>De 17 </w:t>
                  </w:r>
                  <w:r>
                    <w:rPr>
                      <w:sz w:val="22"/>
                    </w:rPr>
                    <w:t>275</w:t>
                  </w:r>
                  <w:r w:rsidRPr="00A42CA7">
                    <w:rPr>
                      <w:sz w:val="22"/>
                    </w:rPr>
                    <w:t xml:space="preserve"> € à </w:t>
                  </w:r>
                  <w:r>
                    <w:rPr>
                      <w:sz w:val="22"/>
                    </w:rPr>
                    <w:t>50 112</w:t>
                  </w:r>
                  <w:r w:rsidRPr="00A42CA7">
                    <w:rPr>
                      <w:sz w:val="22"/>
                    </w:rPr>
                    <w:t xml:space="preserve">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6CD56" w14:textId="77777777" w:rsidR="00886CFE" w:rsidRPr="00A42CA7" w:rsidRDefault="00886CFE" w:rsidP="00886CFE">
                  <w:pPr>
                    <w:jc w:val="center"/>
                    <w:rPr>
                      <w:sz w:val="22"/>
                    </w:rPr>
                  </w:pPr>
                  <w:r w:rsidRPr="00A42CA7">
                    <w:rPr>
                      <w:sz w:val="22"/>
                    </w:rPr>
                    <w:t>12%</w:t>
                  </w:r>
                </w:p>
              </w:tc>
            </w:tr>
            <w:tr w:rsidR="00886CFE" w:rsidRPr="00A42CA7" w14:paraId="1CA4ED5C" w14:textId="77777777" w:rsidTr="00886CFE">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B52F8" w14:textId="7FC0AC0E" w:rsidR="00886CFE" w:rsidRPr="00A42CA7" w:rsidRDefault="00886CFE" w:rsidP="00886CFE">
                  <w:pPr>
                    <w:jc w:val="center"/>
                    <w:rPr>
                      <w:iCs/>
                      <w:sz w:val="22"/>
                    </w:rPr>
                  </w:pPr>
                  <w:r w:rsidRPr="00A42CA7">
                    <w:rPr>
                      <w:sz w:val="22"/>
                    </w:rPr>
                    <w:t>Supérieur à 49 767 €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AF666" w14:textId="36936097" w:rsidR="00886CFE" w:rsidRPr="00A42CA7" w:rsidRDefault="00886CFE" w:rsidP="00886CFE">
                  <w:pPr>
                    <w:jc w:val="center"/>
                    <w:rPr>
                      <w:sz w:val="22"/>
                    </w:rPr>
                  </w:pPr>
                  <w:r w:rsidRPr="00A42CA7">
                    <w:rPr>
                      <w:sz w:val="22"/>
                    </w:rPr>
                    <w:t xml:space="preserve">Supérieur à </w:t>
                  </w:r>
                  <w:r>
                    <w:rPr>
                      <w:sz w:val="22"/>
                    </w:rPr>
                    <w:t>50 112</w:t>
                  </w:r>
                  <w:r w:rsidRPr="00A42CA7">
                    <w:rPr>
                      <w:sz w:val="22"/>
                    </w:rPr>
                    <w:t xml:space="preserve">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B55BD" w14:textId="77777777" w:rsidR="00886CFE" w:rsidRPr="00A42CA7" w:rsidRDefault="00886CFE" w:rsidP="00886CFE">
                  <w:pPr>
                    <w:jc w:val="center"/>
                    <w:rPr>
                      <w:sz w:val="22"/>
                    </w:rPr>
                  </w:pPr>
                  <w:r w:rsidRPr="00A42CA7">
                    <w:rPr>
                      <w:sz w:val="22"/>
                    </w:rPr>
                    <w:t>20%</w:t>
                  </w:r>
                </w:p>
              </w:tc>
            </w:tr>
          </w:tbl>
          <w:p w14:paraId="7E3290A6" w14:textId="77777777" w:rsidR="00A42CA7" w:rsidRPr="00A42CA7" w:rsidRDefault="00A42CA7" w:rsidP="00433C96">
            <w:pPr>
              <w:spacing w:line="240" w:lineRule="auto"/>
              <w:jc w:val="center"/>
              <w:rPr>
                <w:b/>
                <w:bCs/>
                <w:sz w:val="22"/>
                <w:u w:val="single"/>
              </w:rPr>
            </w:pPr>
          </w:p>
          <w:tbl>
            <w:tblPr>
              <w:tblStyle w:val="Grilledutableau"/>
              <w:tblW w:w="9453" w:type="dxa"/>
              <w:jc w:val="center"/>
              <w:tblLayout w:type="fixed"/>
              <w:tblLook w:val="04A0" w:firstRow="1" w:lastRow="0" w:firstColumn="1" w:lastColumn="0" w:noHBand="0" w:noVBand="1"/>
            </w:tblPr>
            <w:tblGrid>
              <w:gridCol w:w="3137"/>
              <w:gridCol w:w="3158"/>
              <w:gridCol w:w="3158"/>
            </w:tblGrid>
            <w:tr w:rsidR="00886CFE" w:rsidRPr="00A42CA7" w14:paraId="42ECA13F" w14:textId="77777777" w:rsidTr="00DE603E">
              <w:trPr>
                <w:trHeight w:val="283"/>
                <w:jc w:val="center"/>
              </w:trPr>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0181C" w14:textId="6E11836D" w:rsidR="00886CFE" w:rsidRPr="00A42CA7" w:rsidRDefault="00886CFE" w:rsidP="00886CFE">
                  <w:pPr>
                    <w:jc w:val="center"/>
                    <w:rPr>
                      <w:b/>
                      <w:sz w:val="22"/>
                    </w:rPr>
                  </w:pPr>
                  <w:r w:rsidRPr="00433C96">
                    <w:rPr>
                      <w:noProof/>
                      <w:sz w:val="22"/>
                    </w:rPr>
                    <mc:AlternateContent>
                      <mc:Choice Requires="wps">
                        <w:drawing>
                          <wp:anchor distT="0" distB="0" distL="114300" distR="114300" simplePos="0" relativeHeight="251673600" behindDoc="0" locked="0" layoutInCell="1" allowOverlap="1" wp14:anchorId="7F229E8D" wp14:editId="3E7FE995">
                            <wp:simplePos x="0" y="0"/>
                            <wp:positionH relativeFrom="column">
                              <wp:posOffset>5254625</wp:posOffset>
                            </wp:positionH>
                            <wp:positionV relativeFrom="paragraph">
                              <wp:posOffset>914400</wp:posOffset>
                            </wp:positionV>
                            <wp:extent cx="619125" cy="373380"/>
                            <wp:effectExtent l="38100" t="38100" r="123825" b="121920"/>
                            <wp:wrapNone/>
                            <wp:docPr id="374289012" name="Ellipse 14">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D4897C" w14:textId="77777777" w:rsidR="00886CFE" w:rsidRDefault="00886CFE" w:rsidP="00886CFE">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29E8D" id="Ellipse 14" o:spid="_x0000_s1027" href="#DEBUT" style="position:absolute;left:0;text-align:left;margin-left:413.75pt;margin-top:1in;width:48.75pt;height:2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BuW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fQNKiJNytT7B8cFi2Og7f8VkKxFsyHB+Zgl0Bt&#10;YT+Ge/iUykC/cWh3Sirjfr6+Qz0YbXihpIGdlFP/Y8OcoER91TD0ABX6g+sPq/6gN/W1gYFIYeNa&#10;Ho9g4ILqj6Uz9TOsyzl6gSemOfiCgILrhevQ7kZYuFzM51ENFpVlYaGXliM48ont+LR7Zs52Mxxg&#10;+O9Mv6/ezHGri5bazDfBlDIO+YG/jmlYcrFNu4WMW/RYjlqH38bsFwAAAP//AwBQSwMEFAAGAAgA&#10;AAAhAPqNszPhAAAACwEAAA8AAABkcnMvZG93bnJldi54bWxMj81OwzAQhO9IvIO1SNyog+lPCHGq&#10;CtQDag/QInF14yWJGq9D7LSBp2c5wW1H82l2Jl+OrhUn7EPjScPtJAGBVHrbUKXhbb++SUGEaMia&#10;1hNq+MIAy+LyIjeZ9Wd6xdMuVoJDKGRGQx1jl0kZyhqdCRPfIbH34XtnIsu+krY3Zw53rVRJMpfO&#10;NMQfatPhY43lcTc4DXO7eVZPNGw+1fH7Zbtq2jv7vtb6+mpcPYCIOMY/GH7rc3UouNPBD2SDaDWk&#10;ajFjlI3plEcxca9mfBw0qESlIItc/t9Q/AAAAP//AwBQSwECLQAUAAYACAAAACEAtoM4kv4AAADh&#10;AQAAEwAAAAAAAAAAAAAAAAAAAAAAW0NvbnRlbnRfVHlwZXNdLnhtbFBLAQItABQABgAIAAAAIQA4&#10;/SH/1gAAAJQBAAALAAAAAAAAAAAAAAAAAC8BAABfcmVscy8ucmVsc1BLAQItABQABgAIAAAAIQA1&#10;YBuW9AIAAH4GAAAOAAAAAAAAAAAAAAAAAC4CAABkcnMvZTJvRG9jLnhtbFBLAQItABQABgAIAAAA&#10;IQD6jbMz4QAAAAsBAAAPAAAAAAAAAAAAAAAAAE4FAABkcnMvZG93bnJldi54bWxQSwUGAAAAAAQA&#10;BADzAAAAXAYAAAAA&#10;" o:button="t" fillcolor="#f2f2f2 [3052]" strokecolor="black [3213]" strokeweight="1pt">
                            <v:fill o:detectmouseclick="t"/>
                            <v:stroke joinstyle="miter"/>
                            <v:shadow on="t" color="black" opacity="26214f" origin="-.5,-.5" offset=".74836mm,.74836mm"/>
                            <v:path arrowok="t"/>
                            <v:textbox inset="0,0,0,0">
                              <w:txbxContent>
                                <w:p w14:paraId="31D4897C" w14:textId="77777777" w:rsidR="00886CFE" w:rsidRDefault="00886CFE" w:rsidP="00886CFE">
                                  <w:pPr>
                                    <w:jc w:val="center"/>
                                    <w:rPr>
                                      <w:color w:val="000000" w:themeColor="text1"/>
                                      <w:sz w:val="16"/>
                                      <w:szCs w:val="16"/>
                                    </w:rPr>
                                  </w:pPr>
                                  <w:r>
                                    <w:rPr>
                                      <w:color w:val="000000" w:themeColor="text1"/>
                                      <w:sz w:val="16"/>
                                      <w:szCs w:val="16"/>
                                    </w:rPr>
                                    <w:t>Retour sommaire</w:t>
                                  </w:r>
                                </w:p>
                              </w:txbxContent>
                            </v:textbox>
                          </v:oval>
                        </w:pict>
                      </mc:Fallback>
                    </mc:AlternateConten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040B3" w14:textId="7DABD3B9" w:rsidR="00886CFE" w:rsidRPr="00A42CA7" w:rsidRDefault="00886CFE" w:rsidP="00886CFE">
                  <w:pPr>
                    <w:jc w:val="center"/>
                    <w:rPr>
                      <w:bCs/>
                      <w:sz w:val="22"/>
                    </w:rPr>
                  </w:pPr>
                  <w:r w:rsidRPr="00A42CA7">
                    <w:rPr>
                      <w:bCs/>
                      <w:sz w:val="22"/>
                    </w:rPr>
                    <w:t>au 01/01/2025</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9EAF9" w14:textId="10953497" w:rsidR="00886CFE" w:rsidRPr="00A42CA7" w:rsidRDefault="00886CFE" w:rsidP="00886CFE">
                  <w:pPr>
                    <w:jc w:val="center"/>
                    <w:rPr>
                      <w:bCs/>
                      <w:sz w:val="22"/>
                    </w:rPr>
                  </w:pPr>
                  <w:r w:rsidRPr="00A42CA7">
                    <w:rPr>
                      <w:bCs/>
                      <w:sz w:val="22"/>
                    </w:rPr>
                    <w:t>au 01/01/202</w:t>
                  </w:r>
                  <w:r>
                    <w:rPr>
                      <w:bCs/>
                      <w:sz w:val="22"/>
                    </w:rPr>
                    <w:t>6</w:t>
                  </w:r>
                </w:p>
              </w:tc>
            </w:tr>
            <w:tr w:rsidR="00886CFE" w:rsidRPr="00A42CA7" w14:paraId="2997DD8F" w14:textId="77777777" w:rsidTr="00DE603E">
              <w:trPr>
                <w:trHeight w:val="611"/>
                <w:jc w:val="center"/>
              </w:trPr>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2BB24" w14:textId="77777777" w:rsidR="00886CFE" w:rsidRPr="00A42CA7" w:rsidRDefault="00886CFE" w:rsidP="00886CFE">
                  <w:pPr>
                    <w:jc w:val="center"/>
                    <w:rPr>
                      <w:b/>
                      <w:sz w:val="22"/>
                    </w:rPr>
                  </w:pPr>
                  <w:r w:rsidRPr="00A42CA7">
                    <w:rPr>
                      <w:b/>
                      <w:sz w:val="22"/>
                    </w:rPr>
                    <w:t xml:space="preserve">SMIC Brut </w:t>
                  </w:r>
                  <w:r w:rsidRPr="00A42CA7">
                    <w:rPr>
                      <w:sz w:val="22"/>
                    </w:rPr>
                    <w:t>(H / mensuel / annuel)</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79C77" w14:textId="43E66488" w:rsidR="00886CFE" w:rsidRPr="00A42CA7" w:rsidRDefault="00886CFE" w:rsidP="00886CFE">
                  <w:pPr>
                    <w:jc w:val="center"/>
                    <w:rPr>
                      <w:bCs/>
                      <w:sz w:val="22"/>
                    </w:rPr>
                  </w:pPr>
                  <w:r w:rsidRPr="00A42CA7">
                    <w:rPr>
                      <w:bCs/>
                      <w:iCs/>
                      <w:sz w:val="22"/>
                    </w:rPr>
                    <w:t>11,88 / 1 801,80 / 21 622 €</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83247" w14:textId="79AE7905" w:rsidR="00886CFE" w:rsidRPr="00A42CA7" w:rsidRDefault="00886CFE" w:rsidP="00886CFE">
                  <w:pPr>
                    <w:jc w:val="center"/>
                    <w:rPr>
                      <w:bCs/>
                      <w:sz w:val="22"/>
                    </w:rPr>
                  </w:pPr>
                  <w:r>
                    <w:rPr>
                      <w:bCs/>
                      <w:sz w:val="22"/>
                    </w:rPr>
                    <w:t>12,02 / 1 823,03 / 21 876 €</w:t>
                  </w:r>
                </w:p>
              </w:tc>
            </w:tr>
            <w:tr w:rsidR="00886CFE" w:rsidRPr="00A42CA7" w14:paraId="21F2825E" w14:textId="77777777" w:rsidTr="00DE603E">
              <w:trPr>
                <w:trHeight w:val="472"/>
                <w:jc w:val="center"/>
              </w:trPr>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B8BEB" w14:textId="77777777" w:rsidR="00886CFE" w:rsidRPr="00A42CA7" w:rsidRDefault="00886CFE" w:rsidP="00886CFE">
                  <w:pPr>
                    <w:jc w:val="center"/>
                    <w:rPr>
                      <w:b/>
                      <w:sz w:val="22"/>
                    </w:rPr>
                  </w:pPr>
                  <w:r w:rsidRPr="00A42CA7">
                    <w:rPr>
                      <w:b/>
                      <w:sz w:val="22"/>
                    </w:rPr>
                    <w:t>PASS (mensuel / annuel)</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31E13" w14:textId="78AB86DA" w:rsidR="00886CFE" w:rsidRPr="00A42CA7" w:rsidRDefault="00886CFE" w:rsidP="00886CFE">
                  <w:pPr>
                    <w:jc w:val="center"/>
                    <w:rPr>
                      <w:bCs/>
                      <w:sz w:val="22"/>
                    </w:rPr>
                  </w:pPr>
                  <w:r w:rsidRPr="00A42CA7">
                    <w:rPr>
                      <w:bCs/>
                      <w:sz w:val="22"/>
                    </w:rPr>
                    <w:t>3 925 € / 47 100 €</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38F76" w14:textId="23C3AD48" w:rsidR="00886CFE" w:rsidRPr="00A42CA7" w:rsidRDefault="00886CFE" w:rsidP="00886CFE">
                  <w:pPr>
                    <w:jc w:val="center"/>
                    <w:rPr>
                      <w:bCs/>
                      <w:sz w:val="22"/>
                    </w:rPr>
                  </w:pPr>
                  <w:r>
                    <w:rPr>
                      <w:bCs/>
                      <w:sz w:val="22"/>
                    </w:rPr>
                    <w:t>4 005 € / 48 060 €</w:t>
                  </w:r>
                </w:p>
              </w:tc>
            </w:tr>
          </w:tbl>
          <w:p w14:paraId="6F801AA0" w14:textId="77777777" w:rsidR="00A42CA7" w:rsidRPr="00A42CA7" w:rsidRDefault="00A42CA7" w:rsidP="00A42CA7">
            <w:pPr>
              <w:spacing w:line="240" w:lineRule="auto"/>
              <w:jc w:val="left"/>
              <w:rPr>
                <w:b/>
                <w:bCs/>
                <w:sz w:val="10"/>
                <w:szCs w:val="10"/>
                <w:u w:val="single"/>
              </w:rPr>
            </w:pPr>
          </w:p>
          <w:p w14:paraId="208A5B19" w14:textId="77777777" w:rsidR="00A42CA7" w:rsidRPr="00A42CA7" w:rsidRDefault="00A42CA7" w:rsidP="00A42CA7">
            <w:pPr>
              <w:spacing w:line="240" w:lineRule="auto"/>
              <w:jc w:val="left"/>
              <w:rPr>
                <w:b/>
                <w:bCs/>
                <w:sz w:val="10"/>
                <w:szCs w:val="10"/>
                <w:u w:val="single"/>
              </w:rPr>
            </w:pPr>
          </w:p>
        </w:tc>
      </w:tr>
    </w:tbl>
    <w:p w14:paraId="77E95BD8" w14:textId="77777777" w:rsidR="00A42CA7" w:rsidRPr="00A42CA7" w:rsidRDefault="00A42CA7" w:rsidP="00A42CA7">
      <w:pPr>
        <w:spacing w:line="240" w:lineRule="auto"/>
        <w:jc w:val="left"/>
        <w:rPr>
          <w:sz w:val="2"/>
          <w:szCs w:val="2"/>
        </w:rPr>
      </w:pPr>
      <w:r w:rsidRPr="00A42CA7">
        <w:rPr>
          <w:sz w:val="2"/>
          <w:szCs w:val="2"/>
        </w:rPr>
        <w:br w:type="page"/>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9319"/>
      </w:tblGrid>
      <w:tr w:rsidR="000022CF" w:rsidRPr="00A42CA7" w14:paraId="6EDD670D" w14:textId="77777777" w:rsidTr="009303C2">
        <w:trPr>
          <w:trHeight w:val="70"/>
        </w:trPr>
        <w:tc>
          <w:tcPr>
            <w:tcW w:w="1171" w:type="dxa"/>
            <w:tcBorders>
              <w:top w:val="single" w:sz="4" w:space="0" w:color="auto"/>
              <w:left w:val="single" w:sz="4" w:space="0" w:color="auto"/>
              <w:bottom w:val="single" w:sz="4" w:space="0" w:color="auto"/>
              <w:right w:val="single" w:sz="4" w:space="0" w:color="auto"/>
            </w:tcBorders>
            <w:shd w:val="clear" w:color="auto" w:fill="D9D9D9"/>
            <w:vAlign w:val="center"/>
          </w:tcPr>
          <w:p w14:paraId="1F530F43" w14:textId="560C06A1" w:rsidR="000022CF" w:rsidRPr="00505F6A" w:rsidRDefault="000022CF" w:rsidP="00B20C99">
            <w:pPr>
              <w:spacing w:line="240" w:lineRule="auto"/>
              <w:jc w:val="center"/>
              <w:rPr>
                <w:b/>
                <w:i/>
                <w:iCs/>
              </w:rPr>
            </w:pPr>
            <w:bookmarkStart w:id="2" w:name="bailleur"/>
            <w:r w:rsidRPr="00505F6A">
              <w:rPr>
                <w:b/>
                <w:i/>
                <w:iCs/>
              </w:rPr>
              <w:lastRenderedPageBreak/>
              <w:t>Statut du bailleur privé</w:t>
            </w:r>
            <w:bookmarkEnd w:id="2"/>
          </w:p>
        </w:tc>
        <w:tc>
          <w:tcPr>
            <w:tcW w:w="9319" w:type="dxa"/>
            <w:tcBorders>
              <w:top w:val="single" w:sz="4" w:space="0" w:color="auto"/>
              <w:left w:val="single" w:sz="4" w:space="0" w:color="auto"/>
              <w:bottom w:val="single" w:sz="4" w:space="0" w:color="auto"/>
              <w:right w:val="single" w:sz="4" w:space="0" w:color="auto"/>
            </w:tcBorders>
          </w:tcPr>
          <w:p w14:paraId="2DB38883" w14:textId="77777777" w:rsidR="000022CF" w:rsidRPr="002B528E" w:rsidRDefault="000022CF" w:rsidP="00B20C99">
            <w:pPr>
              <w:spacing w:line="240" w:lineRule="auto"/>
              <w:rPr>
                <w:bCs/>
                <w:sz w:val="10"/>
                <w:szCs w:val="10"/>
              </w:rPr>
            </w:pPr>
          </w:p>
          <w:p w14:paraId="2E41BC5B" w14:textId="45BF3EBB" w:rsidR="00FF3916" w:rsidRPr="00505F6A" w:rsidRDefault="00FF3916" w:rsidP="00B20C99">
            <w:pPr>
              <w:spacing w:line="240" w:lineRule="auto"/>
              <w:rPr>
                <w:b/>
                <w:u w:val="single"/>
              </w:rPr>
            </w:pPr>
            <w:r w:rsidRPr="00505F6A">
              <w:rPr>
                <w:b/>
                <w:u w:val="single"/>
              </w:rPr>
              <w:t>Nouveau statut du bailleur privé</w:t>
            </w:r>
          </w:p>
          <w:p w14:paraId="3F506279" w14:textId="77777777" w:rsidR="00FF3916" w:rsidRPr="00505F6A" w:rsidRDefault="00FF3916" w:rsidP="00B20C99">
            <w:pPr>
              <w:spacing w:line="240" w:lineRule="auto"/>
              <w:rPr>
                <w:bCs/>
              </w:rPr>
            </w:pPr>
          </w:p>
          <w:p w14:paraId="2E91FE33" w14:textId="699D4699" w:rsidR="008B4E4E" w:rsidRPr="00505F6A" w:rsidRDefault="008B4E4E" w:rsidP="00B20C99">
            <w:pPr>
              <w:spacing w:line="240" w:lineRule="auto"/>
              <w:rPr>
                <w:bCs/>
              </w:rPr>
            </w:pPr>
            <w:r w:rsidRPr="00505F6A">
              <w:rPr>
                <w:bCs/>
              </w:rPr>
              <w:t>Il s’agit d’un régime optionnel prévu pour relancer le logement locatif en permettant au bailleur privé la déduction d’amortissements de l’immeuble acquis.</w:t>
            </w:r>
          </w:p>
          <w:p w14:paraId="0CE6BE58" w14:textId="77777777" w:rsidR="008B4E4E" w:rsidRPr="00505F6A" w:rsidRDefault="008B4E4E" w:rsidP="00B20C99">
            <w:pPr>
              <w:spacing w:line="240" w:lineRule="auto"/>
              <w:rPr>
                <w:bCs/>
              </w:rPr>
            </w:pPr>
          </w:p>
          <w:p w14:paraId="0B3ACE79" w14:textId="4BB5ECBB" w:rsidR="008B4E4E" w:rsidRPr="00505F6A" w:rsidRDefault="008B4E4E" w:rsidP="00B20C99">
            <w:pPr>
              <w:spacing w:line="240" w:lineRule="auto"/>
              <w:rPr>
                <w:bCs/>
              </w:rPr>
            </w:pPr>
            <w:r w:rsidRPr="00505F6A">
              <w:rPr>
                <w:bCs/>
              </w:rPr>
              <w:t>L’option est irrévocable</w:t>
            </w:r>
            <w:r w:rsidR="00CE78D7" w:rsidRPr="00505F6A">
              <w:rPr>
                <w:bCs/>
              </w:rPr>
              <w:t xml:space="preserve">, </w:t>
            </w:r>
            <w:r w:rsidRPr="00505F6A">
              <w:rPr>
                <w:bCs/>
              </w:rPr>
              <w:t>doit être formulée lors de la première déclaration des revenus correspondants</w:t>
            </w:r>
            <w:r w:rsidR="00CE78D7" w:rsidRPr="00505F6A">
              <w:rPr>
                <w:bCs/>
              </w:rPr>
              <w:t xml:space="preserve"> et s’applique dans le cadre du régime réel normal d’imposition des revenus fonciers.</w:t>
            </w:r>
          </w:p>
          <w:p w14:paraId="52D81053" w14:textId="77777777" w:rsidR="008B4E4E" w:rsidRPr="00505F6A" w:rsidRDefault="008B4E4E" w:rsidP="00B20C99">
            <w:pPr>
              <w:spacing w:line="240" w:lineRule="auto"/>
              <w:rPr>
                <w:bCs/>
              </w:rPr>
            </w:pPr>
          </w:p>
          <w:p w14:paraId="39C6D48F" w14:textId="70DE9CC6" w:rsidR="00FF3916" w:rsidRPr="00505F6A" w:rsidRDefault="00FF3916" w:rsidP="00B20C99">
            <w:pPr>
              <w:spacing w:line="240" w:lineRule="auto"/>
              <w:rPr>
                <w:bCs/>
              </w:rPr>
            </w:pPr>
            <w:r w:rsidRPr="00505F6A">
              <w:rPr>
                <w:bCs/>
              </w:rPr>
              <w:t>Conditions d’application</w:t>
            </w:r>
            <w:r w:rsidR="001F0004" w:rsidRPr="00505F6A">
              <w:rPr>
                <w:bCs/>
              </w:rPr>
              <w:t xml:space="preserve"> et conséquences du statut :</w:t>
            </w:r>
          </w:p>
          <w:p w14:paraId="2F26C6DB" w14:textId="77777777" w:rsidR="00FF3916" w:rsidRPr="002B528E" w:rsidRDefault="00FF3916" w:rsidP="00B20C99">
            <w:pPr>
              <w:spacing w:line="240" w:lineRule="auto"/>
              <w:rPr>
                <w:bCs/>
                <w:sz w:val="10"/>
                <w:szCs w:val="10"/>
              </w:rPr>
            </w:pPr>
          </w:p>
          <w:p w14:paraId="50A302C8" w14:textId="77777777" w:rsidR="00505F6A" w:rsidRDefault="00FF3916" w:rsidP="00505F6A">
            <w:pPr>
              <w:pStyle w:val="Paragraphedeliste"/>
              <w:numPr>
                <w:ilvl w:val="0"/>
                <w:numId w:val="27"/>
              </w:numPr>
              <w:spacing w:line="240" w:lineRule="auto"/>
              <w:rPr>
                <w:b/>
              </w:rPr>
            </w:pPr>
            <w:r w:rsidRPr="00BD23C0">
              <w:rPr>
                <w:b/>
              </w:rPr>
              <w:t>Logement</w:t>
            </w:r>
          </w:p>
          <w:p w14:paraId="5FCBA3C2" w14:textId="77777777" w:rsidR="00A06A73" w:rsidRPr="00A06A73" w:rsidRDefault="00A06A73" w:rsidP="00A06A73">
            <w:pPr>
              <w:pStyle w:val="Paragraphedeliste"/>
              <w:spacing w:line="240" w:lineRule="auto"/>
              <w:rPr>
                <w:b/>
                <w:sz w:val="10"/>
                <w:szCs w:val="10"/>
              </w:rPr>
            </w:pPr>
          </w:p>
          <w:p w14:paraId="7B5F0254" w14:textId="359C84E5" w:rsidR="00FF3916" w:rsidRDefault="00FF3916" w:rsidP="00505F6A">
            <w:pPr>
              <w:pStyle w:val="Paragraphedeliste"/>
              <w:spacing w:line="240" w:lineRule="auto"/>
              <w:rPr>
                <w:bCs/>
              </w:rPr>
            </w:pPr>
            <w:r w:rsidRPr="00505F6A">
              <w:rPr>
                <w:bCs/>
              </w:rPr>
              <w:t>Le statut est ouvert aux investissements dans des logements</w:t>
            </w:r>
            <w:r w:rsidR="00791A0A" w:rsidRPr="00505F6A">
              <w:rPr>
                <w:bCs/>
              </w:rPr>
              <w:t> :</w:t>
            </w:r>
          </w:p>
          <w:p w14:paraId="621EF7D9" w14:textId="77777777" w:rsidR="00A06A73" w:rsidRPr="00A06A73" w:rsidRDefault="00A06A73" w:rsidP="00505F6A">
            <w:pPr>
              <w:pStyle w:val="Paragraphedeliste"/>
              <w:spacing w:line="240" w:lineRule="auto"/>
              <w:rPr>
                <w:bCs/>
                <w:sz w:val="10"/>
                <w:szCs w:val="10"/>
              </w:rPr>
            </w:pPr>
          </w:p>
          <w:p w14:paraId="3C6D90D9" w14:textId="09E1ADD4" w:rsidR="00791A0A" w:rsidRPr="00505F6A" w:rsidRDefault="00505F6A" w:rsidP="001F0004">
            <w:pPr>
              <w:pStyle w:val="Paragraphedeliste"/>
              <w:numPr>
                <w:ilvl w:val="0"/>
                <w:numId w:val="20"/>
              </w:numPr>
              <w:spacing w:line="240" w:lineRule="auto"/>
              <w:ind w:left="1021" w:hanging="283"/>
              <w:rPr>
                <w:bCs/>
              </w:rPr>
            </w:pPr>
            <w:r>
              <w:rPr>
                <w:bCs/>
              </w:rPr>
              <w:t>d</w:t>
            </w:r>
            <w:r w:rsidR="00791A0A" w:rsidRPr="00505F6A">
              <w:rPr>
                <w:bCs/>
              </w:rPr>
              <w:t>’habitation collectif acquis neuf ou en l’état futur d’achèvement</w:t>
            </w:r>
            <w:r>
              <w:rPr>
                <w:bCs/>
              </w:rPr>
              <w:t xml:space="preserve"> (EFA)</w:t>
            </w:r>
            <w:r w:rsidR="00791A0A" w:rsidRPr="00505F6A">
              <w:rPr>
                <w:bCs/>
              </w:rPr>
              <w:t>, ou dont les travaux d’amélioration &gt; 30% d’acquisition et qui satisfont aux critères de réhabilitation lourde (sécurité, accessibilité, performances énergétiques…)</w:t>
            </w:r>
            <w:r w:rsidR="00BD23C0">
              <w:rPr>
                <w:bCs/>
              </w:rPr>
              <w:t> ;</w:t>
            </w:r>
          </w:p>
          <w:p w14:paraId="53A41219" w14:textId="092BBBFB" w:rsidR="008846E4" w:rsidRPr="00505F6A" w:rsidRDefault="00BD23C0" w:rsidP="001F0004">
            <w:pPr>
              <w:pStyle w:val="Paragraphedeliste"/>
              <w:numPr>
                <w:ilvl w:val="0"/>
                <w:numId w:val="20"/>
              </w:numPr>
              <w:spacing w:line="240" w:lineRule="auto"/>
              <w:ind w:left="1021" w:hanging="283"/>
              <w:rPr>
                <w:bCs/>
              </w:rPr>
            </w:pPr>
            <w:r>
              <w:rPr>
                <w:bCs/>
              </w:rPr>
              <w:t>acquis entre le</w:t>
            </w:r>
            <w:r w:rsidR="008846E4" w:rsidRPr="00505F6A">
              <w:rPr>
                <w:bCs/>
              </w:rPr>
              <w:t xml:space="preserve"> 21/02/2026 </w:t>
            </w:r>
            <w:r>
              <w:rPr>
                <w:bCs/>
              </w:rPr>
              <w:t>et le</w:t>
            </w:r>
            <w:r w:rsidR="008846E4" w:rsidRPr="00505F6A">
              <w:rPr>
                <w:bCs/>
              </w:rPr>
              <w:t xml:space="preserve"> 31/12/2028</w:t>
            </w:r>
            <w:r>
              <w:rPr>
                <w:bCs/>
              </w:rPr>
              <w:t> ;</w:t>
            </w:r>
          </w:p>
          <w:p w14:paraId="432BA876" w14:textId="1703C6C6" w:rsidR="00791A0A" w:rsidRPr="00505F6A" w:rsidRDefault="00BD23C0" w:rsidP="001F0004">
            <w:pPr>
              <w:pStyle w:val="Paragraphedeliste"/>
              <w:numPr>
                <w:ilvl w:val="0"/>
                <w:numId w:val="20"/>
              </w:numPr>
              <w:spacing w:line="240" w:lineRule="auto"/>
              <w:ind w:left="1021" w:hanging="283"/>
              <w:rPr>
                <w:bCs/>
              </w:rPr>
            </w:pPr>
            <w:r>
              <w:rPr>
                <w:bCs/>
              </w:rPr>
              <w:t>détenus</w:t>
            </w:r>
            <w:r w:rsidR="00791A0A" w:rsidRPr="00505F6A">
              <w:rPr>
                <w:bCs/>
              </w:rPr>
              <w:t xml:space="preserve"> directe</w:t>
            </w:r>
            <w:r>
              <w:rPr>
                <w:bCs/>
              </w:rPr>
              <w:t>ment</w:t>
            </w:r>
            <w:r w:rsidR="00791A0A" w:rsidRPr="00505F6A">
              <w:rPr>
                <w:bCs/>
              </w:rPr>
              <w:t xml:space="preserve"> ou indirecte</w:t>
            </w:r>
            <w:r>
              <w:rPr>
                <w:bCs/>
              </w:rPr>
              <w:t>ment</w:t>
            </w:r>
            <w:r w:rsidR="00791A0A" w:rsidRPr="00505F6A">
              <w:rPr>
                <w:bCs/>
              </w:rPr>
              <w:t xml:space="preserve"> par une société non soumise à l’IS</w:t>
            </w:r>
            <w:r>
              <w:rPr>
                <w:bCs/>
              </w:rPr>
              <w:t> ;</w:t>
            </w:r>
          </w:p>
          <w:p w14:paraId="63BB0E77" w14:textId="22234E32" w:rsidR="00791A0A" w:rsidRPr="00505F6A" w:rsidRDefault="00BD23C0" w:rsidP="001F0004">
            <w:pPr>
              <w:pStyle w:val="Paragraphedeliste"/>
              <w:numPr>
                <w:ilvl w:val="0"/>
                <w:numId w:val="20"/>
              </w:numPr>
              <w:spacing w:line="240" w:lineRule="auto"/>
              <w:ind w:left="1021" w:hanging="283"/>
              <w:rPr>
                <w:bCs/>
              </w:rPr>
            </w:pPr>
            <w:r>
              <w:rPr>
                <w:bCs/>
              </w:rPr>
              <w:t>l</w:t>
            </w:r>
            <w:r w:rsidR="00791A0A" w:rsidRPr="00505F6A">
              <w:rPr>
                <w:bCs/>
              </w:rPr>
              <w:t>oué</w:t>
            </w:r>
            <w:r>
              <w:rPr>
                <w:bCs/>
              </w:rPr>
              <w:t>s</w:t>
            </w:r>
            <w:r w:rsidR="00791A0A" w:rsidRPr="00505F6A">
              <w:rPr>
                <w:bCs/>
              </w:rPr>
              <w:t xml:space="preserve"> nu</w:t>
            </w:r>
            <w:r w:rsidR="00882F6F">
              <w:rPr>
                <w:bCs/>
              </w:rPr>
              <w:t>s</w:t>
            </w:r>
            <w:r w:rsidR="00791A0A" w:rsidRPr="00505F6A">
              <w:rPr>
                <w:bCs/>
              </w:rPr>
              <w:t xml:space="preserve"> à usage d’habitation (habitation principale du locataire)</w:t>
            </w:r>
            <w:r>
              <w:rPr>
                <w:bCs/>
              </w:rPr>
              <w:t>.</w:t>
            </w:r>
          </w:p>
          <w:p w14:paraId="2007AA52" w14:textId="77777777" w:rsidR="008846E4" w:rsidRPr="00505F6A" w:rsidRDefault="008846E4" w:rsidP="008846E4">
            <w:pPr>
              <w:pStyle w:val="Paragraphedeliste"/>
              <w:spacing w:line="240" w:lineRule="auto"/>
              <w:rPr>
                <w:bCs/>
              </w:rPr>
            </w:pPr>
          </w:p>
          <w:p w14:paraId="7301369B" w14:textId="528F47BF" w:rsidR="008846E4" w:rsidRDefault="008846E4" w:rsidP="008846E4">
            <w:pPr>
              <w:pStyle w:val="Paragraphedeliste"/>
              <w:numPr>
                <w:ilvl w:val="0"/>
                <w:numId w:val="27"/>
              </w:numPr>
              <w:spacing w:line="240" w:lineRule="auto"/>
              <w:rPr>
                <w:b/>
              </w:rPr>
            </w:pPr>
            <w:r w:rsidRPr="00BD23C0">
              <w:rPr>
                <w:b/>
              </w:rPr>
              <w:t>Loyers et locataire</w:t>
            </w:r>
          </w:p>
          <w:p w14:paraId="69A4C619" w14:textId="77777777" w:rsidR="00A06A73" w:rsidRPr="00A06A73" w:rsidRDefault="00A06A73" w:rsidP="00A06A73">
            <w:pPr>
              <w:pStyle w:val="Paragraphedeliste"/>
              <w:spacing w:line="240" w:lineRule="auto"/>
              <w:rPr>
                <w:b/>
                <w:sz w:val="10"/>
                <w:szCs w:val="10"/>
              </w:rPr>
            </w:pPr>
          </w:p>
          <w:p w14:paraId="7C0C600B" w14:textId="00B6C7FD" w:rsidR="00BD23C0" w:rsidRDefault="00BD23C0" w:rsidP="00BD23C0">
            <w:pPr>
              <w:pStyle w:val="Paragraphedeliste"/>
              <w:spacing w:line="240" w:lineRule="auto"/>
              <w:rPr>
                <w:bCs/>
              </w:rPr>
            </w:pPr>
            <w:r>
              <w:rPr>
                <w:bCs/>
              </w:rPr>
              <w:t>Le statut est réservé aux locations qui présentent les caractéristiques suivantes :</w:t>
            </w:r>
          </w:p>
          <w:p w14:paraId="3C79B932" w14:textId="77777777" w:rsidR="00A06A73" w:rsidRPr="00A06A73" w:rsidRDefault="00A06A73" w:rsidP="00A06A73">
            <w:pPr>
              <w:spacing w:line="240" w:lineRule="auto"/>
              <w:rPr>
                <w:bCs/>
                <w:sz w:val="10"/>
                <w:szCs w:val="10"/>
              </w:rPr>
            </w:pPr>
          </w:p>
          <w:p w14:paraId="1C0E113C" w14:textId="1803C93F" w:rsidR="00CE78D7" w:rsidRPr="00505F6A" w:rsidRDefault="00BD23C0" w:rsidP="001F0004">
            <w:pPr>
              <w:pStyle w:val="Paragraphedeliste"/>
              <w:numPr>
                <w:ilvl w:val="0"/>
                <w:numId w:val="20"/>
              </w:numPr>
              <w:spacing w:line="240" w:lineRule="auto"/>
              <w:ind w:left="1021" w:hanging="283"/>
              <w:rPr>
                <w:bCs/>
              </w:rPr>
            </w:pPr>
            <w:r>
              <w:rPr>
                <w:bCs/>
              </w:rPr>
              <w:t>d</w:t>
            </w:r>
            <w:r w:rsidR="00CE78D7" w:rsidRPr="00505F6A">
              <w:rPr>
                <w:bCs/>
              </w:rPr>
              <w:t>ébut de la location dans les 12 mois de l’acquisition, l’achèvement ou des travaux de l’immeuble</w:t>
            </w:r>
            <w:r>
              <w:rPr>
                <w:bCs/>
              </w:rPr>
              <w:t> ;</w:t>
            </w:r>
          </w:p>
          <w:p w14:paraId="3E6E87B2" w14:textId="292BB8E8" w:rsidR="008846E4" w:rsidRPr="00505F6A" w:rsidRDefault="00BD23C0" w:rsidP="001F0004">
            <w:pPr>
              <w:pStyle w:val="Paragraphedeliste"/>
              <w:numPr>
                <w:ilvl w:val="0"/>
                <w:numId w:val="20"/>
              </w:numPr>
              <w:spacing w:line="240" w:lineRule="auto"/>
              <w:ind w:left="1021" w:hanging="283"/>
              <w:rPr>
                <w:bCs/>
              </w:rPr>
            </w:pPr>
            <w:r>
              <w:rPr>
                <w:bCs/>
              </w:rPr>
              <w:t>l</w:t>
            </w:r>
            <w:r w:rsidR="00791A0A" w:rsidRPr="00505F6A">
              <w:rPr>
                <w:bCs/>
              </w:rPr>
              <w:t>oyers modérés</w:t>
            </w:r>
            <w:r w:rsidR="008846E4" w:rsidRPr="00505F6A">
              <w:rPr>
                <w:bCs/>
              </w:rPr>
              <w:t xml:space="preserve"> pour des personnes aux ressources limitées à la signature du bail (plafonds différents en fonction du type de location : intermédiaire, sociale ou très sociale)</w:t>
            </w:r>
            <w:r>
              <w:rPr>
                <w:bCs/>
              </w:rPr>
              <w:t> ;</w:t>
            </w:r>
          </w:p>
          <w:p w14:paraId="662E049A" w14:textId="6D3CE91B" w:rsidR="00791A0A" w:rsidRPr="00505F6A" w:rsidRDefault="00BD23C0" w:rsidP="001F0004">
            <w:pPr>
              <w:pStyle w:val="Paragraphedeliste"/>
              <w:numPr>
                <w:ilvl w:val="0"/>
                <w:numId w:val="20"/>
              </w:numPr>
              <w:spacing w:line="240" w:lineRule="auto"/>
              <w:ind w:left="1021" w:hanging="283"/>
              <w:rPr>
                <w:bCs/>
              </w:rPr>
            </w:pPr>
            <w:r>
              <w:rPr>
                <w:bCs/>
              </w:rPr>
              <w:t>e</w:t>
            </w:r>
            <w:r w:rsidR="00791A0A" w:rsidRPr="00505F6A">
              <w:rPr>
                <w:bCs/>
              </w:rPr>
              <w:t xml:space="preserve">ngagement </w:t>
            </w:r>
            <w:r w:rsidR="008846E4" w:rsidRPr="00505F6A">
              <w:rPr>
                <w:bCs/>
              </w:rPr>
              <w:t xml:space="preserve">de location d’au moins </w:t>
            </w:r>
            <w:r w:rsidR="00791A0A" w:rsidRPr="00505F6A">
              <w:rPr>
                <w:bCs/>
              </w:rPr>
              <w:t>9 ans (ou de conservation des titres 9 ans)</w:t>
            </w:r>
            <w:r w:rsidR="008846E4" w:rsidRPr="00505F6A">
              <w:rPr>
                <w:bCs/>
              </w:rPr>
              <w:t xml:space="preserve"> à une personne ne faisant pas partie de sa famille « proche ».</w:t>
            </w:r>
          </w:p>
          <w:p w14:paraId="61534FD8" w14:textId="77777777" w:rsidR="00FF3916" w:rsidRPr="00505F6A" w:rsidRDefault="00FF3916" w:rsidP="00B20C99">
            <w:pPr>
              <w:spacing w:line="240" w:lineRule="auto"/>
              <w:rPr>
                <w:bCs/>
              </w:rPr>
            </w:pPr>
          </w:p>
          <w:p w14:paraId="0045A9BB" w14:textId="4C960C1F" w:rsidR="00FF3916" w:rsidRDefault="00CE78D7" w:rsidP="008846E4">
            <w:pPr>
              <w:pStyle w:val="Paragraphedeliste"/>
              <w:numPr>
                <w:ilvl w:val="0"/>
                <w:numId w:val="27"/>
              </w:numPr>
              <w:spacing w:line="240" w:lineRule="auto"/>
              <w:rPr>
                <w:b/>
              </w:rPr>
            </w:pPr>
            <w:r w:rsidRPr="00BD23C0">
              <w:rPr>
                <w:b/>
              </w:rPr>
              <w:t>Calcul des amortissements</w:t>
            </w:r>
          </w:p>
          <w:p w14:paraId="2A3D14B0" w14:textId="77777777" w:rsidR="00A06A73" w:rsidRPr="00A06A73" w:rsidRDefault="00A06A73" w:rsidP="00A06A73">
            <w:pPr>
              <w:pStyle w:val="Paragraphedeliste"/>
              <w:spacing w:line="240" w:lineRule="auto"/>
              <w:rPr>
                <w:b/>
                <w:sz w:val="10"/>
                <w:szCs w:val="10"/>
              </w:rPr>
            </w:pPr>
          </w:p>
          <w:p w14:paraId="0A68E2A7" w14:textId="5541C32C" w:rsidR="00BD23C0" w:rsidRDefault="00BD23C0" w:rsidP="00BD23C0">
            <w:pPr>
              <w:pStyle w:val="Paragraphedeliste"/>
              <w:spacing w:line="240" w:lineRule="auto"/>
              <w:rPr>
                <w:bCs/>
              </w:rPr>
            </w:pPr>
            <w:r w:rsidRPr="00BD23C0">
              <w:rPr>
                <w:bCs/>
              </w:rPr>
              <w:t>Le calcul des amortissements déductibles s’appuie sur les règles suivantes :</w:t>
            </w:r>
          </w:p>
          <w:p w14:paraId="78B8AB8A" w14:textId="77777777" w:rsidR="00A06A73" w:rsidRPr="00A06A73" w:rsidRDefault="00A06A73" w:rsidP="00A06A73">
            <w:pPr>
              <w:spacing w:line="240" w:lineRule="auto"/>
              <w:rPr>
                <w:bCs/>
                <w:sz w:val="10"/>
                <w:szCs w:val="10"/>
              </w:rPr>
            </w:pPr>
          </w:p>
          <w:p w14:paraId="1F1EC335" w14:textId="75548B1C" w:rsidR="008B4E4E" w:rsidRDefault="00BD23C0" w:rsidP="001F0004">
            <w:pPr>
              <w:pStyle w:val="Paragraphedeliste"/>
              <w:numPr>
                <w:ilvl w:val="0"/>
                <w:numId w:val="20"/>
              </w:numPr>
              <w:spacing w:line="240" w:lineRule="auto"/>
              <w:ind w:left="1021" w:hanging="283"/>
              <w:rPr>
                <w:bCs/>
              </w:rPr>
            </w:pPr>
            <w:r>
              <w:rPr>
                <w:bCs/>
              </w:rPr>
              <w:t>v</w:t>
            </w:r>
            <w:r w:rsidR="00CE78D7" w:rsidRPr="00505F6A">
              <w:rPr>
                <w:bCs/>
              </w:rPr>
              <w:t>aleur du logement : prix d’acquisition du logement net de frais (+ éventuels travaux de réhabilitation), c’est-à-dire hors honoraires de notaire, commissions d’intermédiaires, droits de mutation, TVA…</w:t>
            </w:r>
            <w:r>
              <w:rPr>
                <w:bCs/>
              </w:rPr>
              <w:t> ;</w:t>
            </w:r>
          </w:p>
          <w:p w14:paraId="11DBB014" w14:textId="77777777" w:rsidR="00A06A73" w:rsidRPr="00A06A73" w:rsidRDefault="00A06A73" w:rsidP="00A06A73">
            <w:pPr>
              <w:pStyle w:val="Paragraphedeliste"/>
              <w:spacing w:line="240" w:lineRule="auto"/>
              <w:ind w:left="1021"/>
              <w:rPr>
                <w:bCs/>
                <w:sz w:val="10"/>
                <w:szCs w:val="10"/>
              </w:rPr>
            </w:pPr>
          </w:p>
          <w:p w14:paraId="35FF800E" w14:textId="4ED56F8B" w:rsidR="00CE78D7" w:rsidRDefault="00BD23C0" w:rsidP="001F0004">
            <w:pPr>
              <w:pStyle w:val="Paragraphedeliste"/>
              <w:numPr>
                <w:ilvl w:val="0"/>
                <w:numId w:val="20"/>
              </w:numPr>
              <w:spacing w:line="240" w:lineRule="auto"/>
              <w:ind w:left="1021" w:hanging="283"/>
              <w:rPr>
                <w:bCs/>
              </w:rPr>
            </w:pPr>
            <w:r>
              <w:rPr>
                <w:bCs/>
              </w:rPr>
              <w:t>b</w:t>
            </w:r>
            <w:r w:rsidR="00CE78D7" w:rsidRPr="00505F6A">
              <w:rPr>
                <w:bCs/>
              </w:rPr>
              <w:t xml:space="preserve">ase amortissable : exclusion de la valeur du foncier fixé forfaitairement à 20% de la valeur du logement. </w:t>
            </w:r>
            <w:r>
              <w:rPr>
                <w:bCs/>
              </w:rPr>
              <w:t>La b</w:t>
            </w:r>
            <w:r w:rsidR="00CE78D7" w:rsidRPr="00505F6A">
              <w:rPr>
                <w:bCs/>
              </w:rPr>
              <w:t xml:space="preserve">ase amortissable </w:t>
            </w:r>
            <w:r>
              <w:rPr>
                <w:bCs/>
              </w:rPr>
              <w:t xml:space="preserve">correspond à </w:t>
            </w:r>
            <w:r w:rsidR="00CE78D7" w:rsidRPr="00505F6A">
              <w:rPr>
                <w:bCs/>
              </w:rPr>
              <w:t>80% valeur du logement</w:t>
            </w:r>
            <w:r>
              <w:rPr>
                <w:bCs/>
              </w:rPr>
              <w:t> ;</w:t>
            </w:r>
          </w:p>
          <w:p w14:paraId="4954949A" w14:textId="77777777" w:rsidR="00A06A73" w:rsidRPr="00A06A73" w:rsidRDefault="00A06A73" w:rsidP="00A06A73">
            <w:pPr>
              <w:spacing w:line="240" w:lineRule="auto"/>
              <w:rPr>
                <w:bCs/>
                <w:sz w:val="10"/>
                <w:szCs w:val="10"/>
              </w:rPr>
            </w:pPr>
          </w:p>
          <w:p w14:paraId="62FF5348" w14:textId="03C30829" w:rsidR="00CE78D7" w:rsidRDefault="00BD23C0" w:rsidP="001F0004">
            <w:pPr>
              <w:pStyle w:val="Paragraphedeliste"/>
              <w:numPr>
                <w:ilvl w:val="0"/>
                <w:numId w:val="20"/>
              </w:numPr>
              <w:spacing w:line="240" w:lineRule="auto"/>
              <w:ind w:left="1021" w:hanging="283"/>
              <w:rPr>
                <w:bCs/>
              </w:rPr>
            </w:pPr>
            <w:r>
              <w:rPr>
                <w:bCs/>
              </w:rPr>
              <w:t>t</w:t>
            </w:r>
            <w:r w:rsidR="00CE78D7" w:rsidRPr="00505F6A">
              <w:rPr>
                <w:bCs/>
              </w:rPr>
              <w:t>aux d’amortissements :</w:t>
            </w:r>
            <w:r>
              <w:rPr>
                <w:bCs/>
              </w:rPr>
              <w:t xml:space="preserve"> ils dépendent du type d’acquisition et de location</w:t>
            </w:r>
          </w:p>
          <w:p w14:paraId="07EBFD27" w14:textId="54313300" w:rsidR="00A06A73" w:rsidRPr="00A06A73" w:rsidRDefault="00A06A73" w:rsidP="00A06A73">
            <w:pPr>
              <w:spacing w:line="240" w:lineRule="auto"/>
              <w:rPr>
                <w:bCs/>
                <w:sz w:val="10"/>
                <w:szCs w:val="10"/>
              </w:rPr>
            </w:pPr>
          </w:p>
          <w:tbl>
            <w:tblPr>
              <w:tblStyle w:val="Grilledutableau"/>
              <w:tblW w:w="0" w:type="auto"/>
              <w:jc w:val="center"/>
              <w:tblCellMar>
                <w:top w:w="113" w:type="dxa"/>
                <w:bottom w:w="113" w:type="dxa"/>
              </w:tblCellMar>
              <w:tblLook w:val="04A0" w:firstRow="1" w:lastRow="0" w:firstColumn="1" w:lastColumn="0" w:noHBand="0" w:noVBand="1"/>
            </w:tblPr>
            <w:tblGrid>
              <w:gridCol w:w="2681"/>
              <w:gridCol w:w="1834"/>
              <w:gridCol w:w="1727"/>
              <w:gridCol w:w="1727"/>
            </w:tblGrid>
            <w:tr w:rsidR="00505F6A" w:rsidRPr="00505F6A" w14:paraId="44AB4FB3" w14:textId="77777777" w:rsidTr="00505F6A">
              <w:trPr>
                <w:jc w:val="center"/>
              </w:trPr>
              <w:tc>
                <w:tcPr>
                  <w:tcW w:w="2681" w:type="dxa"/>
                  <w:vMerge w:val="restart"/>
                  <w:vAlign w:val="center"/>
                </w:tcPr>
                <w:p w14:paraId="3507C227" w14:textId="5C48111A" w:rsidR="00505F6A" w:rsidRPr="00505F6A" w:rsidRDefault="00505F6A" w:rsidP="00505F6A">
                  <w:pPr>
                    <w:pStyle w:val="Paragraphedeliste"/>
                    <w:ind w:left="0"/>
                    <w:jc w:val="center"/>
                    <w:rPr>
                      <w:bCs/>
                    </w:rPr>
                  </w:pPr>
                  <w:r>
                    <w:rPr>
                      <w:bCs/>
                    </w:rPr>
                    <w:t>Taux d’amortissements</w:t>
                  </w:r>
                </w:p>
              </w:tc>
              <w:tc>
                <w:tcPr>
                  <w:tcW w:w="5288" w:type="dxa"/>
                  <w:gridSpan w:val="3"/>
                  <w:vAlign w:val="center"/>
                </w:tcPr>
                <w:p w14:paraId="6E43546E" w14:textId="03CCD0B3" w:rsidR="00505F6A" w:rsidRPr="00505F6A" w:rsidRDefault="00505F6A" w:rsidP="00505F6A">
                  <w:pPr>
                    <w:pStyle w:val="Paragraphedeliste"/>
                    <w:ind w:left="0"/>
                    <w:jc w:val="center"/>
                    <w:rPr>
                      <w:bCs/>
                    </w:rPr>
                  </w:pPr>
                  <w:r w:rsidRPr="00505F6A">
                    <w:rPr>
                      <w:bCs/>
                    </w:rPr>
                    <w:t>Location</w:t>
                  </w:r>
                </w:p>
              </w:tc>
            </w:tr>
            <w:tr w:rsidR="00505F6A" w:rsidRPr="00505F6A" w14:paraId="4743E3D2" w14:textId="77777777" w:rsidTr="00505F6A">
              <w:trPr>
                <w:jc w:val="center"/>
              </w:trPr>
              <w:tc>
                <w:tcPr>
                  <w:tcW w:w="2681" w:type="dxa"/>
                  <w:vMerge/>
                  <w:vAlign w:val="center"/>
                </w:tcPr>
                <w:p w14:paraId="55089D0B" w14:textId="77777777" w:rsidR="00505F6A" w:rsidRPr="00505F6A" w:rsidRDefault="00505F6A" w:rsidP="00505F6A">
                  <w:pPr>
                    <w:pStyle w:val="Paragraphedeliste"/>
                    <w:ind w:left="0"/>
                    <w:jc w:val="center"/>
                    <w:rPr>
                      <w:bCs/>
                    </w:rPr>
                  </w:pPr>
                </w:p>
              </w:tc>
              <w:tc>
                <w:tcPr>
                  <w:tcW w:w="1834" w:type="dxa"/>
                  <w:vAlign w:val="center"/>
                </w:tcPr>
                <w:p w14:paraId="467DA2E9" w14:textId="3F7B99EC" w:rsidR="00505F6A" w:rsidRPr="00505F6A" w:rsidRDefault="00505F6A" w:rsidP="00505F6A">
                  <w:pPr>
                    <w:pStyle w:val="Paragraphedeliste"/>
                    <w:ind w:left="0"/>
                    <w:jc w:val="center"/>
                    <w:rPr>
                      <w:bCs/>
                    </w:rPr>
                  </w:pPr>
                  <w:r w:rsidRPr="00505F6A">
                    <w:rPr>
                      <w:bCs/>
                    </w:rPr>
                    <w:t>Intermédiaire</w:t>
                  </w:r>
                </w:p>
              </w:tc>
              <w:tc>
                <w:tcPr>
                  <w:tcW w:w="1727" w:type="dxa"/>
                  <w:vAlign w:val="center"/>
                </w:tcPr>
                <w:p w14:paraId="5CDF9E68" w14:textId="0FB08988" w:rsidR="00505F6A" w:rsidRPr="00505F6A" w:rsidRDefault="00505F6A" w:rsidP="00505F6A">
                  <w:pPr>
                    <w:pStyle w:val="Paragraphedeliste"/>
                    <w:ind w:left="0"/>
                    <w:jc w:val="center"/>
                    <w:rPr>
                      <w:bCs/>
                    </w:rPr>
                  </w:pPr>
                  <w:r w:rsidRPr="00505F6A">
                    <w:rPr>
                      <w:bCs/>
                    </w:rPr>
                    <w:t>Sociale</w:t>
                  </w:r>
                </w:p>
              </w:tc>
              <w:tc>
                <w:tcPr>
                  <w:tcW w:w="1727" w:type="dxa"/>
                  <w:vAlign w:val="center"/>
                </w:tcPr>
                <w:p w14:paraId="09CCECDA" w14:textId="26F4DAD0" w:rsidR="00505F6A" w:rsidRPr="00505F6A" w:rsidRDefault="00505F6A" w:rsidP="00505F6A">
                  <w:pPr>
                    <w:pStyle w:val="Paragraphedeliste"/>
                    <w:ind w:left="0"/>
                    <w:jc w:val="center"/>
                    <w:rPr>
                      <w:bCs/>
                    </w:rPr>
                  </w:pPr>
                  <w:r w:rsidRPr="00505F6A">
                    <w:rPr>
                      <w:bCs/>
                    </w:rPr>
                    <w:t>Très sociale</w:t>
                  </w:r>
                </w:p>
              </w:tc>
            </w:tr>
            <w:tr w:rsidR="00873877" w:rsidRPr="00505F6A" w14:paraId="71E08ABF" w14:textId="77777777" w:rsidTr="00505F6A">
              <w:trPr>
                <w:jc w:val="center"/>
              </w:trPr>
              <w:tc>
                <w:tcPr>
                  <w:tcW w:w="2681" w:type="dxa"/>
                  <w:vAlign w:val="center"/>
                </w:tcPr>
                <w:p w14:paraId="1287BE91" w14:textId="61E58D57" w:rsidR="00873877" w:rsidRPr="00505F6A" w:rsidRDefault="00873877" w:rsidP="00505F6A">
                  <w:pPr>
                    <w:pStyle w:val="Paragraphedeliste"/>
                    <w:ind w:left="0"/>
                    <w:jc w:val="center"/>
                    <w:rPr>
                      <w:bCs/>
                    </w:rPr>
                  </w:pPr>
                  <w:r w:rsidRPr="00505F6A">
                    <w:rPr>
                      <w:bCs/>
                    </w:rPr>
                    <w:t>Logement neuf ou EFA</w:t>
                  </w:r>
                </w:p>
              </w:tc>
              <w:tc>
                <w:tcPr>
                  <w:tcW w:w="1834" w:type="dxa"/>
                  <w:vAlign w:val="center"/>
                </w:tcPr>
                <w:p w14:paraId="7CA67AE4" w14:textId="6B3FCA27" w:rsidR="00873877" w:rsidRPr="00505F6A" w:rsidRDefault="00873877" w:rsidP="00505F6A">
                  <w:pPr>
                    <w:pStyle w:val="Paragraphedeliste"/>
                    <w:ind w:left="0"/>
                    <w:jc w:val="center"/>
                    <w:rPr>
                      <w:bCs/>
                    </w:rPr>
                  </w:pPr>
                  <w:r w:rsidRPr="00505F6A">
                    <w:rPr>
                      <w:bCs/>
                    </w:rPr>
                    <w:t>3,5%</w:t>
                  </w:r>
                </w:p>
              </w:tc>
              <w:tc>
                <w:tcPr>
                  <w:tcW w:w="1727" w:type="dxa"/>
                  <w:vAlign w:val="center"/>
                </w:tcPr>
                <w:p w14:paraId="19C58234" w14:textId="531671C0" w:rsidR="00873877" w:rsidRPr="00505F6A" w:rsidRDefault="00873877" w:rsidP="00505F6A">
                  <w:pPr>
                    <w:pStyle w:val="Paragraphedeliste"/>
                    <w:ind w:left="0"/>
                    <w:jc w:val="center"/>
                    <w:rPr>
                      <w:bCs/>
                    </w:rPr>
                  </w:pPr>
                  <w:r w:rsidRPr="00505F6A">
                    <w:rPr>
                      <w:bCs/>
                    </w:rPr>
                    <w:t>4,5%</w:t>
                  </w:r>
                </w:p>
              </w:tc>
              <w:tc>
                <w:tcPr>
                  <w:tcW w:w="1727" w:type="dxa"/>
                  <w:vAlign w:val="center"/>
                </w:tcPr>
                <w:p w14:paraId="4920C4A8" w14:textId="79D8ED4F" w:rsidR="00873877" w:rsidRPr="00505F6A" w:rsidRDefault="00873877" w:rsidP="00505F6A">
                  <w:pPr>
                    <w:pStyle w:val="Paragraphedeliste"/>
                    <w:ind w:left="0"/>
                    <w:jc w:val="center"/>
                    <w:rPr>
                      <w:bCs/>
                    </w:rPr>
                  </w:pPr>
                  <w:r w:rsidRPr="00505F6A">
                    <w:rPr>
                      <w:bCs/>
                    </w:rPr>
                    <w:t>5,5%</w:t>
                  </w:r>
                </w:p>
              </w:tc>
            </w:tr>
            <w:tr w:rsidR="00873877" w:rsidRPr="00505F6A" w14:paraId="1D5F3E63" w14:textId="77777777" w:rsidTr="00505F6A">
              <w:trPr>
                <w:jc w:val="center"/>
              </w:trPr>
              <w:tc>
                <w:tcPr>
                  <w:tcW w:w="2681" w:type="dxa"/>
                  <w:vAlign w:val="center"/>
                </w:tcPr>
                <w:p w14:paraId="4E37A6B0" w14:textId="2C8111D8" w:rsidR="00873877" w:rsidRPr="00505F6A" w:rsidRDefault="00873877" w:rsidP="00505F6A">
                  <w:pPr>
                    <w:pStyle w:val="Paragraphedeliste"/>
                    <w:ind w:left="0"/>
                    <w:jc w:val="center"/>
                    <w:rPr>
                      <w:bCs/>
                    </w:rPr>
                  </w:pPr>
                  <w:r w:rsidRPr="00505F6A">
                    <w:rPr>
                      <w:bCs/>
                    </w:rPr>
                    <w:t>Logement à réhabiliter</w:t>
                  </w:r>
                </w:p>
              </w:tc>
              <w:tc>
                <w:tcPr>
                  <w:tcW w:w="1834" w:type="dxa"/>
                  <w:vAlign w:val="center"/>
                </w:tcPr>
                <w:p w14:paraId="48029DF5" w14:textId="3F9467C2" w:rsidR="00873877" w:rsidRPr="00505F6A" w:rsidRDefault="00873877" w:rsidP="00505F6A">
                  <w:pPr>
                    <w:pStyle w:val="Paragraphedeliste"/>
                    <w:ind w:left="0"/>
                    <w:jc w:val="center"/>
                    <w:rPr>
                      <w:bCs/>
                    </w:rPr>
                  </w:pPr>
                  <w:r w:rsidRPr="00505F6A">
                    <w:rPr>
                      <w:bCs/>
                    </w:rPr>
                    <w:t>3%</w:t>
                  </w:r>
                </w:p>
              </w:tc>
              <w:tc>
                <w:tcPr>
                  <w:tcW w:w="1727" w:type="dxa"/>
                  <w:vAlign w:val="center"/>
                </w:tcPr>
                <w:p w14:paraId="277288B0" w14:textId="05BDC31A" w:rsidR="00873877" w:rsidRPr="00505F6A" w:rsidRDefault="00873877" w:rsidP="00505F6A">
                  <w:pPr>
                    <w:pStyle w:val="Paragraphedeliste"/>
                    <w:ind w:left="0"/>
                    <w:jc w:val="center"/>
                    <w:rPr>
                      <w:bCs/>
                    </w:rPr>
                  </w:pPr>
                  <w:r w:rsidRPr="00505F6A">
                    <w:rPr>
                      <w:bCs/>
                    </w:rPr>
                    <w:t>3,5%</w:t>
                  </w:r>
                </w:p>
              </w:tc>
              <w:tc>
                <w:tcPr>
                  <w:tcW w:w="1727" w:type="dxa"/>
                  <w:vAlign w:val="center"/>
                </w:tcPr>
                <w:p w14:paraId="6FF282C1" w14:textId="47AEC964" w:rsidR="00873877" w:rsidRPr="00505F6A" w:rsidRDefault="00873877" w:rsidP="00505F6A">
                  <w:pPr>
                    <w:pStyle w:val="Paragraphedeliste"/>
                    <w:ind w:left="0"/>
                    <w:jc w:val="center"/>
                    <w:rPr>
                      <w:bCs/>
                    </w:rPr>
                  </w:pPr>
                  <w:r w:rsidRPr="00505F6A">
                    <w:rPr>
                      <w:bCs/>
                    </w:rPr>
                    <w:t>4%</w:t>
                  </w:r>
                </w:p>
              </w:tc>
            </w:tr>
          </w:tbl>
          <w:p w14:paraId="71BDA2E5" w14:textId="77777777" w:rsidR="00873877" w:rsidRPr="00A06A73" w:rsidRDefault="00873877" w:rsidP="00CE78D7">
            <w:pPr>
              <w:pStyle w:val="Paragraphedeliste"/>
              <w:spacing w:line="240" w:lineRule="auto"/>
              <w:rPr>
                <w:bCs/>
                <w:sz w:val="10"/>
                <w:szCs w:val="10"/>
              </w:rPr>
            </w:pPr>
          </w:p>
          <w:p w14:paraId="74C814B1" w14:textId="77777777" w:rsidR="00E6284A" w:rsidRDefault="00BD23C0" w:rsidP="00BD23C0">
            <w:pPr>
              <w:pStyle w:val="Paragraphedeliste"/>
              <w:numPr>
                <w:ilvl w:val="0"/>
                <w:numId w:val="20"/>
              </w:numPr>
              <w:spacing w:line="240" w:lineRule="auto"/>
              <w:ind w:left="1021" w:hanging="283"/>
              <w:rPr>
                <w:bCs/>
              </w:rPr>
            </w:pPr>
            <w:r>
              <w:rPr>
                <w:bCs/>
              </w:rPr>
              <w:t>durée et plafonnement :</w:t>
            </w:r>
          </w:p>
          <w:p w14:paraId="76347BA8" w14:textId="77777777" w:rsidR="00A06A73" w:rsidRPr="00A06A73" w:rsidRDefault="00A06A73" w:rsidP="00A06A73">
            <w:pPr>
              <w:pStyle w:val="Paragraphedeliste"/>
              <w:spacing w:line="240" w:lineRule="auto"/>
              <w:ind w:left="1021"/>
              <w:rPr>
                <w:bCs/>
                <w:sz w:val="10"/>
                <w:szCs w:val="10"/>
              </w:rPr>
            </w:pPr>
          </w:p>
          <w:p w14:paraId="689A0D1E" w14:textId="77777777" w:rsidR="00E6284A" w:rsidRDefault="00BD23C0" w:rsidP="00E6284A">
            <w:pPr>
              <w:pStyle w:val="Paragraphedeliste"/>
              <w:numPr>
                <w:ilvl w:val="0"/>
                <w:numId w:val="28"/>
              </w:numPr>
              <w:spacing w:line="240" w:lineRule="auto"/>
              <w:ind w:left="1447" w:hanging="332"/>
              <w:rPr>
                <w:bCs/>
              </w:rPr>
            </w:pPr>
            <w:r>
              <w:rPr>
                <w:bCs/>
              </w:rPr>
              <w:t>l</w:t>
            </w:r>
            <w:r w:rsidR="00873877" w:rsidRPr="00505F6A">
              <w:rPr>
                <w:bCs/>
              </w:rPr>
              <w:t>a durée d’amortissement n’est limitée que par la durée de la location (donc supérieure à 9 ans possible),</w:t>
            </w:r>
            <w:r>
              <w:rPr>
                <w:bCs/>
              </w:rPr>
              <w:t xml:space="preserve"> </w:t>
            </w:r>
            <w:r w:rsidR="00C73A88" w:rsidRPr="00505F6A">
              <w:rPr>
                <w:bCs/>
              </w:rPr>
              <w:t xml:space="preserve">et </w:t>
            </w:r>
            <w:r>
              <w:rPr>
                <w:bCs/>
              </w:rPr>
              <w:t>le montant</w:t>
            </w:r>
            <w:r w:rsidR="00C73A88" w:rsidRPr="00505F6A">
              <w:rPr>
                <w:bCs/>
              </w:rPr>
              <w:t xml:space="preserve"> de la base amortissable.</w:t>
            </w:r>
          </w:p>
          <w:p w14:paraId="29B1A2D4" w14:textId="2A831DDA" w:rsidR="00873877" w:rsidRPr="00505F6A" w:rsidRDefault="00873877" w:rsidP="00E6284A">
            <w:pPr>
              <w:pStyle w:val="Paragraphedeliste"/>
              <w:numPr>
                <w:ilvl w:val="0"/>
                <w:numId w:val="28"/>
              </w:numPr>
              <w:spacing w:line="240" w:lineRule="auto"/>
              <w:ind w:left="1447" w:hanging="332"/>
              <w:rPr>
                <w:bCs/>
              </w:rPr>
            </w:pPr>
            <w:r w:rsidRPr="00505F6A">
              <w:rPr>
                <w:bCs/>
              </w:rPr>
              <w:t>l’amortissement déductible est plafonné à 8 000 € par an et par foyer fiscal (plafond qui peut être porté à 10 000 € et 12 000 € selon le poids des revenus affectés à des locations sociale</w:t>
            </w:r>
            <w:r w:rsidR="00E6284A">
              <w:rPr>
                <w:bCs/>
              </w:rPr>
              <w:t xml:space="preserve">s </w:t>
            </w:r>
            <w:r w:rsidRPr="00505F6A">
              <w:rPr>
                <w:bCs/>
              </w:rPr>
              <w:t>ou très sociales).</w:t>
            </w:r>
          </w:p>
          <w:p w14:paraId="507D3815" w14:textId="77777777" w:rsidR="00FF3916" w:rsidRPr="00505F6A" w:rsidRDefault="00FF3916" w:rsidP="00A06A73">
            <w:pPr>
              <w:spacing w:line="240" w:lineRule="auto"/>
              <w:rPr>
                <w:bCs/>
              </w:rPr>
            </w:pPr>
          </w:p>
        </w:tc>
      </w:tr>
    </w:tbl>
    <w:p w14:paraId="28D4808A" w14:textId="266733A5" w:rsidR="00A06A73" w:rsidRPr="00A06A73" w:rsidRDefault="002B528E">
      <w:pPr>
        <w:rPr>
          <w:sz w:val="2"/>
          <w:szCs w:val="2"/>
        </w:rPr>
      </w:pPr>
      <w:r w:rsidRPr="00A42CA7">
        <w:rPr>
          <w:noProof/>
        </w:rPr>
        <mc:AlternateContent>
          <mc:Choice Requires="wps">
            <w:drawing>
              <wp:anchor distT="0" distB="0" distL="114300" distR="114300" simplePos="0" relativeHeight="251664384" behindDoc="0" locked="0" layoutInCell="1" allowOverlap="1" wp14:anchorId="6E29943C" wp14:editId="06CA21DA">
                <wp:simplePos x="0" y="0"/>
                <wp:positionH relativeFrom="column">
                  <wp:posOffset>5958840</wp:posOffset>
                </wp:positionH>
                <wp:positionV relativeFrom="paragraph">
                  <wp:posOffset>-264795</wp:posOffset>
                </wp:positionV>
                <wp:extent cx="619125" cy="373380"/>
                <wp:effectExtent l="38100" t="38100" r="123825" b="121920"/>
                <wp:wrapNone/>
                <wp:docPr id="204369400" name="Ellipse 13">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AB317D"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9943C" id="Ellipse 13" o:spid="_x0000_s1028" href="#DEBUT" style="position:absolute;left:0;text-align:left;margin-left:469.2pt;margin-top:-20.85pt;width:48.75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Bm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IDWjizcoU+weHRYvj4C2/lVCsBfPhgTnYJVBb&#10;2I/hHj6lMtBvHNqdksq4n6/vUA9GG14oaWAn5dT/2DAnKFFfNQw9QIX+4PrDqj/oTX1tYCBS2LiW&#10;xyMYuKD6Y+lM/Qzrco5e4IlpDr4goOB64Tq0uxEWLhfzeVSDRWVZWOil5QiOfGI7Pu2embPdDAcY&#10;/jvT76s3c9zqoqU2800wpYxDfuCvYxqWXGzTbiHjFj2Wo9bhtzH7BQAA//8DAFBLAwQUAAYACAAA&#10;ACEA+bQS/OMAAAALAQAADwAAAGRycy9kb3ducmV2LnhtbEyPy07DMBBF90j8gzVI7FrnUfpI41QV&#10;qAtUFqUgsXXjaRLVHofYaQNfj7uiuxnN0Z1z89VgNDtj5xpLAuJxBAyptKqhSsDnx2Y0B+a8JCW1&#10;JRTwgw5Wxf1dLjNlL/SO572vWAghl0kBtfdtxrkrazTSjW2LFG5H2xnpw9pVXHXyEsKN5kkUTbmR&#10;DYUPtWzxucbytO+NgKnaviYv1G+/k9Pv7m3d6FR9bYR4fBjWS2AeB/8Pw1U/qEMRnA62J+WYFrBI&#10;55OAChhN4hmwKxGlTwtghzDNYuBFzm87FH8AAAD//wMAUEsBAi0AFAAGAAgAAAAhALaDOJL+AAAA&#10;4QEAABMAAAAAAAAAAAAAAAAAAAAAAFtDb250ZW50X1R5cGVzXS54bWxQSwECLQAUAAYACAAAACEA&#10;OP0h/9YAAACUAQAACwAAAAAAAAAAAAAAAAAvAQAAX3JlbHMvLnJlbHNQSwECLQAUAAYACAAAACEA&#10;BN8AZvMCAAB+BgAADgAAAAAAAAAAAAAAAAAuAgAAZHJzL2Uyb0RvYy54bWxQSwECLQAUAAYACAAA&#10;ACEA+bQS/OMAAAALAQAADwAAAAAAAAAAAAAAAABNBQAAZHJzL2Rvd25yZXYueG1sUEsFBgAAAAAE&#10;AAQA8wAAAF0GAAAAAA==&#10;" o:button="t" fillcolor="#f2f2f2 [3052]" strokecolor="black [3213]" strokeweight="1pt">
                <v:fill o:detectmouseclick="t"/>
                <v:stroke joinstyle="miter"/>
                <v:shadow on="t" color="black" opacity="26214f" origin="-.5,-.5" offset=".74836mm,.74836mm"/>
                <v:path arrowok="t"/>
                <v:textbox inset="0,0,0,0">
                  <w:txbxContent>
                    <w:p w14:paraId="41AB317D"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r w:rsidR="00A06A73" w:rsidRPr="00A06A73">
        <w:rPr>
          <w:sz w:val="2"/>
          <w:szCs w:val="2"/>
        </w:rPr>
        <w:br w:type="page"/>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9319"/>
      </w:tblGrid>
      <w:tr w:rsidR="00A06A73" w:rsidRPr="00A42CA7" w14:paraId="18DA6F17" w14:textId="77777777" w:rsidTr="009303C2">
        <w:trPr>
          <w:trHeight w:val="70"/>
        </w:trPr>
        <w:tc>
          <w:tcPr>
            <w:tcW w:w="1171" w:type="dxa"/>
            <w:tcBorders>
              <w:top w:val="single" w:sz="4" w:space="0" w:color="auto"/>
              <w:left w:val="single" w:sz="4" w:space="0" w:color="auto"/>
              <w:bottom w:val="single" w:sz="4" w:space="0" w:color="auto"/>
              <w:right w:val="single" w:sz="4" w:space="0" w:color="auto"/>
            </w:tcBorders>
            <w:shd w:val="clear" w:color="auto" w:fill="D9D9D9"/>
            <w:vAlign w:val="center"/>
          </w:tcPr>
          <w:p w14:paraId="0B138CD1" w14:textId="067DF2B3" w:rsidR="00A06A73" w:rsidRPr="001D3691" w:rsidRDefault="00A06A73" w:rsidP="003C18DC">
            <w:pPr>
              <w:spacing w:line="240" w:lineRule="auto"/>
              <w:jc w:val="center"/>
              <w:rPr>
                <w:b/>
                <w:i/>
                <w:iCs/>
              </w:rPr>
            </w:pPr>
            <w:r w:rsidRPr="00505F6A">
              <w:rPr>
                <w:b/>
                <w:i/>
                <w:iCs/>
              </w:rPr>
              <w:lastRenderedPageBreak/>
              <w:t>Statut du bailleur privé</w:t>
            </w:r>
          </w:p>
        </w:tc>
        <w:tc>
          <w:tcPr>
            <w:tcW w:w="9319" w:type="dxa"/>
            <w:tcBorders>
              <w:top w:val="single" w:sz="4" w:space="0" w:color="auto"/>
              <w:left w:val="single" w:sz="4" w:space="0" w:color="auto"/>
              <w:bottom w:val="single" w:sz="4" w:space="0" w:color="auto"/>
              <w:right w:val="single" w:sz="4" w:space="0" w:color="auto"/>
            </w:tcBorders>
          </w:tcPr>
          <w:p w14:paraId="4D9579F0" w14:textId="77777777" w:rsidR="00A06A73" w:rsidRPr="002B528E" w:rsidRDefault="00A06A73" w:rsidP="00A06A73">
            <w:pPr>
              <w:pStyle w:val="Paragraphedeliste"/>
              <w:spacing w:line="240" w:lineRule="auto"/>
              <w:rPr>
                <w:bCs/>
                <w:sz w:val="10"/>
                <w:szCs w:val="10"/>
              </w:rPr>
            </w:pPr>
          </w:p>
          <w:p w14:paraId="7A73CF50" w14:textId="77777777" w:rsidR="00A06A73" w:rsidRPr="00BD23C0" w:rsidRDefault="00A06A73" w:rsidP="00A06A73">
            <w:pPr>
              <w:pStyle w:val="Paragraphedeliste"/>
              <w:numPr>
                <w:ilvl w:val="0"/>
                <w:numId w:val="27"/>
              </w:numPr>
              <w:spacing w:line="240" w:lineRule="auto"/>
              <w:rPr>
                <w:b/>
              </w:rPr>
            </w:pPr>
            <w:r w:rsidRPr="00BD23C0">
              <w:rPr>
                <w:b/>
              </w:rPr>
              <w:t>Déficit foncier</w:t>
            </w:r>
          </w:p>
          <w:p w14:paraId="47E53C2E" w14:textId="1A6F04C3" w:rsidR="00A06A73" w:rsidRPr="00505F6A" w:rsidRDefault="00A06A73" w:rsidP="00A06A73">
            <w:pPr>
              <w:pStyle w:val="Paragraphedeliste"/>
              <w:spacing w:line="240" w:lineRule="auto"/>
              <w:rPr>
                <w:bCs/>
              </w:rPr>
            </w:pPr>
            <w:r w:rsidRPr="00505F6A">
              <w:rPr>
                <w:bCs/>
              </w:rPr>
              <w:t>Aucune disposition spécifique n’accompagne ce nouveau statut : les déficits fonciers générés s’imputent, dans la règle générale, sur les autres revenus à hauteur de 10 700</w:t>
            </w:r>
            <w:r w:rsidR="00F9091F">
              <w:rPr>
                <w:bCs/>
              </w:rPr>
              <w:t> </w:t>
            </w:r>
            <w:r w:rsidRPr="00505F6A">
              <w:rPr>
                <w:bCs/>
              </w:rPr>
              <w:t>€ (hors intérêts d’emprunts…), et à défaut d’autres revenus suffisants, sur les 6 revenus bruts globaux suivants.</w:t>
            </w:r>
          </w:p>
          <w:p w14:paraId="40427DF6" w14:textId="77777777" w:rsidR="00A06A73" w:rsidRPr="002B528E" w:rsidRDefault="00A06A73" w:rsidP="00A06A73">
            <w:pPr>
              <w:pStyle w:val="Paragraphedeliste"/>
              <w:spacing w:line="240" w:lineRule="auto"/>
              <w:rPr>
                <w:bCs/>
                <w:sz w:val="10"/>
                <w:szCs w:val="10"/>
              </w:rPr>
            </w:pPr>
          </w:p>
          <w:p w14:paraId="51E72A9F" w14:textId="649F5EED" w:rsidR="00A06A73" w:rsidRPr="00BD23C0" w:rsidRDefault="00F9091F" w:rsidP="00A06A73">
            <w:pPr>
              <w:pStyle w:val="Paragraphedeliste"/>
              <w:numPr>
                <w:ilvl w:val="0"/>
                <w:numId w:val="27"/>
              </w:numPr>
              <w:spacing w:line="240" w:lineRule="auto"/>
              <w:rPr>
                <w:b/>
              </w:rPr>
            </w:pPr>
            <w:r w:rsidRPr="00BD23C0">
              <w:rPr>
                <w:b/>
              </w:rPr>
              <w:t>Plus-value</w:t>
            </w:r>
            <w:r w:rsidR="00A06A73" w:rsidRPr="00BD23C0">
              <w:rPr>
                <w:b/>
              </w:rPr>
              <w:t xml:space="preserve"> immobilière</w:t>
            </w:r>
          </w:p>
          <w:p w14:paraId="2C5AF0F3" w14:textId="7A9E26C8" w:rsidR="00A06A73" w:rsidRDefault="00A06A73" w:rsidP="00A06A73">
            <w:pPr>
              <w:pStyle w:val="Paragraphedeliste"/>
              <w:spacing w:line="240" w:lineRule="auto"/>
              <w:rPr>
                <w:bCs/>
              </w:rPr>
            </w:pPr>
            <w:r w:rsidRPr="00505F6A">
              <w:rPr>
                <w:bCs/>
              </w:rPr>
              <w:t>Les amortissements déduits pendant la détention du logement ou des parts des sociétés propriétaires du logement sont pri</w:t>
            </w:r>
            <w:r w:rsidR="00F9091F">
              <w:rPr>
                <w:bCs/>
              </w:rPr>
              <w:t xml:space="preserve">s </w:t>
            </w:r>
            <w:r w:rsidRPr="00505F6A">
              <w:rPr>
                <w:bCs/>
              </w:rPr>
              <w:t xml:space="preserve">en compte dans le coût de revient fiscal du logement : minorant le coût d’acquisition, ils accroissent mécaniquement la </w:t>
            </w:r>
            <w:r w:rsidR="00F9091F" w:rsidRPr="00505F6A">
              <w:rPr>
                <w:bCs/>
              </w:rPr>
              <w:t>plus-value</w:t>
            </w:r>
            <w:r w:rsidRPr="00505F6A">
              <w:rPr>
                <w:bCs/>
              </w:rPr>
              <w:t xml:space="preserve"> brute.</w:t>
            </w:r>
          </w:p>
          <w:p w14:paraId="37DA764A" w14:textId="77777777" w:rsidR="00A06A73" w:rsidRDefault="00A06A73" w:rsidP="00A06A73">
            <w:pPr>
              <w:pStyle w:val="Paragraphedeliste"/>
              <w:spacing w:line="240" w:lineRule="auto"/>
              <w:rPr>
                <w:bCs/>
              </w:rPr>
            </w:pPr>
          </w:p>
          <w:p w14:paraId="14880612" w14:textId="0DEB21AA" w:rsidR="00A06A73" w:rsidRPr="0048722E" w:rsidRDefault="00A06A73" w:rsidP="00A06A73">
            <w:pPr>
              <w:spacing w:line="240" w:lineRule="auto"/>
              <w:rPr>
                <w:bCs/>
                <w:i/>
                <w:iCs/>
              </w:rPr>
            </w:pPr>
            <w:r w:rsidRPr="0048722E">
              <w:rPr>
                <w:bCs/>
                <w:i/>
                <w:iCs/>
              </w:rPr>
              <w:t>Exemple</w:t>
            </w:r>
            <w:r w:rsidR="002B528E">
              <w:rPr>
                <w:bCs/>
                <w:i/>
                <w:iCs/>
              </w:rPr>
              <w:t xml:space="preserve"> : </w:t>
            </w:r>
            <w:r w:rsidRPr="0048722E">
              <w:rPr>
                <w:bCs/>
                <w:i/>
                <w:iCs/>
              </w:rPr>
              <w:t>Monsieur CRCF a acquis un immeuble nécessitant une réhabilitation lourde éligible au dispositif du statut de bailleur privé en mars 2026 pour 110 000 € (dont 10 000 € de frais de notaire, d’intermédiaire…). Il le destine à une location nue à une famille aux ressources modestes après avoir engagé 50 000 € de dépenses de réhabilitation.</w:t>
            </w:r>
          </w:p>
          <w:p w14:paraId="415D92E4" w14:textId="77777777" w:rsidR="00A06A73" w:rsidRPr="0048722E" w:rsidRDefault="00A06A73" w:rsidP="00A06A73">
            <w:pPr>
              <w:spacing w:line="240" w:lineRule="auto"/>
              <w:rPr>
                <w:bCs/>
                <w:i/>
                <w:iCs/>
              </w:rPr>
            </w:pPr>
            <w:r w:rsidRPr="0048722E">
              <w:rPr>
                <w:bCs/>
                <w:i/>
                <w:iCs/>
              </w:rPr>
              <w:t>Le 01/10/2026 les travaux sont terminés et l’immeuble fait l’objet d’une location « très sociale » à compter du 01/11/2026 pour 500 € par mois.</w:t>
            </w:r>
          </w:p>
          <w:p w14:paraId="3DD91111" w14:textId="77777777" w:rsidR="00A06A73" w:rsidRPr="0048722E" w:rsidRDefault="00A06A73" w:rsidP="00A06A73">
            <w:pPr>
              <w:spacing w:line="240" w:lineRule="auto"/>
              <w:rPr>
                <w:bCs/>
                <w:i/>
                <w:iCs/>
              </w:rPr>
            </w:pPr>
            <w:r w:rsidRPr="0048722E">
              <w:rPr>
                <w:bCs/>
                <w:i/>
                <w:iCs/>
              </w:rPr>
              <w:t>Par hypothèse, les dépenses déductibles liées à cette location (hors amortissement) et les autres revenus imposables de Monsieur CRCF s’élèvent respectivement à 2 000 € et 30 000 € par an.</w:t>
            </w:r>
          </w:p>
          <w:p w14:paraId="4B7083A7" w14:textId="77777777" w:rsidR="00A06A73" w:rsidRPr="002B528E" w:rsidRDefault="00A06A73" w:rsidP="00A06A73">
            <w:pPr>
              <w:spacing w:line="240" w:lineRule="auto"/>
              <w:rPr>
                <w:bCs/>
                <w:i/>
                <w:iCs/>
                <w:sz w:val="10"/>
                <w:szCs w:val="10"/>
              </w:rPr>
            </w:pPr>
          </w:p>
          <w:p w14:paraId="36778CA3" w14:textId="77777777" w:rsidR="00A06A73" w:rsidRPr="0048722E" w:rsidRDefault="00A06A73" w:rsidP="00A06A73">
            <w:pPr>
              <w:spacing w:line="240" w:lineRule="auto"/>
              <w:rPr>
                <w:bCs/>
                <w:i/>
                <w:iCs/>
              </w:rPr>
            </w:pPr>
            <w:r w:rsidRPr="0048722E">
              <w:rPr>
                <w:bCs/>
                <w:i/>
                <w:iCs/>
              </w:rPr>
              <w:t>Valeur du logement : 110 000 – 10 000 + 50 000 = 150 000 €</w:t>
            </w:r>
          </w:p>
          <w:p w14:paraId="235B236E" w14:textId="77777777" w:rsidR="00A06A73" w:rsidRPr="0048722E" w:rsidRDefault="00A06A73" w:rsidP="00A06A73">
            <w:pPr>
              <w:spacing w:line="240" w:lineRule="auto"/>
              <w:rPr>
                <w:bCs/>
                <w:i/>
                <w:iCs/>
              </w:rPr>
            </w:pPr>
            <w:r w:rsidRPr="0048722E">
              <w:rPr>
                <w:bCs/>
                <w:i/>
                <w:iCs/>
              </w:rPr>
              <w:t>Base amortissable = 150 000 x 80% = 120 000 €</w:t>
            </w:r>
          </w:p>
          <w:p w14:paraId="7A6B011C" w14:textId="77777777" w:rsidR="00A06A73" w:rsidRPr="0048722E" w:rsidRDefault="00A06A73" w:rsidP="00A06A73">
            <w:pPr>
              <w:spacing w:line="240" w:lineRule="auto"/>
              <w:rPr>
                <w:bCs/>
                <w:i/>
                <w:iCs/>
              </w:rPr>
            </w:pPr>
            <w:r w:rsidRPr="0048722E">
              <w:rPr>
                <w:bCs/>
                <w:i/>
                <w:iCs/>
              </w:rPr>
              <w:t>Taux d’amortissement : 4% (réhabilitation et location très sociale)</w:t>
            </w:r>
          </w:p>
          <w:p w14:paraId="76167A51" w14:textId="77777777" w:rsidR="00A06A73" w:rsidRPr="0048722E" w:rsidRDefault="00A06A73" w:rsidP="00A06A73">
            <w:pPr>
              <w:spacing w:line="240" w:lineRule="auto"/>
              <w:rPr>
                <w:bCs/>
                <w:i/>
                <w:iCs/>
              </w:rPr>
            </w:pPr>
            <w:r w:rsidRPr="0048722E">
              <w:rPr>
                <w:bCs/>
                <w:i/>
                <w:iCs/>
              </w:rPr>
              <w:t>Début des amortissements : 01/10/2026</w:t>
            </w:r>
          </w:p>
          <w:p w14:paraId="575F6C09" w14:textId="77777777" w:rsidR="00A06A73" w:rsidRPr="0048722E" w:rsidRDefault="00A06A73" w:rsidP="00A06A73">
            <w:pPr>
              <w:spacing w:line="240" w:lineRule="auto"/>
              <w:rPr>
                <w:bCs/>
                <w:i/>
                <w:iCs/>
              </w:rPr>
            </w:pPr>
            <w:r w:rsidRPr="0048722E">
              <w:rPr>
                <w:bCs/>
                <w:i/>
                <w:iCs/>
              </w:rPr>
              <w:t>Amortissement annuel : 120 000 x 4% = 4 800 € (le plafonnement ne s’applique pas) (x3/12 pour 2026 = 1 200 €)</w:t>
            </w:r>
          </w:p>
          <w:p w14:paraId="02C083CB" w14:textId="77777777" w:rsidR="00A06A73" w:rsidRPr="002B528E" w:rsidRDefault="00A06A73" w:rsidP="00A06A73">
            <w:pPr>
              <w:spacing w:line="240" w:lineRule="auto"/>
              <w:rPr>
                <w:bCs/>
                <w:i/>
                <w:iCs/>
                <w:sz w:val="10"/>
                <w:szCs w:val="10"/>
              </w:rPr>
            </w:pPr>
          </w:p>
          <w:p w14:paraId="2E8CB327" w14:textId="77777777" w:rsidR="00A06A73" w:rsidRPr="0048722E" w:rsidRDefault="00A06A73" w:rsidP="00A06A73">
            <w:pPr>
              <w:spacing w:line="240" w:lineRule="auto"/>
              <w:rPr>
                <w:bCs/>
                <w:i/>
                <w:iCs/>
              </w:rPr>
            </w:pPr>
            <w:r w:rsidRPr="0048722E">
              <w:rPr>
                <w:bCs/>
                <w:i/>
                <w:iCs/>
              </w:rPr>
              <w:t>Revenus fonciers imposables (régime réel obligatoire) 2026 : 500 x 2 – (2 000 + 1 200) = - 2 200 € imputable sur les autres revenus (500 x 12 – (2 000 + 4 800)) – 800 pour les années suivantes.</w:t>
            </w:r>
          </w:p>
          <w:p w14:paraId="080DEA19" w14:textId="77777777" w:rsidR="00A06A73" w:rsidRPr="00971956" w:rsidRDefault="00A06A73" w:rsidP="003C18DC">
            <w:pPr>
              <w:spacing w:line="240" w:lineRule="auto"/>
              <w:rPr>
                <w:bCs/>
                <w:highlight w:val="yellow"/>
              </w:rPr>
            </w:pPr>
          </w:p>
        </w:tc>
      </w:tr>
      <w:tr w:rsidR="00B20C99" w:rsidRPr="00A42CA7" w14:paraId="25F0A391" w14:textId="77777777" w:rsidTr="009303C2">
        <w:trPr>
          <w:trHeight w:val="70"/>
        </w:trPr>
        <w:tc>
          <w:tcPr>
            <w:tcW w:w="11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0BBD8" w14:textId="1745A48E" w:rsidR="00B20C99" w:rsidRPr="001D3691" w:rsidRDefault="00B20C99" w:rsidP="003C18DC">
            <w:pPr>
              <w:spacing w:line="240" w:lineRule="auto"/>
              <w:jc w:val="center"/>
              <w:rPr>
                <w:b/>
                <w:i/>
                <w:iCs/>
              </w:rPr>
            </w:pPr>
            <w:bookmarkStart w:id="3" w:name="IRdivers"/>
            <w:r w:rsidRPr="001D3691">
              <w:rPr>
                <w:b/>
                <w:i/>
                <w:iCs/>
              </w:rPr>
              <w:t>IR</w:t>
            </w:r>
          </w:p>
          <w:p w14:paraId="53A32AC1" w14:textId="77777777" w:rsidR="00B20C99" w:rsidRPr="00971956" w:rsidRDefault="00B20C99" w:rsidP="003C18DC">
            <w:pPr>
              <w:spacing w:line="240" w:lineRule="auto"/>
              <w:jc w:val="center"/>
              <w:rPr>
                <w:b/>
                <w:i/>
                <w:iCs/>
                <w:highlight w:val="yellow"/>
              </w:rPr>
            </w:pPr>
            <w:r w:rsidRPr="001D3691">
              <w:rPr>
                <w:b/>
                <w:i/>
                <w:iCs/>
              </w:rPr>
              <w:t>Mesures diverses</w:t>
            </w:r>
            <w:bookmarkEnd w:id="3"/>
          </w:p>
        </w:tc>
        <w:tc>
          <w:tcPr>
            <w:tcW w:w="9319" w:type="dxa"/>
            <w:tcBorders>
              <w:top w:val="single" w:sz="4" w:space="0" w:color="auto"/>
              <w:left w:val="single" w:sz="4" w:space="0" w:color="auto"/>
              <w:bottom w:val="single" w:sz="4" w:space="0" w:color="auto"/>
              <w:right w:val="single" w:sz="4" w:space="0" w:color="auto"/>
            </w:tcBorders>
          </w:tcPr>
          <w:p w14:paraId="35AC0D6C" w14:textId="77777777" w:rsidR="00B20C99" w:rsidRPr="002B528E" w:rsidRDefault="00B20C99" w:rsidP="003C18DC">
            <w:pPr>
              <w:spacing w:line="240" w:lineRule="auto"/>
              <w:rPr>
                <w:bCs/>
                <w:sz w:val="10"/>
                <w:szCs w:val="10"/>
                <w:highlight w:val="yellow"/>
              </w:rPr>
            </w:pPr>
          </w:p>
          <w:p w14:paraId="496F0ABC" w14:textId="6D0F1463" w:rsidR="00B20C99" w:rsidRPr="001D3691" w:rsidRDefault="00B20C99" w:rsidP="003C18DC">
            <w:pPr>
              <w:spacing w:line="240" w:lineRule="auto"/>
              <w:rPr>
                <w:b/>
                <w:u w:val="single"/>
              </w:rPr>
            </w:pPr>
            <w:r w:rsidRPr="001D3691">
              <w:rPr>
                <w:b/>
                <w:u w:val="single"/>
              </w:rPr>
              <w:t>Dons, Réductions d’impôts, Crédits d’impôts</w:t>
            </w:r>
          </w:p>
          <w:p w14:paraId="43FB9E2C" w14:textId="77777777" w:rsidR="00B20C99" w:rsidRPr="002B528E" w:rsidRDefault="00B20C99" w:rsidP="003C18DC">
            <w:pPr>
              <w:spacing w:line="240" w:lineRule="auto"/>
              <w:rPr>
                <w:bCs/>
                <w:sz w:val="10"/>
                <w:szCs w:val="10"/>
              </w:rPr>
            </w:pPr>
          </w:p>
          <w:p w14:paraId="0E79070A" w14:textId="7950334B" w:rsidR="00B20C99" w:rsidRPr="001D3691" w:rsidRDefault="001D3691" w:rsidP="001D3691">
            <w:pPr>
              <w:spacing w:line="240" w:lineRule="auto"/>
              <w:rPr>
                <w:bCs/>
              </w:rPr>
            </w:pPr>
            <w:r>
              <w:rPr>
                <w:b/>
              </w:rPr>
              <w:t>L</w:t>
            </w:r>
            <w:r w:rsidR="00495921" w:rsidRPr="001D3691">
              <w:rPr>
                <w:b/>
              </w:rPr>
              <w:t>e</w:t>
            </w:r>
            <w:r w:rsidR="00B20C99" w:rsidRPr="001D3691">
              <w:rPr>
                <w:b/>
              </w:rPr>
              <w:t xml:space="preserve"> plafond de versements à des organismes sans but lucratif</w:t>
            </w:r>
            <w:r w:rsidR="00B20C99" w:rsidRPr="001D3691">
              <w:rPr>
                <w:bCs/>
              </w:rPr>
              <w:t xml:space="preserve"> qui procèdent à la fourniture de repas ou de soins à des personnes en difficultés ou qui contribuent à leur logement (« Coluche ») </w:t>
            </w:r>
            <w:r w:rsidR="00495921" w:rsidRPr="001D3691">
              <w:rPr>
                <w:bCs/>
              </w:rPr>
              <w:t xml:space="preserve">est porté à </w:t>
            </w:r>
            <w:r w:rsidR="00495921" w:rsidRPr="003360C5">
              <w:rPr>
                <w:b/>
              </w:rPr>
              <w:t>2</w:t>
            </w:r>
            <w:r w:rsidR="00B20C99" w:rsidRPr="003360C5">
              <w:rPr>
                <w:b/>
              </w:rPr>
              <w:t> 000 €</w:t>
            </w:r>
            <w:r w:rsidR="00B20C99" w:rsidRPr="001D3691">
              <w:rPr>
                <w:bCs/>
              </w:rPr>
              <w:t xml:space="preserve"> (RI = 75% puis 66% au-delà du plafond dans la limite de 20% du revenu imposable)</w:t>
            </w:r>
            <w:r w:rsidR="00495921" w:rsidRPr="001D3691">
              <w:rPr>
                <w:bCs/>
              </w:rPr>
              <w:t xml:space="preserve"> pour les dons à compter du 14/10/2025.</w:t>
            </w:r>
          </w:p>
          <w:p w14:paraId="0D854DF1" w14:textId="77777777" w:rsidR="001D3691" w:rsidRPr="002B528E" w:rsidRDefault="001D3691" w:rsidP="001D3691">
            <w:pPr>
              <w:spacing w:line="240" w:lineRule="auto"/>
              <w:rPr>
                <w:bCs/>
                <w:sz w:val="10"/>
                <w:szCs w:val="10"/>
              </w:rPr>
            </w:pPr>
          </w:p>
          <w:p w14:paraId="581563E5" w14:textId="14CCBD42" w:rsidR="00B20C99" w:rsidRPr="001D3691" w:rsidRDefault="00495921" w:rsidP="001D3691">
            <w:pPr>
              <w:spacing w:line="240" w:lineRule="auto"/>
              <w:rPr>
                <w:bCs/>
              </w:rPr>
            </w:pPr>
            <w:r w:rsidRPr="001D3691">
              <w:rPr>
                <w:bCs/>
              </w:rPr>
              <w:t>La LF pour 2025 avait élargi c</w:t>
            </w:r>
            <w:r w:rsidR="00B20C99" w:rsidRPr="001D3691">
              <w:rPr>
                <w:b/>
              </w:rPr>
              <w:t>e dispositif</w:t>
            </w:r>
            <w:r w:rsidR="00B20C99" w:rsidRPr="001D3691">
              <w:rPr>
                <w:bCs/>
              </w:rPr>
              <w:t xml:space="preserve"> aux dons au profit d’organismes d’intérêt général qui accompagnent les </w:t>
            </w:r>
            <w:r w:rsidR="00B20C99" w:rsidRPr="001D3691">
              <w:rPr>
                <w:b/>
              </w:rPr>
              <w:t>victimes de violence domestiques</w:t>
            </w:r>
            <w:r w:rsidR="00B20C99" w:rsidRPr="001D3691">
              <w:rPr>
                <w:bCs/>
              </w:rPr>
              <w:t xml:space="preserve"> à compter du 15/02/2025.</w:t>
            </w:r>
          </w:p>
          <w:p w14:paraId="38184046" w14:textId="77777777" w:rsidR="001D3691" w:rsidRPr="002B528E" w:rsidRDefault="001D3691" w:rsidP="001D3691">
            <w:pPr>
              <w:spacing w:line="240" w:lineRule="auto"/>
              <w:rPr>
                <w:b/>
                <w:sz w:val="10"/>
                <w:szCs w:val="10"/>
                <w:u w:val="single"/>
              </w:rPr>
            </w:pPr>
          </w:p>
          <w:p w14:paraId="1669322E" w14:textId="4E0BDC89" w:rsidR="001D3691" w:rsidRPr="00505F6A" w:rsidRDefault="001D3691" w:rsidP="001D3691">
            <w:pPr>
              <w:spacing w:line="240" w:lineRule="auto"/>
              <w:rPr>
                <w:b/>
                <w:u w:val="single"/>
              </w:rPr>
            </w:pPr>
            <w:r w:rsidRPr="00505F6A">
              <w:rPr>
                <w:b/>
                <w:u w:val="single"/>
              </w:rPr>
              <w:t>Option pour l’imposition progressive des RCM / PV mobilières</w:t>
            </w:r>
          </w:p>
          <w:p w14:paraId="5CB6CC3A" w14:textId="77777777" w:rsidR="001D3691" w:rsidRPr="002B528E" w:rsidRDefault="001D3691" w:rsidP="001D3691">
            <w:pPr>
              <w:spacing w:line="240" w:lineRule="auto"/>
              <w:rPr>
                <w:bCs/>
                <w:sz w:val="10"/>
                <w:szCs w:val="10"/>
              </w:rPr>
            </w:pPr>
          </w:p>
          <w:p w14:paraId="6BC5ABC7" w14:textId="77777777" w:rsidR="001D3691" w:rsidRPr="00505F6A" w:rsidRDefault="001D3691" w:rsidP="001D3691">
            <w:pPr>
              <w:spacing w:line="240" w:lineRule="auto"/>
              <w:rPr>
                <w:bCs/>
              </w:rPr>
            </w:pPr>
            <w:r w:rsidRPr="00505F6A">
              <w:rPr>
                <w:bCs/>
              </w:rPr>
              <w:t>Afin de rendre la règlementation plus cohérente, l’option pour le barème progressif de l’IR sur les RCM et PV mobilières devient révocable en cours de contrôle ou dans le délai de réclamation (l’option pouvait être prise pendant cette période mais pas le renoncement). Cette disposition s’appliquera sur l’IR dû au titre de l’année 2026.</w:t>
            </w:r>
          </w:p>
          <w:p w14:paraId="195BE1EA" w14:textId="77777777" w:rsidR="001D3691" w:rsidRPr="002B528E" w:rsidRDefault="001D3691" w:rsidP="001D3691">
            <w:pPr>
              <w:spacing w:line="240" w:lineRule="auto"/>
              <w:rPr>
                <w:bCs/>
                <w:sz w:val="10"/>
                <w:szCs w:val="10"/>
              </w:rPr>
            </w:pPr>
          </w:p>
          <w:p w14:paraId="74F681C8" w14:textId="77777777" w:rsidR="001D3691" w:rsidRPr="00505F6A" w:rsidRDefault="001D3691" w:rsidP="001D3691">
            <w:pPr>
              <w:spacing w:line="240" w:lineRule="auto"/>
              <w:rPr>
                <w:b/>
                <w:u w:val="single"/>
              </w:rPr>
            </w:pPr>
            <w:r w:rsidRPr="00505F6A">
              <w:rPr>
                <w:b/>
                <w:u w:val="single"/>
              </w:rPr>
              <w:t>Pourboires et frais de transport des salariés</w:t>
            </w:r>
          </w:p>
          <w:p w14:paraId="2FDDC334" w14:textId="77777777" w:rsidR="001D3691" w:rsidRPr="002B528E" w:rsidRDefault="001D3691" w:rsidP="001D3691">
            <w:pPr>
              <w:spacing w:line="240" w:lineRule="auto"/>
              <w:rPr>
                <w:bCs/>
                <w:sz w:val="10"/>
                <w:szCs w:val="10"/>
              </w:rPr>
            </w:pPr>
          </w:p>
          <w:p w14:paraId="69966AF2" w14:textId="77777777" w:rsidR="001D3691" w:rsidRPr="00505F6A" w:rsidRDefault="001D3691" w:rsidP="001D3691">
            <w:pPr>
              <w:spacing w:line="240" w:lineRule="auto"/>
              <w:rPr>
                <w:bCs/>
              </w:rPr>
            </w:pPr>
            <w:r w:rsidRPr="00505F6A">
              <w:rPr>
                <w:bCs/>
              </w:rPr>
              <w:t xml:space="preserve">Le dispositif </w:t>
            </w:r>
            <w:r w:rsidRPr="003360C5">
              <w:rPr>
                <w:b/>
              </w:rPr>
              <w:t>d’exonération</w:t>
            </w:r>
            <w:r w:rsidRPr="00505F6A">
              <w:rPr>
                <w:bCs/>
              </w:rPr>
              <w:t xml:space="preserve"> des pourboires perçus est prolongé jusqu’en </w:t>
            </w:r>
            <w:r w:rsidRPr="003360C5">
              <w:rPr>
                <w:b/>
              </w:rPr>
              <w:t>2028</w:t>
            </w:r>
            <w:r w:rsidRPr="00505F6A">
              <w:rPr>
                <w:bCs/>
              </w:rPr>
              <w:t>.</w:t>
            </w:r>
          </w:p>
          <w:p w14:paraId="4A91A393" w14:textId="77777777" w:rsidR="001D3691" w:rsidRPr="00505F6A" w:rsidRDefault="001D3691" w:rsidP="001D3691">
            <w:pPr>
              <w:spacing w:line="240" w:lineRule="auto"/>
              <w:rPr>
                <w:bCs/>
              </w:rPr>
            </w:pPr>
            <w:r w:rsidRPr="00505F6A">
              <w:rPr>
                <w:bCs/>
              </w:rPr>
              <w:t>L’exonération de la prise en charge facultative des frais d’abonnement aux transports publics par l’employeur (dans certaines conditions et limites) est prolongée jusqu’en 2026.</w:t>
            </w:r>
          </w:p>
          <w:p w14:paraId="503D1A30" w14:textId="77777777" w:rsidR="001D3691" w:rsidRPr="002B528E" w:rsidRDefault="001D3691" w:rsidP="001D3691">
            <w:pPr>
              <w:spacing w:line="240" w:lineRule="auto"/>
              <w:rPr>
                <w:bCs/>
                <w:sz w:val="10"/>
                <w:szCs w:val="10"/>
              </w:rPr>
            </w:pPr>
          </w:p>
          <w:p w14:paraId="532290D5" w14:textId="77777777" w:rsidR="001D3691" w:rsidRPr="00505F6A" w:rsidRDefault="001D3691" w:rsidP="001D3691">
            <w:pPr>
              <w:spacing w:line="240" w:lineRule="auto"/>
              <w:rPr>
                <w:b/>
                <w:u w:val="single"/>
              </w:rPr>
            </w:pPr>
            <w:r w:rsidRPr="00505F6A">
              <w:rPr>
                <w:b/>
                <w:u w:val="single"/>
              </w:rPr>
              <w:t>CDHR : pérennisation et ajustements</w:t>
            </w:r>
          </w:p>
          <w:p w14:paraId="701B1CB5" w14:textId="77777777" w:rsidR="001D3691" w:rsidRPr="002B528E" w:rsidRDefault="001D3691" w:rsidP="001D3691">
            <w:pPr>
              <w:spacing w:line="240" w:lineRule="auto"/>
              <w:rPr>
                <w:bCs/>
                <w:sz w:val="10"/>
                <w:szCs w:val="10"/>
              </w:rPr>
            </w:pPr>
          </w:p>
          <w:p w14:paraId="5B294A15" w14:textId="77777777" w:rsidR="001D3691" w:rsidRPr="00505F6A" w:rsidRDefault="001D3691" w:rsidP="001D3691">
            <w:pPr>
              <w:spacing w:line="240" w:lineRule="auto"/>
              <w:rPr>
                <w:bCs/>
              </w:rPr>
            </w:pPr>
            <w:r w:rsidRPr="00505F6A">
              <w:rPr>
                <w:bCs/>
              </w:rPr>
              <w:t>Initialement prévue pour une année, la Contribution Différentielle sur les Hauts Revenus et prolongée tant qu’un projet de loi de finances ne prévoit pas un déficit public inférieur à 3% du PIB…</w:t>
            </w:r>
          </w:p>
          <w:p w14:paraId="5A0BEB0F" w14:textId="77777777" w:rsidR="001D3691" w:rsidRPr="002B528E" w:rsidRDefault="001D3691" w:rsidP="001D3691">
            <w:pPr>
              <w:spacing w:line="240" w:lineRule="auto"/>
              <w:rPr>
                <w:bCs/>
                <w:sz w:val="10"/>
                <w:szCs w:val="10"/>
              </w:rPr>
            </w:pPr>
          </w:p>
          <w:p w14:paraId="164579B7" w14:textId="1481F846" w:rsidR="001D3691" w:rsidRPr="00505F6A" w:rsidRDefault="008F18A5" w:rsidP="001D3691">
            <w:pPr>
              <w:spacing w:line="240" w:lineRule="auto"/>
              <w:rPr>
                <w:bCs/>
              </w:rPr>
            </w:pPr>
            <w:r w:rsidRPr="00971956">
              <w:rPr>
                <w:bCs/>
                <w:noProof/>
                <w:highlight w:val="yellow"/>
              </w:rPr>
              <mc:AlternateContent>
                <mc:Choice Requires="wps">
                  <w:drawing>
                    <wp:anchor distT="0" distB="0" distL="114300" distR="114300" simplePos="0" relativeHeight="251667456" behindDoc="0" locked="0" layoutInCell="1" allowOverlap="1" wp14:anchorId="1BBFC560" wp14:editId="682C051C">
                      <wp:simplePos x="0" y="0"/>
                      <wp:positionH relativeFrom="column">
                        <wp:posOffset>5244465</wp:posOffset>
                      </wp:positionH>
                      <wp:positionV relativeFrom="paragraph">
                        <wp:posOffset>543560</wp:posOffset>
                      </wp:positionV>
                      <wp:extent cx="619125" cy="373380"/>
                      <wp:effectExtent l="38100" t="38100" r="123825" b="121920"/>
                      <wp:wrapNone/>
                      <wp:docPr id="1502266464" name="Ellipse 12">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ECF677" w14:textId="77777777" w:rsidR="00B20C99" w:rsidRDefault="00B20C99" w:rsidP="00B20C99">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FC560" id="Ellipse 12" o:spid="_x0000_s1029" href="#DEBUT" style="position:absolute;left:0;text-align:left;margin-left:412.95pt;margin-top:42.8pt;width:48.75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k2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QQ9TEm5Up9g8OixbHwVt+K6FYC+bDA3OwS6C2&#10;sB/DPXxKZaDfOLQ7JZVxP1/foR6MNrxQ0sBOyqn/sWFOUKK+ahh6gAr9wfWHVX/Qm/rawECksHEt&#10;j0cwcEH1x9KZ+hnW5Ry9wBPTHHxBQMH1wnVodyMsXC7m86gGi8qysNBLyxEc+cR2fNo9M2e7GQ4w&#10;/Hem31dv5rjVRUtt5ptgShmH/MBfxzQsudim3ULGLXosR63Db2P2CwAA//8DAFBLAwQUAAYACAAA&#10;ACEAY1dry+AAAAAKAQAADwAAAGRycy9kb3ducmV2LnhtbEyPwU7DMAyG70i8Q2Qkbiwl66qtNJ0m&#10;0A5oHGAgcc0a01ZrnNKkW+HpMSe42fKn399frCfXiRMOofWk4XaWgECqvG2p1vD2ur1ZggjRkDWd&#10;J9TwhQHW5eVFYXLrz/SCp32sBYdQyI2GJsY+lzJUDToTZr5H4tuHH5yJvA61tIM5c7jrpEqSTDrT&#10;En9oTI/3DVbH/eg0ZHb3qB5o3H2q4/fz06bt5vZ9q/X11bS5AxFxin8w/OqzOpTsdPAj2SA6DUu1&#10;WDHKwyIDwcBKzVMQBybTNAVZFvJ/hfIHAAD//wMAUEsBAi0AFAAGAAgAAAAhALaDOJL+AAAA4QEA&#10;ABMAAAAAAAAAAAAAAAAAAAAAAFtDb250ZW50X1R5cGVzXS54bWxQSwECLQAUAAYACAAAACEAOP0h&#10;/9YAAACUAQAACwAAAAAAAAAAAAAAAAAvAQAAX3JlbHMvLnJlbHNQSwECLQAUAAYACAAAACEA67UJ&#10;NvMCAAB+BgAADgAAAAAAAAAAAAAAAAAuAgAAZHJzL2Uyb0RvYy54bWxQSwECLQAUAAYACAAAACEA&#10;Y1dry+AAAAAKAQAADwAAAAAAAAAAAAAAAABNBQAAZHJzL2Rvd25yZXYueG1sUEsFBgAAAAAEAAQA&#10;8wAAAFoGAAAAAA==&#10;" o:button="t" fillcolor="#f2f2f2 [3052]" strokecolor="black [3213]" strokeweight="1pt">
                      <v:fill o:detectmouseclick="t"/>
                      <v:stroke joinstyle="miter"/>
                      <v:shadow on="t" color="black" opacity="26214f" origin="-.5,-.5" offset=".74836mm,.74836mm"/>
                      <v:path arrowok="t"/>
                      <v:textbox inset="0,0,0,0">
                        <w:txbxContent>
                          <w:p w14:paraId="37ECF677" w14:textId="77777777" w:rsidR="00B20C99" w:rsidRDefault="00B20C99" w:rsidP="00B20C99">
                            <w:pPr>
                              <w:jc w:val="center"/>
                              <w:rPr>
                                <w:color w:val="000000" w:themeColor="text1"/>
                                <w:sz w:val="16"/>
                                <w:szCs w:val="16"/>
                              </w:rPr>
                            </w:pPr>
                            <w:r>
                              <w:rPr>
                                <w:color w:val="000000" w:themeColor="text1"/>
                                <w:sz w:val="16"/>
                                <w:szCs w:val="16"/>
                              </w:rPr>
                              <w:t>Retour sommaire</w:t>
                            </w:r>
                          </w:p>
                        </w:txbxContent>
                      </v:textbox>
                    </v:oval>
                  </w:pict>
                </mc:Fallback>
              </mc:AlternateContent>
            </w:r>
            <w:r w:rsidR="001D3691" w:rsidRPr="00505F6A">
              <w:rPr>
                <w:bCs/>
              </w:rPr>
              <w:t xml:space="preserve">L’objectif de cette contribution est de fixer un </w:t>
            </w:r>
            <w:r w:rsidR="001D3691" w:rsidRPr="003360C5">
              <w:rPr>
                <w:b/>
              </w:rPr>
              <w:t>taux minimal d’imposition de 20% pour les contribuables aux plus hauts revenus</w:t>
            </w:r>
            <w:r w:rsidR="001D3691" w:rsidRPr="00505F6A">
              <w:rPr>
                <w:bCs/>
              </w:rPr>
              <w:t>. Assez technique dans la pratique, de nouvelles disposition</w:t>
            </w:r>
            <w:r w:rsidR="001D3691">
              <w:rPr>
                <w:bCs/>
              </w:rPr>
              <w:t>s</w:t>
            </w:r>
            <w:r w:rsidR="001D3691" w:rsidRPr="00505F6A">
              <w:rPr>
                <w:bCs/>
              </w:rPr>
              <w:t xml:space="preserve"> viennent préciser ou corriger certains éléments (prise en compte des revenus exceptionnels, changement de domicile fiscal, de situation familiale…)</w:t>
            </w:r>
          </w:p>
          <w:p w14:paraId="610C0A36" w14:textId="15024E49" w:rsidR="00B20C99" w:rsidRPr="00A42CA7" w:rsidRDefault="00B20C99" w:rsidP="002B528E">
            <w:pPr>
              <w:spacing w:line="240" w:lineRule="auto"/>
              <w:rPr>
                <w:bCs/>
              </w:rPr>
            </w:pPr>
          </w:p>
        </w:tc>
      </w:tr>
    </w:tbl>
    <w:p w14:paraId="55C1BA2C" w14:textId="77777777" w:rsidR="00A42CA7" w:rsidRPr="002B528E" w:rsidRDefault="00A42CA7" w:rsidP="00B20C99">
      <w:pPr>
        <w:spacing w:line="240" w:lineRule="auto"/>
        <w:rPr>
          <w:sz w:val="2"/>
          <w:szCs w:val="2"/>
        </w:rPr>
      </w:pPr>
      <w:r w:rsidRPr="002B528E">
        <w:rPr>
          <w:sz w:val="2"/>
          <w:szCs w:val="2"/>
        </w:rPr>
        <w:br w:type="page"/>
      </w:r>
    </w:p>
    <w:p w14:paraId="04100058" w14:textId="77777777" w:rsidR="00A42CA7" w:rsidRPr="00A42CA7" w:rsidRDefault="00A42CA7" w:rsidP="003E538D">
      <w:pPr>
        <w:pStyle w:val="Titre"/>
        <w:jc w:val="center"/>
      </w:pPr>
      <w:bookmarkStart w:id="4" w:name="Entreprises"/>
      <w:bookmarkEnd w:id="4"/>
      <w:r w:rsidRPr="00A42CA7">
        <w:lastRenderedPageBreak/>
        <w:t>Fiscalité des entreprises</w:t>
      </w:r>
    </w:p>
    <w:p w14:paraId="7C7555EC" w14:textId="77777777" w:rsidR="003E538D" w:rsidRDefault="003E538D" w:rsidP="00A42CA7">
      <w:pPr>
        <w:spacing w:line="240" w:lineRule="auto"/>
        <w:jc w:val="left"/>
        <w:rPr>
          <w:b/>
          <w:bCs/>
        </w:rPr>
      </w:pPr>
    </w:p>
    <w:p w14:paraId="74E9DD5F" w14:textId="2E96E1B5" w:rsidR="00A42CA7" w:rsidRPr="00A42CA7" w:rsidRDefault="00A42CA7" w:rsidP="00B20C9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bCs/>
        </w:rPr>
      </w:pPr>
      <w:r w:rsidRPr="00A42CA7">
        <w:rPr>
          <w:b/>
          <w:bCs/>
        </w:rPr>
        <w:t>Seuils et limites 202</w:t>
      </w:r>
      <w:r w:rsidR="00971956">
        <w:rPr>
          <w:b/>
          <w:bCs/>
        </w:rPr>
        <w:t>6</w:t>
      </w:r>
    </w:p>
    <w:p w14:paraId="4ADE8890" w14:textId="77777777" w:rsidR="00A42CA7" w:rsidRPr="00A42CA7" w:rsidRDefault="00A42CA7" w:rsidP="00A42CA7">
      <w:pPr>
        <w:spacing w:line="240" w:lineRule="auto"/>
        <w:jc w:val="left"/>
        <w:rPr>
          <w:b/>
        </w:rPr>
      </w:pPr>
    </w:p>
    <w:p w14:paraId="1C433C47" w14:textId="0CB21DCC" w:rsidR="00A42CA7" w:rsidRPr="00A42CA7" w:rsidRDefault="00A42CA7" w:rsidP="00A42CA7">
      <w:pPr>
        <w:spacing w:line="240" w:lineRule="auto"/>
        <w:jc w:val="left"/>
      </w:pPr>
      <w:r w:rsidRPr="00A42CA7">
        <w:t xml:space="preserve">Sauf exception, les seuils des régimes d’imposition des bénéfices dans les différentes catégories ainsi que ceux liés aux régimes de TVA ne sont actualisés qu’au terme d’une </w:t>
      </w:r>
      <w:r w:rsidRPr="00A42CA7">
        <w:rPr>
          <w:b/>
        </w:rPr>
        <w:t>période triennale (202</w:t>
      </w:r>
      <w:r w:rsidR="002A51B5">
        <w:rPr>
          <w:b/>
        </w:rPr>
        <w:t>6</w:t>
      </w:r>
      <w:r w:rsidRPr="00A42CA7">
        <w:rPr>
          <w:b/>
        </w:rPr>
        <w:t>-202</w:t>
      </w:r>
      <w:r w:rsidR="002A51B5">
        <w:rPr>
          <w:b/>
        </w:rPr>
        <w:t>8</w:t>
      </w:r>
      <w:r w:rsidRPr="00A42CA7">
        <w:rPr>
          <w:b/>
        </w:rPr>
        <w:t>)</w:t>
      </w:r>
      <w:r w:rsidRPr="00A42CA7">
        <w:t>.</w:t>
      </w:r>
    </w:p>
    <w:p w14:paraId="01586254" w14:textId="77777777" w:rsidR="00A42CA7" w:rsidRPr="00A42CA7" w:rsidRDefault="00A42CA7" w:rsidP="00A42CA7">
      <w:pPr>
        <w:spacing w:line="240" w:lineRule="auto"/>
        <w:jc w:val="left"/>
        <w:rPr>
          <w:b/>
        </w:rPr>
      </w:pPr>
    </w:p>
    <w:p w14:paraId="36C0E93D" w14:textId="77777777" w:rsidR="00A42CA7" w:rsidRPr="00A42CA7" w:rsidRDefault="00A42CA7" w:rsidP="00B20C99">
      <w:pPr>
        <w:spacing w:line="240" w:lineRule="auto"/>
        <w:jc w:val="center"/>
        <w:rPr>
          <w:b/>
        </w:rPr>
      </w:pPr>
      <w:r w:rsidRPr="00A42CA7">
        <w:rPr>
          <w:b/>
        </w:rPr>
        <w:t>Régimes d’imposition BIC Source BOFiP</w:t>
      </w:r>
    </w:p>
    <w:p w14:paraId="21C08FE5" w14:textId="77777777" w:rsidR="00A42CA7" w:rsidRPr="00B20C99" w:rsidRDefault="00A42CA7" w:rsidP="00A42CA7">
      <w:pPr>
        <w:spacing w:line="240" w:lineRule="auto"/>
        <w:jc w:val="left"/>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26"/>
        <w:gridCol w:w="3432"/>
        <w:gridCol w:w="1948"/>
      </w:tblGrid>
      <w:tr w:rsidR="00A42CA7" w:rsidRPr="00A42CA7" w14:paraId="59D79890" w14:textId="77777777" w:rsidTr="00B20C99">
        <w:trPr>
          <w:trHeight w:val="395"/>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FFD9F8" w14:textId="77777777" w:rsidR="00A42CA7" w:rsidRPr="00A42CA7" w:rsidRDefault="00A42CA7" w:rsidP="00B20C99">
            <w:pPr>
              <w:spacing w:line="240" w:lineRule="auto"/>
              <w:jc w:val="center"/>
              <w:rPr>
                <w:b/>
              </w:rPr>
            </w:pPr>
            <w:r w:rsidRPr="00A42CA7">
              <w:rPr>
                <w:b/>
              </w:rPr>
              <w:t>Activité</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59D03D" w14:textId="77777777" w:rsidR="00A42CA7" w:rsidRPr="00A42CA7" w:rsidRDefault="00A42CA7" w:rsidP="00B20C99">
            <w:pPr>
              <w:spacing w:line="240" w:lineRule="auto"/>
              <w:jc w:val="center"/>
              <w:rPr>
                <w:b/>
              </w:rPr>
            </w:pPr>
            <w:r w:rsidRPr="00A42CA7">
              <w:rPr>
                <w:b/>
              </w:rPr>
              <w:t>Micro-BIC</w:t>
            </w:r>
          </w:p>
        </w:tc>
        <w:tc>
          <w:tcPr>
            <w:tcW w:w="343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96A97F" w14:textId="77777777" w:rsidR="00A42CA7" w:rsidRPr="00A42CA7" w:rsidRDefault="00A42CA7" w:rsidP="00B20C99">
            <w:pPr>
              <w:spacing w:line="240" w:lineRule="auto"/>
              <w:jc w:val="center"/>
              <w:rPr>
                <w:b/>
              </w:rPr>
            </w:pPr>
            <w:r w:rsidRPr="00A42CA7">
              <w:rPr>
                <w:b/>
              </w:rPr>
              <w:t>Réel simplifié</w:t>
            </w:r>
          </w:p>
        </w:tc>
        <w:tc>
          <w:tcPr>
            <w:tcW w:w="19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F1585C" w14:textId="77777777" w:rsidR="00A42CA7" w:rsidRPr="00A42CA7" w:rsidRDefault="00A42CA7" w:rsidP="00B20C99">
            <w:pPr>
              <w:spacing w:line="240" w:lineRule="auto"/>
              <w:jc w:val="center"/>
              <w:rPr>
                <w:b/>
              </w:rPr>
            </w:pPr>
            <w:r w:rsidRPr="00A42CA7">
              <w:rPr>
                <w:b/>
              </w:rPr>
              <w:t>Réel normal</w:t>
            </w:r>
          </w:p>
        </w:tc>
      </w:tr>
      <w:tr w:rsidR="00A42CA7" w:rsidRPr="00A42CA7" w14:paraId="3C247D67" w14:textId="77777777" w:rsidTr="00B20C99">
        <w:trPr>
          <w:trHeight w:val="65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F04AFAB" w14:textId="77777777" w:rsidR="00A42CA7" w:rsidRPr="00B20C99" w:rsidRDefault="00A42CA7" w:rsidP="00B20C99">
            <w:pPr>
              <w:spacing w:line="240" w:lineRule="auto"/>
              <w:jc w:val="center"/>
              <w:rPr>
                <w:sz w:val="22"/>
              </w:rPr>
            </w:pPr>
            <w:r w:rsidRPr="00B20C99">
              <w:rPr>
                <w:sz w:val="22"/>
              </w:rPr>
              <w:t>Ventes et fourniture de logement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D4076B" w14:textId="40D52B2A" w:rsidR="00A42CA7" w:rsidRPr="00B20C99" w:rsidRDefault="00A42CA7" w:rsidP="00B20C99">
            <w:pPr>
              <w:spacing w:line="240" w:lineRule="auto"/>
              <w:jc w:val="center"/>
              <w:rPr>
                <w:sz w:val="22"/>
              </w:rPr>
            </w:pPr>
            <w:r w:rsidRPr="00B20C99">
              <w:rPr>
                <w:sz w:val="22"/>
              </w:rPr>
              <w:t xml:space="preserve">CAHT ≤ </w:t>
            </w:r>
            <w:r w:rsidR="002A51B5">
              <w:rPr>
                <w:sz w:val="22"/>
              </w:rPr>
              <w:t>203 100</w:t>
            </w:r>
            <w:r w:rsidRPr="00B20C99">
              <w:rPr>
                <w:sz w:val="22"/>
              </w:rPr>
              <w:t> €</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E2D549C" w14:textId="2681C931" w:rsidR="00A42CA7" w:rsidRPr="00B20C99" w:rsidRDefault="002A51B5" w:rsidP="00B20C99">
            <w:pPr>
              <w:spacing w:line="240" w:lineRule="auto"/>
              <w:jc w:val="center"/>
              <w:rPr>
                <w:sz w:val="22"/>
              </w:rPr>
            </w:pPr>
            <w:r>
              <w:rPr>
                <w:sz w:val="22"/>
              </w:rPr>
              <w:t>203 100</w:t>
            </w:r>
            <w:r w:rsidR="00A42CA7" w:rsidRPr="00B20C99">
              <w:rPr>
                <w:sz w:val="22"/>
              </w:rPr>
              <w:t xml:space="preserve"> € &lt; CAHT ≤ </w:t>
            </w:r>
            <w:r>
              <w:rPr>
                <w:sz w:val="22"/>
              </w:rPr>
              <w:t>945</w:t>
            </w:r>
            <w:r w:rsidR="00A42CA7" w:rsidRPr="00B20C99">
              <w:rPr>
                <w:sz w:val="22"/>
              </w:rPr>
              <w:t>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1C13BC1E" w14:textId="0339556B" w:rsidR="00A42CA7" w:rsidRPr="00B20C99" w:rsidRDefault="00A42CA7" w:rsidP="00B20C99">
            <w:pPr>
              <w:spacing w:line="240" w:lineRule="auto"/>
              <w:jc w:val="center"/>
              <w:rPr>
                <w:sz w:val="22"/>
              </w:rPr>
            </w:pPr>
            <w:r w:rsidRPr="00B20C99">
              <w:rPr>
                <w:sz w:val="22"/>
              </w:rPr>
              <w:t xml:space="preserve">CAHT &gt; </w:t>
            </w:r>
            <w:r w:rsidR="002A51B5">
              <w:rPr>
                <w:sz w:val="22"/>
              </w:rPr>
              <w:t>945</w:t>
            </w:r>
            <w:r w:rsidRPr="00B20C99">
              <w:rPr>
                <w:sz w:val="22"/>
              </w:rPr>
              <w:t> 000 €</w:t>
            </w:r>
          </w:p>
        </w:tc>
      </w:tr>
      <w:tr w:rsidR="00A42CA7" w:rsidRPr="00A42CA7" w14:paraId="70020E18" w14:textId="77777777" w:rsidTr="00B20C99">
        <w:trPr>
          <w:trHeight w:val="65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EEB9C3A" w14:textId="77777777" w:rsidR="00A42CA7" w:rsidRPr="00B20C99" w:rsidRDefault="00A42CA7" w:rsidP="00B20C99">
            <w:pPr>
              <w:spacing w:line="240" w:lineRule="auto"/>
              <w:jc w:val="center"/>
              <w:rPr>
                <w:sz w:val="22"/>
              </w:rPr>
            </w:pPr>
            <w:r w:rsidRPr="00B20C99">
              <w:rPr>
                <w:sz w:val="22"/>
              </w:rPr>
              <w:t>Prestations de services et locations meublées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D545AC" w14:textId="5F88CF01" w:rsidR="00A42CA7" w:rsidRPr="00B20C99" w:rsidRDefault="00A42CA7" w:rsidP="00B20C99">
            <w:pPr>
              <w:spacing w:line="240" w:lineRule="auto"/>
              <w:jc w:val="center"/>
              <w:rPr>
                <w:sz w:val="22"/>
              </w:rPr>
            </w:pPr>
            <w:r w:rsidRPr="00B20C99">
              <w:rPr>
                <w:sz w:val="22"/>
              </w:rPr>
              <w:t xml:space="preserve">CAHT ≤ </w:t>
            </w:r>
            <w:r w:rsidR="002A51B5">
              <w:rPr>
                <w:sz w:val="22"/>
              </w:rPr>
              <w:t>83 600</w:t>
            </w:r>
            <w:r w:rsidRPr="00B20C99">
              <w:rPr>
                <w:sz w:val="22"/>
              </w:rPr>
              <w:t> €</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3DEA0D8" w14:textId="77F39DAD" w:rsidR="00A42CA7" w:rsidRPr="00B20C99" w:rsidRDefault="002A51B5" w:rsidP="00B20C99">
            <w:pPr>
              <w:spacing w:line="240" w:lineRule="auto"/>
              <w:jc w:val="center"/>
              <w:rPr>
                <w:sz w:val="22"/>
              </w:rPr>
            </w:pPr>
            <w:r>
              <w:rPr>
                <w:sz w:val="22"/>
              </w:rPr>
              <w:t>83 600</w:t>
            </w:r>
            <w:r w:rsidR="00A42CA7" w:rsidRPr="00B20C99">
              <w:rPr>
                <w:sz w:val="22"/>
              </w:rPr>
              <w:t xml:space="preserve"> € &lt; CAHT ≤ 2</w:t>
            </w:r>
            <w:r>
              <w:rPr>
                <w:sz w:val="22"/>
              </w:rPr>
              <w:t>86</w:t>
            </w:r>
            <w:r w:rsidR="00A42CA7" w:rsidRPr="00B20C99">
              <w:rPr>
                <w:sz w:val="22"/>
              </w:rPr>
              <w:t>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0ECD2B47" w14:textId="431E6932" w:rsidR="00A42CA7" w:rsidRPr="00B20C99" w:rsidRDefault="00A42CA7" w:rsidP="00B20C99">
            <w:pPr>
              <w:spacing w:line="240" w:lineRule="auto"/>
              <w:jc w:val="center"/>
              <w:rPr>
                <w:sz w:val="22"/>
              </w:rPr>
            </w:pPr>
            <w:r w:rsidRPr="00B20C99">
              <w:rPr>
                <w:sz w:val="22"/>
              </w:rPr>
              <w:t>CAHT &gt; 2</w:t>
            </w:r>
            <w:r w:rsidR="002A51B5">
              <w:rPr>
                <w:sz w:val="22"/>
              </w:rPr>
              <w:t>86</w:t>
            </w:r>
            <w:r w:rsidRPr="00B20C99">
              <w:rPr>
                <w:sz w:val="22"/>
              </w:rPr>
              <w:t> 000 €</w:t>
            </w:r>
          </w:p>
        </w:tc>
      </w:tr>
    </w:tbl>
    <w:p w14:paraId="19E39D9E" w14:textId="77777777" w:rsidR="00A42CA7" w:rsidRPr="00A42CA7" w:rsidRDefault="00A42CA7" w:rsidP="00A42CA7">
      <w:pPr>
        <w:spacing w:line="240" w:lineRule="auto"/>
        <w:jc w:val="left"/>
        <w:rPr>
          <w:b/>
        </w:rPr>
      </w:pPr>
    </w:p>
    <w:p w14:paraId="5E47936D" w14:textId="77777777" w:rsidR="00A42CA7" w:rsidRPr="00A42CA7" w:rsidRDefault="00A42CA7" w:rsidP="00B20C99">
      <w:pPr>
        <w:spacing w:line="240" w:lineRule="auto"/>
        <w:jc w:val="center"/>
        <w:rPr>
          <w:b/>
        </w:rPr>
      </w:pPr>
      <w:r w:rsidRPr="00A42CA7">
        <w:rPr>
          <w:b/>
        </w:rPr>
        <w:t>Régimes d’imposition BNC Source BOFiP</w:t>
      </w:r>
    </w:p>
    <w:p w14:paraId="56F4BB21" w14:textId="77777777" w:rsidR="00A42CA7" w:rsidRPr="00B20C99" w:rsidRDefault="00A42CA7" w:rsidP="00A42CA7">
      <w:pPr>
        <w:spacing w:line="240" w:lineRule="auto"/>
        <w:jc w:val="left"/>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334"/>
        <w:gridCol w:w="2334"/>
      </w:tblGrid>
      <w:tr w:rsidR="00A42CA7" w:rsidRPr="00A42CA7" w14:paraId="3A0B8B8C" w14:textId="77777777" w:rsidTr="00A42CA7">
        <w:trPr>
          <w:trHeight w:val="337"/>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5BBD61B" w14:textId="77777777" w:rsidR="00A42CA7" w:rsidRPr="00A42CA7" w:rsidRDefault="00A42CA7" w:rsidP="00B20C99">
            <w:pPr>
              <w:spacing w:line="240" w:lineRule="auto"/>
              <w:jc w:val="center"/>
              <w:rPr>
                <w:b/>
              </w:rPr>
            </w:pPr>
            <w:r w:rsidRPr="00A42CA7">
              <w:rPr>
                <w:b/>
              </w:rPr>
              <w:t>Activité</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211799E" w14:textId="77777777" w:rsidR="00A42CA7" w:rsidRPr="00A42CA7" w:rsidRDefault="00A42CA7" w:rsidP="00B20C99">
            <w:pPr>
              <w:spacing w:line="240" w:lineRule="auto"/>
              <w:jc w:val="center"/>
              <w:rPr>
                <w:b/>
              </w:rPr>
            </w:pPr>
            <w:r w:rsidRPr="00A42CA7">
              <w:rPr>
                <w:b/>
              </w:rPr>
              <w:t>Micro-BNC</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43735187" w14:textId="77777777" w:rsidR="00A42CA7" w:rsidRPr="00A42CA7" w:rsidRDefault="00A42CA7" w:rsidP="00B20C99">
            <w:pPr>
              <w:spacing w:line="240" w:lineRule="auto"/>
              <w:jc w:val="center"/>
              <w:rPr>
                <w:b/>
              </w:rPr>
            </w:pPr>
            <w:r w:rsidRPr="00A42CA7">
              <w:rPr>
                <w:b/>
              </w:rPr>
              <w:t>Déclaration contrôlée</w:t>
            </w:r>
          </w:p>
        </w:tc>
      </w:tr>
      <w:tr w:rsidR="00A42CA7" w:rsidRPr="00A42CA7" w14:paraId="5947CCCE" w14:textId="77777777" w:rsidTr="00B20C99">
        <w:trPr>
          <w:trHeight w:val="50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55C17" w14:textId="77777777" w:rsidR="00A42CA7" w:rsidRPr="00B20C99" w:rsidRDefault="00A42CA7" w:rsidP="00B20C99">
            <w:pPr>
              <w:spacing w:line="240" w:lineRule="auto"/>
              <w:jc w:val="center"/>
              <w:rPr>
                <w:sz w:val="22"/>
              </w:rPr>
            </w:pPr>
            <w:r w:rsidRPr="00B20C99">
              <w:rPr>
                <w:sz w:val="22"/>
              </w:rPr>
              <w:t>Professions libérales et autres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ABD37" w14:textId="3162D4E3" w:rsidR="00A42CA7" w:rsidRPr="00B20C99" w:rsidRDefault="00A42CA7" w:rsidP="00B20C99">
            <w:pPr>
              <w:spacing w:line="240" w:lineRule="auto"/>
              <w:jc w:val="center"/>
              <w:rPr>
                <w:sz w:val="22"/>
              </w:rPr>
            </w:pPr>
            <w:r w:rsidRPr="00B20C99">
              <w:rPr>
                <w:sz w:val="22"/>
              </w:rPr>
              <w:t xml:space="preserve">Recettes HT ≤ </w:t>
            </w:r>
            <w:r w:rsidR="002A51B5">
              <w:rPr>
                <w:sz w:val="22"/>
              </w:rPr>
              <w:t>83 600</w:t>
            </w:r>
            <w:r w:rsidRPr="00B20C99">
              <w:rPr>
                <w:sz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9BF2C" w14:textId="1E620579" w:rsidR="00A42CA7" w:rsidRPr="00B20C99" w:rsidRDefault="00A42CA7" w:rsidP="00B20C99">
            <w:pPr>
              <w:spacing w:line="240" w:lineRule="auto"/>
              <w:jc w:val="center"/>
              <w:rPr>
                <w:sz w:val="22"/>
              </w:rPr>
            </w:pPr>
            <w:r w:rsidRPr="00B20C99">
              <w:rPr>
                <w:sz w:val="22"/>
              </w:rPr>
              <w:t xml:space="preserve">Recettes HT &gt; </w:t>
            </w:r>
            <w:r w:rsidR="002A51B5">
              <w:rPr>
                <w:sz w:val="22"/>
              </w:rPr>
              <w:t>83 600</w:t>
            </w:r>
            <w:r w:rsidRPr="00B20C99">
              <w:rPr>
                <w:sz w:val="22"/>
              </w:rPr>
              <w:t xml:space="preserve"> €</w:t>
            </w:r>
          </w:p>
        </w:tc>
      </w:tr>
    </w:tbl>
    <w:p w14:paraId="3288E22A" w14:textId="77777777" w:rsidR="00A42CA7" w:rsidRPr="00A42CA7" w:rsidRDefault="00A42CA7" w:rsidP="00A42CA7">
      <w:pPr>
        <w:spacing w:line="240" w:lineRule="auto"/>
        <w:jc w:val="left"/>
        <w:rPr>
          <w:b/>
        </w:rPr>
      </w:pPr>
    </w:p>
    <w:p w14:paraId="1FDCB607" w14:textId="77777777" w:rsidR="00A42CA7" w:rsidRPr="00A42CA7" w:rsidRDefault="00A42CA7" w:rsidP="00B20C99">
      <w:pPr>
        <w:spacing w:line="240" w:lineRule="auto"/>
        <w:jc w:val="center"/>
        <w:rPr>
          <w:b/>
        </w:rPr>
      </w:pPr>
      <w:r w:rsidRPr="00A42CA7">
        <w:rPr>
          <w:b/>
        </w:rPr>
        <w:t>Régimes d’imposition BA Source BOFiP</w:t>
      </w:r>
    </w:p>
    <w:p w14:paraId="713FEF79" w14:textId="77777777" w:rsidR="00A42CA7" w:rsidRPr="00B20C99" w:rsidRDefault="00A42CA7" w:rsidP="00A42CA7">
      <w:pPr>
        <w:spacing w:line="240" w:lineRule="auto"/>
        <w:jc w:val="left"/>
        <w:rPr>
          <w:b/>
          <w:sz w:val="10"/>
          <w:szCs w:val="1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587"/>
        <w:gridCol w:w="3565"/>
        <w:gridCol w:w="2408"/>
      </w:tblGrid>
      <w:tr w:rsidR="00A42CA7" w:rsidRPr="00A42CA7" w14:paraId="00908218" w14:textId="77777777" w:rsidTr="00DB051A">
        <w:trPr>
          <w:trHeight w:val="430"/>
        </w:trPr>
        <w:tc>
          <w:tcPr>
            <w:tcW w:w="74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B4F067" w14:textId="77777777" w:rsidR="00A42CA7" w:rsidRPr="00A42CA7" w:rsidRDefault="00A42CA7" w:rsidP="00B20C99">
            <w:pPr>
              <w:spacing w:line="240" w:lineRule="auto"/>
              <w:jc w:val="center"/>
              <w:rPr>
                <w:b/>
              </w:rPr>
            </w:pPr>
            <w:r w:rsidRPr="00A42CA7">
              <w:rPr>
                <w:b/>
              </w:rPr>
              <w:t>Activité</w:t>
            </w:r>
          </w:p>
        </w:tc>
        <w:tc>
          <w:tcPr>
            <w:tcW w:w="12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7758D1" w14:textId="77777777" w:rsidR="00A42CA7" w:rsidRPr="00A42CA7" w:rsidRDefault="00A42CA7" w:rsidP="00B20C99">
            <w:pPr>
              <w:spacing w:line="240" w:lineRule="auto"/>
              <w:jc w:val="center"/>
              <w:rPr>
                <w:b/>
              </w:rPr>
            </w:pPr>
            <w:r w:rsidRPr="00A42CA7">
              <w:rPr>
                <w:b/>
              </w:rPr>
              <w:t>Micro-BA</w:t>
            </w:r>
          </w:p>
        </w:tc>
        <w:tc>
          <w:tcPr>
            <w:tcW w:w="177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9702A5" w14:textId="77777777" w:rsidR="00A42CA7" w:rsidRPr="00A42CA7" w:rsidRDefault="00A42CA7" w:rsidP="00B20C99">
            <w:pPr>
              <w:spacing w:line="240" w:lineRule="auto"/>
              <w:jc w:val="center"/>
              <w:rPr>
                <w:b/>
              </w:rPr>
            </w:pPr>
            <w:r w:rsidRPr="00A42CA7">
              <w:rPr>
                <w:b/>
              </w:rPr>
              <w:t>Réel simplifié</w:t>
            </w:r>
          </w:p>
        </w:tc>
        <w:tc>
          <w:tcPr>
            <w:tcW w:w="119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4D610A" w14:textId="77777777" w:rsidR="00A42CA7" w:rsidRPr="00A42CA7" w:rsidRDefault="00A42CA7" w:rsidP="00B20C99">
            <w:pPr>
              <w:spacing w:line="240" w:lineRule="auto"/>
              <w:jc w:val="center"/>
              <w:rPr>
                <w:b/>
              </w:rPr>
            </w:pPr>
            <w:r w:rsidRPr="00A42CA7">
              <w:rPr>
                <w:b/>
              </w:rPr>
              <w:t>Réel normal</w:t>
            </w:r>
          </w:p>
        </w:tc>
      </w:tr>
      <w:tr w:rsidR="00A42CA7" w:rsidRPr="00A42CA7" w14:paraId="0C6731B1" w14:textId="77777777" w:rsidTr="00DB051A">
        <w:trPr>
          <w:trHeight w:val="702"/>
        </w:trPr>
        <w:tc>
          <w:tcPr>
            <w:tcW w:w="745" w:type="pct"/>
            <w:tcBorders>
              <w:top w:val="single" w:sz="4" w:space="0" w:color="auto"/>
              <w:left w:val="single" w:sz="4" w:space="0" w:color="auto"/>
              <w:bottom w:val="single" w:sz="4" w:space="0" w:color="auto"/>
              <w:right w:val="single" w:sz="4" w:space="0" w:color="auto"/>
            </w:tcBorders>
            <w:vAlign w:val="center"/>
            <w:hideMark/>
          </w:tcPr>
          <w:p w14:paraId="42DB94CE" w14:textId="77777777" w:rsidR="00A42CA7" w:rsidRPr="00B20C99" w:rsidRDefault="00A42CA7" w:rsidP="00B20C99">
            <w:pPr>
              <w:spacing w:line="240" w:lineRule="auto"/>
              <w:jc w:val="center"/>
              <w:rPr>
                <w:sz w:val="22"/>
              </w:rPr>
            </w:pPr>
            <w:r w:rsidRPr="00B20C99">
              <w:rPr>
                <w:sz w:val="22"/>
              </w:rPr>
              <w:t>Activités agricoles</w:t>
            </w:r>
          </w:p>
        </w:tc>
        <w:tc>
          <w:tcPr>
            <w:tcW w:w="1286" w:type="pct"/>
            <w:tcBorders>
              <w:top w:val="single" w:sz="4" w:space="0" w:color="auto"/>
              <w:left w:val="single" w:sz="4" w:space="0" w:color="auto"/>
              <w:bottom w:val="single" w:sz="4" w:space="0" w:color="auto"/>
              <w:right w:val="single" w:sz="4" w:space="0" w:color="auto"/>
            </w:tcBorders>
            <w:vAlign w:val="center"/>
            <w:hideMark/>
          </w:tcPr>
          <w:p w14:paraId="7CE8849D" w14:textId="557D0E1D" w:rsidR="00A42CA7" w:rsidRPr="00B20C99" w:rsidRDefault="00A42CA7" w:rsidP="00B20C99">
            <w:pPr>
              <w:spacing w:line="240" w:lineRule="auto"/>
              <w:jc w:val="center"/>
              <w:rPr>
                <w:sz w:val="22"/>
              </w:rPr>
            </w:pPr>
            <w:r w:rsidRPr="00B20C99">
              <w:rPr>
                <w:sz w:val="22"/>
              </w:rPr>
              <w:t xml:space="preserve">CAHT </w:t>
            </w:r>
            <w:r w:rsidRPr="00B20C99">
              <w:rPr>
                <w:i/>
                <w:iCs/>
                <w:sz w:val="22"/>
                <w:vertAlign w:val="superscript"/>
              </w:rPr>
              <w:t xml:space="preserve">(1) </w:t>
            </w:r>
            <w:r w:rsidRPr="00B20C99">
              <w:rPr>
                <w:sz w:val="22"/>
              </w:rPr>
              <w:t xml:space="preserve">≤ </w:t>
            </w:r>
            <w:r w:rsidR="002A51B5">
              <w:rPr>
                <w:sz w:val="22"/>
              </w:rPr>
              <w:t>129 200</w:t>
            </w:r>
            <w:r w:rsidRPr="00B20C99">
              <w:rPr>
                <w:sz w:val="22"/>
              </w:rPr>
              <w:t xml:space="preserve"> €</w:t>
            </w:r>
          </w:p>
        </w:tc>
        <w:tc>
          <w:tcPr>
            <w:tcW w:w="1772" w:type="pct"/>
            <w:tcBorders>
              <w:top w:val="single" w:sz="4" w:space="0" w:color="auto"/>
              <w:left w:val="single" w:sz="4" w:space="0" w:color="auto"/>
              <w:bottom w:val="single" w:sz="4" w:space="0" w:color="auto"/>
              <w:right w:val="single" w:sz="4" w:space="0" w:color="auto"/>
            </w:tcBorders>
            <w:vAlign w:val="center"/>
            <w:hideMark/>
          </w:tcPr>
          <w:p w14:paraId="7F348845" w14:textId="009D93D3" w:rsidR="00A42CA7" w:rsidRPr="00B20C99" w:rsidRDefault="002A51B5" w:rsidP="00B20C99">
            <w:pPr>
              <w:spacing w:line="240" w:lineRule="auto"/>
              <w:jc w:val="center"/>
              <w:rPr>
                <w:sz w:val="22"/>
              </w:rPr>
            </w:pPr>
            <w:r>
              <w:rPr>
                <w:sz w:val="22"/>
              </w:rPr>
              <w:t>129 200</w:t>
            </w:r>
            <w:r w:rsidR="00A42CA7" w:rsidRPr="00B20C99">
              <w:rPr>
                <w:sz w:val="22"/>
              </w:rPr>
              <w:t xml:space="preserve"> € &lt; </w:t>
            </w:r>
            <w:r w:rsidR="00A42CA7" w:rsidRPr="00B20C99">
              <w:rPr>
                <w:i/>
                <w:iCs/>
                <w:sz w:val="22"/>
              </w:rPr>
              <w:t xml:space="preserve">CAHT </w:t>
            </w:r>
            <w:r w:rsidR="00A42CA7" w:rsidRPr="00B20C99">
              <w:rPr>
                <w:i/>
                <w:iCs/>
                <w:sz w:val="22"/>
                <w:vertAlign w:val="superscript"/>
              </w:rPr>
              <w:t>(1)</w:t>
            </w:r>
            <w:r w:rsidR="00A42CA7" w:rsidRPr="00B20C99">
              <w:rPr>
                <w:i/>
                <w:iCs/>
                <w:sz w:val="22"/>
              </w:rPr>
              <w:t xml:space="preserve"> </w:t>
            </w:r>
            <w:r w:rsidR="00A42CA7" w:rsidRPr="00B20C99">
              <w:rPr>
                <w:sz w:val="22"/>
              </w:rPr>
              <w:t xml:space="preserve">≤ </w:t>
            </w:r>
            <w:r>
              <w:rPr>
                <w:sz w:val="22"/>
              </w:rPr>
              <w:t>421</w:t>
            </w:r>
            <w:r w:rsidR="00A42CA7" w:rsidRPr="00B20C99">
              <w:rPr>
                <w:sz w:val="22"/>
              </w:rPr>
              <w:t> 000 €</w:t>
            </w:r>
          </w:p>
        </w:tc>
        <w:tc>
          <w:tcPr>
            <w:tcW w:w="1197" w:type="pct"/>
            <w:tcBorders>
              <w:top w:val="single" w:sz="4" w:space="0" w:color="auto"/>
              <w:left w:val="single" w:sz="4" w:space="0" w:color="auto"/>
              <w:bottom w:val="single" w:sz="4" w:space="0" w:color="auto"/>
              <w:right w:val="single" w:sz="4" w:space="0" w:color="auto"/>
            </w:tcBorders>
            <w:vAlign w:val="center"/>
            <w:hideMark/>
          </w:tcPr>
          <w:p w14:paraId="1D5CCE68" w14:textId="715522DB" w:rsidR="00A42CA7" w:rsidRPr="00B20C99" w:rsidRDefault="00A42CA7" w:rsidP="00B20C99">
            <w:pPr>
              <w:spacing w:line="240" w:lineRule="auto"/>
              <w:jc w:val="center"/>
              <w:rPr>
                <w:sz w:val="22"/>
              </w:rPr>
            </w:pPr>
            <w:r w:rsidRPr="00B20C99">
              <w:rPr>
                <w:sz w:val="22"/>
              </w:rPr>
              <w:t xml:space="preserve">CAHT </w:t>
            </w:r>
            <w:r w:rsidRPr="00B20C99">
              <w:rPr>
                <w:i/>
                <w:iCs/>
                <w:sz w:val="22"/>
                <w:vertAlign w:val="superscript"/>
              </w:rPr>
              <w:t>(1)</w:t>
            </w:r>
            <w:r w:rsidRPr="00B20C99">
              <w:rPr>
                <w:sz w:val="22"/>
              </w:rPr>
              <w:t xml:space="preserve"> &gt; </w:t>
            </w:r>
            <w:r w:rsidR="002A51B5">
              <w:rPr>
                <w:sz w:val="22"/>
              </w:rPr>
              <w:t>42</w:t>
            </w:r>
            <w:r w:rsidRPr="00B20C99">
              <w:rPr>
                <w:sz w:val="22"/>
              </w:rPr>
              <w:t>1 000 €</w:t>
            </w:r>
          </w:p>
        </w:tc>
      </w:tr>
    </w:tbl>
    <w:p w14:paraId="6DEA18D5" w14:textId="77777777" w:rsidR="00A42CA7" w:rsidRPr="00B20C99" w:rsidRDefault="00A42CA7" w:rsidP="00A42CA7">
      <w:pPr>
        <w:spacing w:line="240" w:lineRule="auto"/>
        <w:jc w:val="left"/>
        <w:rPr>
          <w:i/>
          <w:sz w:val="10"/>
          <w:szCs w:val="10"/>
        </w:rPr>
      </w:pPr>
    </w:p>
    <w:p w14:paraId="48C792CC" w14:textId="77777777" w:rsidR="00A42CA7" w:rsidRPr="00A42CA7" w:rsidRDefault="00A42CA7" w:rsidP="00A42CA7">
      <w:pPr>
        <w:numPr>
          <w:ilvl w:val="0"/>
          <w:numId w:val="23"/>
        </w:numPr>
        <w:spacing w:line="240" w:lineRule="auto"/>
        <w:jc w:val="left"/>
        <w:rPr>
          <w:i/>
        </w:rPr>
      </w:pPr>
      <w:r w:rsidRPr="00A42CA7">
        <w:rPr>
          <w:i/>
        </w:rPr>
        <w:t>CAHT = moyenne des recettes HT des 3 années précédentes</w:t>
      </w:r>
    </w:p>
    <w:p w14:paraId="2B5779D9" w14:textId="77777777" w:rsidR="00A42CA7" w:rsidRDefault="00A42CA7" w:rsidP="00A42CA7">
      <w:pPr>
        <w:spacing w:line="240" w:lineRule="auto"/>
        <w:jc w:val="left"/>
      </w:pPr>
    </w:p>
    <w:p w14:paraId="18625078" w14:textId="77777777" w:rsidR="00B20C99" w:rsidRPr="00A42CA7" w:rsidRDefault="00B20C99" w:rsidP="00A42CA7">
      <w:pPr>
        <w:spacing w:line="240" w:lineRule="auto"/>
        <w:jc w:val="left"/>
      </w:pPr>
    </w:p>
    <w:p w14:paraId="0BBC1E47" w14:textId="61FA88E8" w:rsidR="00A42CA7" w:rsidRPr="00A42CA7" w:rsidRDefault="00A42CA7" w:rsidP="00B20C99">
      <w:pPr>
        <w:spacing w:line="240" w:lineRule="auto"/>
        <w:jc w:val="center"/>
        <w:rPr>
          <w:b/>
        </w:rPr>
      </w:pPr>
      <w:r w:rsidRPr="00A42CA7">
        <w:rPr>
          <w:b/>
        </w:rPr>
        <w:t>Régimes d’imposition TVA Source BOFiP</w:t>
      </w:r>
      <w:r w:rsidR="00C3450D">
        <w:rPr>
          <w:b/>
        </w:rPr>
        <w:t xml:space="preserve"> 2026</w:t>
      </w:r>
    </w:p>
    <w:p w14:paraId="4AE2321B" w14:textId="77777777" w:rsidR="00A42CA7" w:rsidRPr="00B20C99" w:rsidRDefault="00A42CA7" w:rsidP="00A42CA7">
      <w:pPr>
        <w:spacing w:line="240" w:lineRule="auto"/>
        <w:jc w:val="left"/>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574"/>
        <w:gridCol w:w="1948"/>
      </w:tblGrid>
      <w:tr w:rsidR="00A42CA7" w:rsidRPr="00A42CA7" w14:paraId="5C2E68D3" w14:textId="77777777" w:rsidTr="00B20C99">
        <w:trPr>
          <w:trHeight w:val="431"/>
          <w:jc w:val="center"/>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A90502" w14:textId="77777777" w:rsidR="00A42CA7" w:rsidRPr="00A42CA7" w:rsidRDefault="00A42CA7" w:rsidP="00B20C99">
            <w:pPr>
              <w:spacing w:line="240" w:lineRule="auto"/>
              <w:jc w:val="center"/>
              <w:rPr>
                <w:b/>
              </w:rPr>
            </w:pPr>
            <w:r w:rsidRPr="00A42CA7">
              <w:rPr>
                <w:b/>
              </w:rPr>
              <w:t>Activité</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31F758" w14:textId="05A027CB" w:rsidR="00A42CA7" w:rsidRPr="00A42CA7" w:rsidRDefault="00A42CA7" w:rsidP="00B20C99">
            <w:pPr>
              <w:spacing w:line="240" w:lineRule="auto"/>
              <w:jc w:val="center"/>
              <w:rPr>
                <w:b/>
              </w:rPr>
            </w:pPr>
            <w:r w:rsidRPr="00A42CA7">
              <w:rPr>
                <w:b/>
              </w:rPr>
              <w:t>Franchise</w:t>
            </w:r>
            <w:r w:rsidR="002A51B5">
              <w:rPr>
                <w:b/>
              </w:rPr>
              <w:t xml:space="preserve"> </w:t>
            </w:r>
            <w:r w:rsidR="002A51B5" w:rsidRPr="00B20C99">
              <w:rPr>
                <w:i/>
                <w:iCs/>
                <w:sz w:val="22"/>
                <w:vertAlign w:val="superscript"/>
              </w:rPr>
              <w:t>(1)</w:t>
            </w:r>
          </w:p>
        </w:tc>
        <w:tc>
          <w:tcPr>
            <w:tcW w:w="357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EAA7BC" w14:textId="77777777" w:rsidR="00A42CA7" w:rsidRPr="00A42CA7" w:rsidRDefault="00A42CA7" w:rsidP="00B20C99">
            <w:pPr>
              <w:spacing w:line="240" w:lineRule="auto"/>
              <w:jc w:val="center"/>
              <w:rPr>
                <w:b/>
              </w:rPr>
            </w:pPr>
            <w:r w:rsidRPr="00A42CA7">
              <w:rPr>
                <w:b/>
              </w:rPr>
              <w:t xml:space="preserve">Réel simplifié de déclaration </w:t>
            </w:r>
            <w:r w:rsidRPr="00A42CA7">
              <w:rPr>
                <w:i/>
                <w:iCs/>
                <w:vertAlign w:val="superscript"/>
              </w:rPr>
              <w:t>(2)</w:t>
            </w:r>
          </w:p>
        </w:tc>
        <w:tc>
          <w:tcPr>
            <w:tcW w:w="19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31BD0D" w14:textId="77777777" w:rsidR="00A42CA7" w:rsidRPr="00A42CA7" w:rsidRDefault="00A42CA7" w:rsidP="00B20C99">
            <w:pPr>
              <w:spacing w:line="240" w:lineRule="auto"/>
              <w:jc w:val="center"/>
              <w:rPr>
                <w:b/>
              </w:rPr>
            </w:pPr>
            <w:r w:rsidRPr="00A42CA7">
              <w:rPr>
                <w:b/>
              </w:rPr>
              <w:t>Réel normal</w:t>
            </w:r>
          </w:p>
        </w:tc>
      </w:tr>
      <w:tr w:rsidR="00A42CA7" w:rsidRPr="00A42CA7" w14:paraId="24F2871D" w14:textId="77777777" w:rsidTr="00B20C99">
        <w:trPr>
          <w:trHeight w:val="67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B783CF7" w14:textId="77777777" w:rsidR="00A42CA7" w:rsidRPr="00B20C99" w:rsidRDefault="00A42CA7" w:rsidP="00B20C99">
            <w:pPr>
              <w:spacing w:line="240" w:lineRule="auto"/>
              <w:jc w:val="center"/>
              <w:rPr>
                <w:sz w:val="22"/>
              </w:rPr>
            </w:pPr>
            <w:r w:rsidRPr="00B20C99">
              <w:rPr>
                <w:sz w:val="22"/>
              </w:rPr>
              <w:t>Ventes et fourniture de logement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7D986" w14:textId="48A4BF5A" w:rsidR="00A42CA7" w:rsidRPr="00B20C99" w:rsidRDefault="00A42CA7" w:rsidP="00B20C99">
            <w:pPr>
              <w:spacing w:line="240" w:lineRule="auto"/>
              <w:jc w:val="center"/>
              <w:rPr>
                <w:sz w:val="22"/>
              </w:rPr>
            </w:pPr>
            <w:r w:rsidRPr="00B20C99">
              <w:rPr>
                <w:sz w:val="22"/>
              </w:rPr>
              <w:t xml:space="preserve">CAHT ≤ 85 000 € </w:t>
            </w:r>
          </w:p>
        </w:tc>
        <w:tc>
          <w:tcPr>
            <w:tcW w:w="3574" w:type="dxa"/>
            <w:tcBorders>
              <w:top w:val="single" w:sz="4" w:space="0" w:color="auto"/>
              <w:left w:val="single" w:sz="4" w:space="0" w:color="auto"/>
              <w:bottom w:val="single" w:sz="4" w:space="0" w:color="auto"/>
              <w:right w:val="single" w:sz="4" w:space="0" w:color="auto"/>
            </w:tcBorders>
            <w:vAlign w:val="center"/>
            <w:hideMark/>
          </w:tcPr>
          <w:p w14:paraId="63F0C504" w14:textId="1DD8D91C" w:rsidR="00A42CA7" w:rsidRPr="00B20C99" w:rsidRDefault="00A42CA7" w:rsidP="00B20C99">
            <w:pPr>
              <w:spacing w:line="240" w:lineRule="auto"/>
              <w:jc w:val="center"/>
              <w:rPr>
                <w:sz w:val="22"/>
              </w:rPr>
            </w:pPr>
            <w:r w:rsidRPr="00B20C99">
              <w:rPr>
                <w:sz w:val="22"/>
              </w:rPr>
              <w:t xml:space="preserve">85 000 € &lt; CAHT ≤ </w:t>
            </w:r>
            <w:r w:rsidR="002A51B5">
              <w:rPr>
                <w:sz w:val="22"/>
              </w:rPr>
              <w:t>945</w:t>
            </w:r>
            <w:r w:rsidRPr="00B20C99">
              <w:rPr>
                <w:sz w:val="22"/>
              </w:rPr>
              <w:t>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26C31467" w14:textId="577CF070" w:rsidR="00A42CA7" w:rsidRPr="00B20C99" w:rsidRDefault="00A42CA7" w:rsidP="00B20C99">
            <w:pPr>
              <w:spacing w:line="240" w:lineRule="auto"/>
              <w:jc w:val="center"/>
              <w:rPr>
                <w:sz w:val="22"/>
              </w:rPr>
            </w:pPr>
            <w:r w:rsidRPr="00B20C99">
              <w:rPr>
                <w:sz w:val="22"/>
              </w:rPr>
              <w:t xml:space="preserve">CAHT &gt; </w:t>
            </w:r>
            <w:r w:rsidR="002A51B5">
              <w:rPr>
                <w:sz w:val="22"/>
              </w:rPr>
              <w:t>945</w:t>
            </w:r>
            <w:r w:rsidRPr="00B20C99">
              <w:rPr>
                <w:sz w:val="22"/>
              </w:rPr>
              <w:t> 000 €</w:t>
            </w:r>
          </w:p>
        </w:tc>
      </w:tr>
      <w:tr w:rsidR="00A42CA7" w:rsidRPr="00A42CA7" w14:paraId="45BFC4C7" w14:textId="77777777" w:rsidTr="00B20C99">
        <w:trPr>
          <w:trHeight w:val="67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363942" w14:textId="77777777" w:rsidR="00A42CA7" w:rsidRPr="00B20C99" w:rsidRDefault="00A42CA7" w:rsidP="00B20C99">
            <w:pPr>
              <w:spacing w:line="240" w:lineRule="auto"/>
              <w:jc w:val="center"/>
              <w:rPr>
                <w:sz w:val="22"/>
              </w:rPr>
            </w:pPr>
            <w:r w:rsidRPr="00B20C99">
              <w:rPr>
                <w:sz w:val="22"/>
              </w:rPr>
              <w:t>Prestations de services et locations meublées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3F44A9" w14:textId="77777777" w:rsidR="00A42CA7" w:rsidRPr="00B20C99" w:rsidRDefault="00A42CA7" w:rsidP="00B20C99">
            <w:pPr>
              <w:spacing w:line="240" w:lineRule="auto"/>
              <w:jc w:val="center"/>
              <w:rPr>
                <w:sz w:val="22"/>
              </w:rPr>
            </w:pPr>
            <w:r w:rsidRPr="00B20C99">
              <w:rPr>
                <w:sz w:val="22"/>
              </w:rPr>
              <w:t>CAHT ≤ 37 500 €</w:t>
            </w:r>
          </w:p>
        </w:tc>
        <w:tc>
          <w:tcPr>
            <w:tcW w:w="3574" w:type="dxa"/>
            <w:tcBorders>
              <w:top w:val="single" w:sz="4" w:space="0" w:color="auto"/>
              <w:left w:val="single" w:sz="4" w:space="0" w:color="auto"/>
              <w:bottom w:val="single" w:sz="4" w:space="0" w:color="auto"/>
              <w:right w:val="single" w:sz="4" w:space="0" w:color="auto"/>
            </w:tcBorders>
            <w:vAlign w:val="center"/>
            <w:hideMark/>
          </w:tcPr>
          <w:p w14:paraId="0439DD44" w14:textId="7399B8E8" w:rsidR="00A42CA7" w:rsidRPr="00B20C99" w:rsidRDefault="00A42CA7" w:rsidP="00B20C99">
            <w:pPr>
              <w:spacing w:line="240" w:lineRule="auto"/>
              <w:jc w:val="center"/>
              <w:rPr>
                <w:sz w:val="22"/>
              </w:rPr>
            </w:pPr>
            <w:r w:rsidRPr="00B20C99">
              <w:rPr>
                <w:sz w:val="22"/>
              </w:rPr>
              <w:t>37 500 € &lt; CAHT ≤ 2</w:t>
            </w:r>
            <w:r w:rsidR="002A51B5">
              <w:rPr>
                <w:sz w:val="22"/>
              </w:rPr>
              <w:t>86</w:t>
            </w:r>
            <w:r w:rsidRPr="00B20C99">
              <w:rPr>
                <w:sz w:val="22"/>
              </w:rPr>
              <w:t>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3AEA3353" w14:textId="09E5A227" w:rsidR="00A42CA7" w:rsidRPr="00B20C99" w:rsidRDefault="00A42CA7" w:rsidP="00B20C99">
            <w:pPr>
              <w:spacing w:line="240" w:lineRule="auto"/>
              <w:jc w:val="center"/>
              <w:rPr>
                <w:sz w:val="22"/>
              </w:rPr>
            </w:pPr>
            <w:r w:rsidRPr="00B20C99">
              <w:rPr>
                <w:sz w:val="22"/>
              </w:rPr>
              <w:t>CAHT &gt; 2</w:t>
            </w:r>
            <w:r w:rsidR="002A51B5">
              <w:rPr>
                <w:sz w:val="22"/>
              </w:rPr>
              <w:t>86</w:t>
            </w:r>
            <w:r w:rsidRPr="00B20C99">
              <w:rPr>
                <w:sz w:val="22"/>
              </w:rPr>
              <w:t> 000 €</w:t>
            </w:r>
          </w:p>
        </w:tc>
      </w:tr>
    </w:tbl>
    <w:p w14:paraId="68ECE706" w14:textId="77777777" w:rsidR="00A42CA7" w:rsidRPr="00B20C99" w:rsidRDefault="00A42CA7" w:rsidP="00A42CA7">
      <w:pPr>
        <w:spacing w:line="240" w:lineRule="auto"/>
        <w:jc w:val="left"/>
        <w:rPr>
          <w:sz w:val="10"/>
          <w:szCs w:val="10"/>
        </w:rPr>
      </w:pPr>
    </w:p>
    <w:p w14:paraId="6367BE20" w14:textId="4486E1FD" w:rsidR="00A42CA7" w:rsidRPr="00A42CA7" w:rsidRDefault="00A42CA7" w:rsidP="00A42CA7">
      <w:pPr>
        <w:spacing w:line="240" w:lineRule="auto"/>
        <w:jc w:val="left"/>
        <w:rPr>
          <w:i/>
        </w:rPr>
      </w:pPr>
      <w:r w:rsidRPr="00A42CA7">
        <w:rPr>
          <w:i/>
        </w:rPr>
        <w:t>Seuils majorés : Franchise = 93 500 (LB) / 41 250 (PS)</w:t>
      </w:r>
      <w:r w:rsidR="002A51B5">
        <w:rPr>
          <w:i/>
        </w:rPr>
        <w:t xml:space="preserve">   </w:t>
      </w:r>
      <w:r w:rsidRPr="00A42CA7">
        <w:rPr>
          <w:i/>
        </w:rPr>
        <w:t xml:space="preserve">Réel simplifié = </w:t>
      </w:r>
      <w:r w:rsidR="002A51B5">
        <w:rPr>
          <w:i/>
        </w:rPr>
        <w:t>1 040</w:t>
      </w:r>
      <w:r w:rsidRPr="00A42CA7">
        <w:rPr>
          <w:i/>
        </w:rPr>
        <w:t xml:space="preserve"> 000 (LB) / </w:t>
      </w:r>
      <w:r w:rsidR="002A51B5">
        <w:rPr>
          <w:i/>
        </w:rPr>
        <w:t>323</w:t>
      </w:r>
      <w:r w:rsidRPr="00A42CA7">
        <w:rPr>
          <w:i/>
        </w:rPr>
        <w:t> 000 (PS)</w:t>
      </w:r>
    </w:p>
    <w:p w14:paraId="1DF5AF83" w14:textId="77777777" w:rsidR="00A42CA7" w:rsidRPr="00A42CA7" w:rsidRDefault="00A42CA7" w:rsidP="00A42CA7">
      <w:pPr>
        <w:spacing w:line="240" w:lineRule="auto"/>
        <w:jc w:val="left"/>
        <w:rPr>
          <w:i/>
        </w:rPr>
      </w:pPr>
      <w:r w:rsidRPr="00A42CA7">
        <w:rPr>
          <w:i/>
        </w:rPr>
        <w:t xml:space="preserve">Seuils avocats, auteurs … : </w:t>
      </w:r>
      <w:r w:rsidRPr="00A42CA7">
        <w:rPr>
          <w:i/>
        </w:rPr>
        <w:tab/>
        <w:t>Franchise : 50 000 / 55 000 (majoré)</w:t>
      </w:r>
    </w:p>
    <w:p w14:paraId="755AFEEA" w14:textId="77777777" w:rsidR="00A42CA7" w:rsidRPr="00B20C99" w:rsidRDefault="00A42CA7" w:rsidP="00A42CA7">
      <w:pPr>
        <w:spacing w:line="240" w:lineRule="auto"/>
        <w:jc w:val="left"/>
        <w:rPr>
          <w:sz w:val="10"/>
          <w:szCs w:val="10"/>
        </w:rPr>
      </w:pPr>
    </w:p>
    <w:p w14:paraId="3EF25E67" w14:textId="29D784C0" w:rsidR="00A42CA7" w:rsidRDefault="002A51B5" w:rsidP="00C3450D">
      <w:pPr>
        <w:numPr>
          <w:ilvl w:val="0"/>
          <w:numId w:val="24"/>
        </w:numPr>
        <w:spacing w:line="240" w:lineRule="auto"/>
        <w:ind w:left="284" w:hanging="284"/>
        <w:jc w:val="left"/>
        <w:rPr>
          <w:i/>
          <w:sz w:val="22"/>
        </w:rPr>
      </w:pPr>
      <w:r>
        <w:rPr>
          <w:i/>
          <w:sz w:val="22"/>
        </w:rPr>
        <w:t xml:space="preserve">Les seuils de la franchise </w:t>
      </w:r>
      <w:r w:rsidR="00C3450D">
        <w:rPr>
          <w:i/>
          <w:sz w:val="22"/>
        </w:rPr>
        <w:t>ont été rétablis à leur niveau d’avant projet de réduction, mais ne sont pas revalorisés</w:t>
      </w:r>
    </w:p>
    <w:p w14:paraId="7F6339EB" w14:textId="77777777" w:rsidR="00C3450D" w:rsidRPr="00C3450D" w:rsidRDefault="00C3450D" w:rsidP="00C3450D">
      <w:pPr>
        <w:spacing w:line="240" w:lineRule="auto"/>
        <w:ind w:left="284"/>
        <w:jc w:val="left"/>
        <w:rPr>
          <w:i/>
          <w:sz w:val="10"/>
          <w:szCs w:val="10"/>
        </w:rPr>
      </w:pPr>
    </w:p>
    <w:p w14:paraId="731C77F2" w14:textId="655553A6" w:rsidR="00A42CA7" w:rsidRPr="00B20C99" w:rsidRDefault="00C3450D" w:rsidP="00C3450D">
      <w:pPr>
        <w:numPr>
          <w:ilvl w:val="0"/>
          <w:numId w:val="24"/>
        </w:numPr>
        <w:spacing w:line="240" w:lineRule="auto"/>
        <w:ind w:left="284" w:hanging="284"/>
        <w:jc w:val="left"/>
        <w:rPr>
          <w:i/>
          <w:sz w:val="22"/>
        </w:rPr>
      </w:pPr>
      <w:r>
        <w:rPr>
          <w:i/>
          <w:sz w:val="22"/>
        </w:rPr>
        <w:t>À compter de 2027 et jusque 2029 : seuil du régime déclaratif trimestriel = 1 000 000 € (majoré = 1 100 00 €)</w:t>
      </w:r>
    </w:p>
    <w:p w14:paraId="263279A6" w14:textId="77777777" w:rsidR="00A42CA7" w:rsidRDefault="00A42CA7" w:rsidP="00A42CA7">
      <w:pPr>
        <w:spacing w:line="240" w:lineRule="auto"/>
        <w:jc w:val="left"/>
        <w:rPr>
          <w:sz w:val="22"/>
        </w:rPr>
      </w:pPr>
    </w:p>
    <w:p w14:paraId="6FA90D9A" w14:textId="77777777" w:rsidR="00B20C99" w:rsidRPr="00B20C99" w:rsidRDefault="00B20C99" w:rsidP="00A42CA7">
      <w:pPr>
        <w:spacing w:line="240" w:lineRule="auto"/>
        <w:jc w:val="left"/>
        <w:rPr>
          <w:sz w:val="22"/>
        </w:rPr>
      </w:pPr>
    </w:p>
    <w:p w14:paraId="21FD1C51" w14:textId="77777777" w:rsidR="00A42CA7" w:rsidRPr="00A42CA7" w:rsidRDefault="00A42CA7" w:rsidP="00B20C99">
      <w:pPr>
        <w:spacing w:line="240" w:lineRule="auto"/>
        <w:jc w:val="center"/>
        <w:rPr>
          <w:b/>
        </w:rPr>
      </w:pPr>
      <w:r w:rsidRPr="00A42CA7">
        <w:rPr>
          <w:b/>
        </w:rPr>
        <w:t>Barème de la Taxe sur les salaires</w:t>
      </w:r>
    </w:p>
    <w:p w14:paraId="06341E67" w14:textId="77777777" w:rsidR="00A42CA7" w:rsidRPr="00B20C99" w:rsidRDefault="00A42CA7" w:rsidP="00A42CA7">
      <w:pPr>
        <w:spacing w:line="240" w:lineRule="auto"/>
        <w:jc w:val="left"/>
        <w:rPr>
          <w:b/>
          <w:sz w:val="10"/>
          <w:szCs w:val="10"/>
        </w:rPr>
      </w:pPr>
    </w:p>
    <w:tbl>
      <w:tblPr>
        <w:tblpPr w:leftFromText="141" w:rightFromText="141"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934"/>
      </w:tblGrid>
      <w:tr w:rsidR="00A42CA7" w:rsidRPr="00A42CA7" w14:paraId="0A41BC88" w14:textId="77777777" w:rsidTr="00B20C99">
        <w:trPr>
          <w:trHeight w:val="414"/>
        </w:trPr>
        <w:tc>
          <w:tcPr>
            <w:tcW w:w="495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7F1A21" w14:textId="03F99202" w:rsidR="00A42CA7" w:rsidRPr="00A42CA7" w:rsidRDefault="00A42CA7" w:rsidP="00B20C99">
            <w:pPr>
              <w:spacing w:line="240" w:lineRule="auto"/>
              <w:jc w:val="center"/>
              <w:rPr>
                <w:b/>
              </w:rPr>
            </w:pPr>
            <w:r w:rsidRPr="00A42CA7">
              <w:rPr>
                <w:b/>
              </w:rPr>
              <w:t>Rémunération individuelle brute annuelle 202</w:t>
            </w:r>
            <w:r w:rsidR="002A51B5">
              <w:rPr>
                <w:b/>
              </w:rPr>
              <w:t>6</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F1A2D1E" w14:textId="77777777" w:rsidR="00A42CA7" w:rsidRPr="00A42CA7" w:rsidRDefault="00A42CA7" w:rsidP="00B20C99">
            <w:pPr>
              <w:spacing w:line="240" w:lineRule="auto"/>
              <w:jc w:val="center"/>
              <w:rPr>
                <w:b/>
              </w:rPr>
            </w:pPr>
            <w:r w:rsidRPr="00A42CA7">
              <w:rPr>
                <w:b/>
              </w:rPr>
              <w:t>Taux</w:t>
            </w:r>
          </w:p>
        </w:tc>
      </w:tr>
      <w:tr w:rsidR="00A42CA7" w:rsidRPr="00A42CA7" w14:paraId="1205797E" w14:textId="77777777" w:rsidTr="00B20C99">
        <w:trPr>
          <w:trHeight w:val="323"/>
        </w:trPr>
        <w:tc>
          <w:tcPr>
            <w:tcW w:w="4957" w:type="dxa"/>
            <w:tcBorders>
              <w:top w:val="single" w:sz="4" w:space="0" w:color="auto"/>
              <w:left w:val="single" w:sz="4" w:space="0" w:color="auto"/>
              <w:bottom w:val="single" w:sz="4" w:space="0" w:color="auto"/>
              <w:right w:val="single" w:sz="4" w:space="0" w:color="auto"/>
            </w:tcBorders>
            <w:vAlign w:val="center"/>
            <w:hideMark/>
          </w:tcPr>
          <w:p w14:paraId="16EA5EB6" w14:textId="2F08FDD5" w:rsidR="00A42CA7" w:rsidRPr="00B20C99" w:rsidRDefault="00A42CA7" w:rsidP="00B20C99">
            <w:pPr>
              <w:spacing w:line="240" w:lineRule="auto"/>
              <w:jc w:val="left"/>
              <w:rPr>
                <w:sz w:val="22"/>
              </w:rPr>
            </w:pPr>
            <w:r w:rsidRPr="00B20C99">
              <w:rPr>
                <w:sz w:val="22"/>
              </w:rPr>
              <w:t>Inférieure à 9 </w:t>
            </w:r>
            <w:r w:rsidR="00C3450D">
              <w:rPr>
                <w:sz w:val="22"/>
              </w:rPr>
              <w:t>228</w:t>
            </w:r>
            <w:r w:rsidRPr="00B20C99">
              <w:rPr>
                <w:sz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03386" w14:textId="77777777" w:rsidR="00A42CA7" w:rsidRPr="00B20C99" w:rsidRDefault="00A42CA7" w:rsidP="00B20C99">
            <w:pPr>
              <w:spacing w:line="240" w:lineRule="auto"/>
              <w:jc w:val="center"/>
              <w:rPr>
                <w:sz w:val="22"/>
              </w:rPr>
            </w:pPr>
            <w:r w:rsidRPr="00B20C99">
              <w:rPr>
                <w:sz w:val="22"/>
              </w:rPr>
              <w:t>4,25%</w:t>
            </w:r>
          </w:p>
        </w:tc>
      </w:tr>
      <w:tr w:rsidR="00A42CA7" w:rsidRPr="00A42CA7" w14:paraId="3B840A18" w14:textId="77777777" w:rsidTr="00B20C99">
        <w:trPr>
          <w:trHeight w:val="323"/>
        </w:trPr>
        <w:tc>
          <w:tcPr>
            <w:tcW w:w="4957" w:type="dxa"/>
            <w:tcBorders>
              <w:top w:val="single" w:sz="4" w:space="0" w:color="auto"/>
              <w:left w:val="single" w:sz="4" w:space="0" w:color="auto"/>
              <w:bottom w:val="single" w:sz="4" w:space="0" w:color="auto"/>
              <w:right w:val="single" w:sz="4" w:space="0" w:color="auto"/>
            </w:tcBorders>
            <w:vAlign w:val="center"/>
            <w:hideMark/>
          </w:tcPr>
          <w:p w14:paraId="77129A22" w14:textId="6BBB9A73" w:rsidR="00A42CA7" w:rsidRPr="00B20C99" w:rsidRDefault="00A42CA7" w:rsidP="00B20C99">
            <w:pPr>
              <w:spacing w:line="240" w:lineRule="auto"/>
              <w:jc w:val="left"/>
              <w:rPr>
                <w:sz w:val="22"/>
              </w:rPr>
            </w:pPr>
            <w:r w:rsidRPr="00B20C99">
              <w:rPr>
                <w:sz w:val="22"/>
              </w:rPr>
              <w:t>Entre 9 </w:t>
            </w:r>
            <w:r w:rsidR="00C3450D">
              <w:rPr>
                <w:sz w:val="22"/>
              </w:rPr>
              <w:t>228</w:t>
            </w:r>
            <w:r w:rsidRPr="00B20C99">
              <w:rPr>
                <w:sz w:val="22"/>
              </w:rPr>
              <w:t xml:space="preserve"> € et 18 </w:t>
            </w:r>
            <w:r w:rsidR="00C3450D">
              <w:rPr>
                <w:sz w:val="22"/>
              </w:rPr>
              <w:t>423</w:t>
            </w:r>
            <w:r w:rsidRPr="00B20C99">
              <w:rPr>
                <w:sz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AFEF82" w14:textId="77777777" w:rsidR="00A42CA7" w:rsidRPr="00B20C99" w:rsidRDefault="00A42CA7" w:rsidP="00B20C99">
            <w:pPr>
              <w:spacing w:line="240" w:lineRule="auto"/>
              <w:jc w:val="center"/>
              <w:rPr>
                <w:sz w:val="22"/>
              </w:rPr>
            </w:pPr>
            <w:r w:rsidRPr="00B20C99">
              <w:rPr>
                <w:sz w:val="22"/>
              </w:rPr>
              <w:t>8,50%</w:t>
            </w:r>
          </w:p>
        </w:tc>
      </w:tr>
      <w:tr w:rsidR="00A42CA7" w:rsidRPr="00A42CA7" w14:paraId="69D4FAD3" w14:textId="77777777" w:rsidTr="00B20C99">
        <w:trPr>
          <w:trHeight w:val="323"/>
        </w:trPr>
        <w:tc>
          <w:tcPr>
            <w:tcW w:w="4957" w:type="dxa"/>
            <w:tcBorders>
              <w:top w:val="single" w:sz="4" w:space="0" w:color="auto"/>
              <w:left w:val="single" w:sz="4" w:space="0" w:color="auto"/>
              <w:bottom w:val="single" w:sz="4" w:space="0" w:color="auto"/>
              <w:right w:val="single" w:sz="4" w:space="0" w:color="auto"/>
            </w:tcBorders>
            <w:vAlign w:val="center"/>
            <w:hideMark/>
          </w:tcPr>
          <w:p w14:paraId="53841994" w14:textId="4CD5D71C" w:rsidR="00A42CA7" w:rsidRPr="00B20C99" w:rsidRDefault="00A42CA7" w:rsidP="00B20C99">
            <w:pPr>
              <w:spacing w:line="240" w:lineRule="auto"/>
              <w:jc w:val="left"/>
              <w:rPr>
                <w:sz w:val="22"/>
              </w:rPr>
            </w:pPr>
            <w:r w:rsidRPr="00B20C99">
              <w:rPr>
                <w:sz w:val="22"/>
              </w:rPr>
              <w:t>Supérieure à 18 </w:t>
            </w:r>
            <w:r w:rsidR="00C3450D">
              <w:rPr>
                <w:sz w:val="22"/>
              </w:rPr>
              <w:t>423</w:t>
            </w:r>
            <w:r w:rsidRPr="00B20C99">
              <w:rPr>
                <w:sz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61AF6" w14:textId="77777777" w:rsidR="00A42CA7" w:rsidRPr="00B20C99" w:rsidRDefault="00A42CA7" w:rsidP="00B20C99">
            <w:pPr>
              <w:spacing w:line="240" w:lineRule="auto"/>
              <w:jc w:val="center"/>
              <w:rPr>
                <w:sz w:val="22"/>
              </w:rPr>
            </w:pPr>
            <w:r w:rsidRPr="00B20C99">
              <w:rPr>
                <w:sz w:val="22"/>
              </w:rPr>
              <w:t>13,60%</w:t>
            </w:r>
          </w:p>
        </w:tc>
      </w:tr>
    </w:tbl>
    <w:p w14:paraId="2AA757FB" w14:textId="77777777" w:rsidR="00A42CA7" w:rsidRPr="00A42CA7" w:rsidRDefault="00A42CA7" w:rsidP="00A42CA7">
      <w:pPr>
        <w:spacing w:line="240" w:lineRule="auto"/>
        <w:jc w:val="left"/>
        <w:rPr>
          <w:b/>
        </w:rPr>
      </w:pPr>
    </w:p>
    <w:p w14:paraId="70E6FE2A" w14:textId="77777777" w:rsidR="00A42CA7" w:rsidRPr="00A42CA7" w:rsidRDefault="00A42CA7" w:rsidP="00A42CA7">
      <w:pPr>
        <w:spacing w:line="240" w:lineRule="auto"/>
        <w:jc w:val="left"/>
        <w:rPr>
          <w:b/>
        </w:rPr>
      </w:pPr>
    </w:p>
    <w:p w14:paraId="68B1841F" w14:textId="77777777" w:rsidR="00A42CA7" w:rsidRPr="00A42CA7" w:rsidRDefault="00A42CA7" w:rsidP="00A42CA7">
      <w:pPr>
        <w:spacing w:line="240" w:lineRule="auto"/>
        <w:jc w:val="left"/>
        <w:rPr>
          <w:b/>
        </w:rPr>
      </w:pPr>
    </w:p>
    <w:p w14:paraId="7D2684A1" w14:textId="77777777" w:rsidR="00A42CA7" w:rsidRPr="00A42CA7" w:rsidRDefault="00A42CA7" w:rsidP="00A42CA7">
      <w:pPr>
        <w:spacing w:line="240" w:lineRule="auto"/>
        <w:jc w:val="left"/>
        <w:rPr>
          <w:b/>
        </w:rPr>
      </w:pPr>
    </w:p>
    <w:p w14:paraId="49BB1FDB" w14:textId="77777777" w:rsidR="00A42CA7" w:rsidRPr="00A42CA7" w:rsidRDefault="00A42CA7" w:rsidP="00A42CA7">
      <w:pPr>
        <w:spacing w:line="240" w:lineRule="auto"/>
        <w:jc w:val="left"/>
        <w:rPr>
          <w:b/>
        </w:rPr>
      </w:pPr>
    </w:p>
    <w:p w14:paraId="2AC1E8B4" w14:textId="77777777" w:rsidR="00A42CA7" w:rsidRPr="00A42CA7" w:rsidRDefault="00A42CA7" w:rsidP="00A42CA7">
      <w:pPr>
        <w:spacing w:line="240" w:lineRule="auto"/>
        <w:jc w:val="left"/>
        <w:rPr>
          <w:b/>
        </w:rPr>
      </w:pPr>
    </w:p>
    <w:p w14:paraId="7DDC0F2C" w14:textId="77777777" w:rsidR="00B20C99" w:rsidRPr="00B20C99" w:rsidRDefault="00B20C99" w:rsidP="00A42CA7">
      <w:pPr>
        <w:spacing w:line="240" w:lineRule="auto"/>
        <w:jc w:val="left"/>
        <w:rPr>
          <w:sz w:val="10"/>
          <w:szCs w:val="10"/>
        </w:rPr>
      </w:pPr>
    </w:p>
    <w:p w14:paraId="7B63B6FC" w14:textId="4631EC93" w:rsidR="00A42CA7" w:rsidRPr="00A42CA7" w:rsidRDefault="00A42CA7" w:rsidP="00A42CA7">
      <w:pPr>
        <w:spacing w:line="240" w:lineRule="auto"/>
        <w:jc w:val="left"/>
      </w:pPr>
      <w:r w:rsidRPr="00A42CA7">
        <w:rPr>
          <w:noProof/>
        </w:rPr>
        <mc:AlternateContent>
          <mc:Choice Requires="wps">
            <w:drawing>
              <wp:anchor distT="0" distB="0" distL="114300" distR="114300" simplePos="0" relativeHeight="251660288" behindDoc="0" locked="0" layoutInCell="1" allowOverlap="1" wp14:anchorId="51CCD593" wp14:editId="17D316E3">
                <wp:simplePos x="0" y="0"/>
                <wp:positionH relativeFrom="column">
                  <wp:posOffset>5847715</wp:posOffset>
                </wp:positionH>
                <wp:positionV relativeFrom="paragraph">
                  <wp:posOffset>48895</wp:posOffset>
                </wp:positionV>
                <wp:extent cx="619125" cy="373380"/>
                <wp:effectExtent l="38100" t="38100" r="123825" b="121920"/>
                <wp:wrapNone/>
                <wp:docPr id="1087981623" name="Ellipse 11">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1EA49B"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CD593" id="Ellipse 11" o:spid="_x0000_s1030" href="#DEBUT" style="position:absolute;margin-left:460.45pt;margin-top:3.85pt;width:48.7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Zd9AIAAH4GAAAOAAAAZHJzL2Uyb0RvYy54bWysVW1P2zAQ/j5p/8Hy95GmBVYqUlSBmCZ1&#10;gCgTn13HaSwc27PdJt2v353z0g7QJk37Evnsu+funnvJ5VVTKbITzkujM5qejCgRmptc6k1Gvz/d&#10;fppS4gPTOVNGi4zuhadX848fLms7E2NTGpULRwBE+1ltM1qGYGdJ4nkpKuZPjBUaHgvjKhZAdJsk&#10;d6wG9Eol49HoPKmNy60zXHgPtzftI51H/KIQPNwXhReBqIxCbCF+Xfyu8ZvML9ls45gtJe/CYP8Q&#10;RcWkBqcD1A0LjGydfANVSe6MN0U44aZKTFFILmIOkE06epXNqmRWxFyAHG8Hmvz/g+V3u5V9cBi6&#10;t0vDXzwwktTWz4YXFHyn0xSuQl0InDSRxf3AomgC4XB5nl6k4zNKODxNPk8m08hywma9sXU+fBGm&#10;InjIqFBKWo95shnbLX3ACNis14qhGSXzW6lUFLA3xLVyZMegqutNGk3Vtvpm8vbu4mw06r3GVkL1&#10;iOqPkZQmNTTt+DMo/81NaFJsFgjsCAIkpdFSxFaD2FEw2yDcqsxrslZb98jyjJ6NpuCD5BITnkzT&#10;VoA+RN8YK2FqAwMUFCXOhGcZylh8JBchkYxDxorxl3jNlC1Zm/JphDlQ1yc8BBNjP4ozFrmta6xw&#10;2CuBrpR+FAWROVRy3LLyO9+Mc6FDy7kvWS5a/8j4+5RHQEQuoIADdgfwPnabRqePpm3cg3FXrj8Z&#10;DxbRs9FhMK6kNu69zBRk1Xlu9YGyI2rwGJp1A9xk9BQ18WZt8v2Dw6LFcfCW30oo1pL58MAc7BKo&#10;LezHcA+fQhnoNw7tTklp3M/Xd6gHow0vlNSwkzLqf2yZE5SorxqGHqBCf3D9Yd0f9La6NjAQKWxc&#10;y+MRDFxQ/bFwpnqGdblAL/DENAdfEFBwvXAd2t0IC5eLxSKqwaKyLCz1ynIERz6xHZ+aZ+ZsN8MB&#10;hv/O9PvqzRy3umipzWIbTCHjkB/465iGJRfbtFvIuEWP5ah1+G3MfwEAAP//AwBQSwMEFAAGAAgA&#10;AAAhAAAgn4DgAAAACQEAAA8AAABkcnMvZG93bnJldi54bWxMj0FPwkAQhe8m/ofNkHiTXaoWKN0S&#10;ouFg4KBownXpDm3D7mztbqH6611Oepy8l+99ky8Ha9gZO984kjAZC2BIpdMNVRI+P9b3M2A+KNLK&#10;OEIJ3+hhWdze5CrT7kLveN6FikUI+UxJqENoM859WaNVfuxapJgdXWdViGdXcd2pS4RbwxMhUm5V&#10;Q3GhVi0+11iedr2VkOrNa/JC/eYrOf28bVeNedD7tZR3o2G1ABZwCH9luOpHdSii08H1pD0zEuaJ&#10;mMeqhOkU2DUXk9kjsEOkp0/Ai5z//6D4BQAA//8DAFBLAQItABQABgAIAAAAIQC2gziS/gAAAOEB&#10;AAATAAAAAAAAAAAAAAAAAAAAAABbQ29udGVudF9UeXBlc10ueG1sUEsBAi0AFAAGAAgAAAAhADj9&#10;If/WAAAAlAEAAAsAAAAAAAAAAAAAAAAALwEAAF9yZWxzLy5yZWxzUEsBAi0AFAAGAAgAAAAhACen&#10;Rl30AgAAfgYAAA4AAAAAAAAAAAAAAAAALgIAAGRycy9lMm9Eb2MueG1sUEsBAi0AFAAGAAgAAAAh&#10;AAAgn4DgAAAACQEAAA8AAAAAAAAAAAAAAAAATgUAAGRycy9kb3ducmV2LnhtbFBLBQYAAAAABAAE&#10;APMAAABbBgAAAAA=&#10;" o:button="t" fillcolor="#f2f2f2 [3052]" strokecolor="black [3213]" strokeweight="1pt">
                <v:fill o:detectmouseclick="t"/>
                <v:stroke joinstyle="miter"/>
                <v:shadow on="t" color="black" opacity="26214f" origin="-.5,-.5" offset=".74836mm,.74836mm"/>
                <v:path arrowok="t"/>
                <v:textbox inset="0,0,0,0">
                  <w:txbxContent>
                    <w:p w14:paraId="271EA49B"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r w:rsidRPr="00A42CA7">
        <w:t xml:space="preserve">Abattement annuel pour les Organismes Sans But Lucratif </w:t>
      </w:r>
      <w:r w:rsidRPr="00A42CA7">
        <w:rPr>
          <w:vertAlign w:val="superscript"/>
        </w:rPr>
        <w:footnoteReference w:id="1"/>
      </w:r>
      <w:r w:rsidRPr="00A42CA7">
        <w:t xml:space="preserve"> : </w:t>
      </w:r>
      <w:r w:rsidRPr="00A42CA7">
        <w:rPr>
          <w:b/>
          <w:bCs/>
        </w:rPr>
        <w:t>24 </w:t>
      </w:r>
      <w:r w:rsidR="00C3450D">
        <w:rPr>
          <w:b/>
          <w:bCs/>
        </w:rPr>
        <w:t>256</w:t>
      </w:r>
      <w:r w:rsidRPr="00A42CA7">
        <w:rPr>
          <w:b/>
          <w:bCs/>
        </w:rPr>
        <w:t xml:space="preserve"> €</w:t>
      </w:r>
      <w:r w:rsidRPr="00A42CA7">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9083"/>
      </w:tblGrid>
      <w:tr w:rsidR="00A42CA7" w:rsidRPr="00A42CA7" w14:paraId="6F7D31F3" w14:textId="77777777" w:rsidTr="00BA1390">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973DF7" w14:textId="77777777" w:rsidR="00DE14CA" w:rsidRDefault="00DE14CA" w:rsidP="00DB051A">
            <w:pPr>
              <w:spacing w:line="240" w:lineRule="auto"/>
              <w:jc w:val="center"/>
              <w:rPr>
                <w:b/>
                <w:bCs/>
                <w:i/>
                <w:iCs/>
              </w:rPr>
            </w:pPr>
            <w:bookmarkStart w:id="5" w:name="RSD"/>
            <w:r>
              <w:rPr>
                <w:b/>
                <w:bCs/>
                <w:i/>
                <w:iCs/>
              </w:rPr>
              <w:lastRenderedPageBreak/>
              <w:t>RAPPEL</w:t>
            </w:r>
          </w:p>
          <w:p w14:paraId="7927CAE0" w14:textId="7EE35094" w:rsidR="00A42CA7" w:rsidRPr="00A42CA7" w:rsidRDefault="00A42CA7" w:rsidP="00DB051A">
            <w:pPr>
              <w:spacing w:line="240" w:lineRule="auto"/>
              <w:jc w:val="center"/>
              <w:rPr>
                <w:b/>
                <w:bCs/>
                <w:i/>
                <w:iCs/>
              </w:rPr>
            </w:pPr>
            <w:r w:rsidRPr="00A42CA7">
              <w:rPr>
                <w:b/>
                <w:bCs/>
                <w:i/>
                <w:iCs/>
              </w:rPr>
              <w:t>TVA : régime simplifié de déclaration</w:t>
            </w:r>
            <w:bookmarkEnd w:id="5"/>
          </w:p>
        </w:tc>
        <w:tc>
          <w:tcPr>
            <w:tcW w:w="9083" w:type="dxa"/>
            <w:tcBorders>
              <w:top w:val="single" w:sz="4" w:space="0" w:color="auto"/>
              <w:left w:val="single" w:sz="4" w:space="0" w:color="auto"/>
              <w:bottom w:val="single" w:sz="4" w:space="0" w:color="auto"/>
              <w:right w:val="single" w:sz="4" w:space="0" w:color="auto"/>
            </w:tcBorders>
          </w:tcPr>
          <w:p w14:paraId="069EEBF0" w14:textId="77777777" w:rsidR="00A42CA7" w:rsidRPr="002B528E" w:rsidRDefault="00A42CA7" w:rsidP="00A42CA7">
            <w:pPr>
              <w:spacing w:line="240" w:lineRule="auto"/>
              <w:jc w:val="left"/>
              <w:rPr>
                <w:b/>
                <w:sz w:val="10"/>
                <w:szCs w:val="10"/>
                <w:u w:val="single"/>
              </w:rPr>
            </w:pPr>
          </w:p>
          <w:p w14:paraId="11D6BF1A" w14:textId="77777777" w:rsidR="00A42CA7" w:rsidRPr="00A42CA7" w:rsidRDefault="00A42CA7" w:rsidP="00DB051A">
            <w:pPr>
              <w:spacing w:line="240" w:lineRule="auto"/>
              <w:rPr>
                <w:b/>
                <w:u w:val="single"/>
              </w:rPr>
            </w:pPr>
            <w:r w:rsidRPr="00A42CA7">
              <w:rPr>
                <w:b/>
                <w:u w:val="single"/>
              </w:rPr>
              <w:t>Modifications du régime simplifié de déclaration à compter de 2027</w:t>
            </w:r>
          </w:p>
          <w:p w14:paraId="766E12B2" w14:textId="77777777" w:rsidR="00A42CA7" w:rsidRPr="002B528E" w:rsidRDefault="00A42CA7" w:rsidP="00DB051A">
            <w:pPr>
              <w:spacing w:line="240" w:lineRule="auto"/>
              <w:rPr>
                <w:b/>
                <w:sz w:val="10"/>
                <w:szCs w:val="10"/>
                <w:u w:val="single"/>
              </w:rPr>
            </w:pPr>
          </w:p>
          <w:p w14:paraId="77D03717" w14:textId="07C7F0B7" w:rsidR="00A42CA7" w:rsidRPr="00A42CA7" w:rsidRDefault="00A42CA7" w:rsidP="00DB051A">
            <w:pPr>
              <w:spacing w:line="240" w:lineRule="auto"/>
              <w:rPr>
                <w:bCs/>
              </w:rPr>
            </w:pPr>
            <w:r w:rsidRPr="00A42CA7">
              <w:rPr>
                <w:bCs/>
              </w:rPr>
              <w:t xml:space="preserve">La loi de finances pour 2025 </w:t>
            </w:r>
            <w:r w:rsidR="00567F42">
              <w:rPr>
                <w:bCs/>
              </w:rPr>
              <w:t>a prévu</w:t>
            </w:r>
            <w:r w:rsidRPr="00A42CA7">
              <w:rPr>
                <w:bCs/>
              </w:rPr>
              <w:t xml:space="preserve"> des modifications substantielles du RSD de TVA </w:t>
            </w:r>
            <w:r w:rsidRPr="00A42CA7">
              <w:rPr>
                <w:b/>
              </w:rPr>
              <w:t>à compter du 1</w:t>
            </w:r>
            <w:r w:rsidRPr="00A42CA7">
              <w:rPr>
                <w:b/>
                <w:vertAlign w:val="superscript"/>
              </w:rPr>
              <w:t>er</w:t>
            </w:r>
            <w:r w:rsidRPr="00A42CA7">
              <w:rPr>
                <w:b/>
              </w:rPr>
              <w:t xml:space="preserve"> janvier 2027</w:t>
            </w:r>
            <w:r w:rsidRPr="00A42CA7">
              <w:rPr>
                <w:bCs/>
              </w:rPr>
              <w:t xml:space="preserve"> (plus précisément à compter du 1</w:t>
            </w:r>
            <w:r w:rsidRPr="00A42CA7">
              <w:rPr>
                <w:bCs/>
                <w:vertAlign w:val="superscript"/>
              </w:rPr>
              <w:t>er</w:t>
            </w:r>
            <w:r w:rsidRPr="00A42CA7">
              <w:rPr>
                <w:bCs/>
              </w:rPr>
              <w:t xml:space="preserve"> jour de l’exercice comptable qui suit celui qui s’est achevé après le 31/12/2026 pour les entreprises qui étaient en RSD – ancienne version – en 2026, soit un début du nouveau régime le 1</w:t>
            </w:r>
            <w:r w:rsidRPr="00A42CA7">
              <w:rPr>
                <w:bCs/>
                <w:vertAlign w:val="superscript"/>
              </w:rPr>
              <w:t>er</w:t>
            </w:r>
            <w:r w:rsidRPr="00A42CA7">
              <w:rPr>
                <w:bCs/>
              </w:rPr>
              <w:t xml:space="preserve"> juillet 2027 pour les entreprises qui clôturent au 30 juin).</w:t>
            </w:r>
          </w:p>
          <w:p w14:paraId="09DE5416" w14:textId="77777777" w:rsidR="00A42CA7" w:rsidRPr="002B528E" w:rsidRDefault="00A42CA7" w:rsidP="00DB051A">
            <w:pPr>
              <w:spacing w:line="240" w:lineRule="auto"/>
              <w:rPr>
                <w:bCs/>
                <w:sz w:val="10"/>
                <w:szCs w:val="10"/>
              </w:rPr>
            </w:pPr>
          </w:p>
          <w:tbl>
            <w:tblPr>
              <w:tblStyle w:val="Grilledutableau"/>
              <w:tblW w:w="0" w:type="auto"/>
              <w:tblLook w:val="04A0" w:firstRow="1" w:lastRow="0" w:firstColumn="1" w:lastColumn="0" w:noHBand="0" w:noVBand="1"/>
            </w:tblPr>
            <w:tblGrid>
              <w:gridCol w:w="2641"/>
              <w:gridCol w:w="6096"/>
            </w:tblGrid>
            <w:tr w:rsidR="00A42CA7" w:rsidRPr="00A42CA7" w14:paraId="5AE5FC58" w14:textId="77777777">
              <w:trPr>
                <w:trHeight w:val="650"/>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C84AB" w14:textId="77777777" w:rsidR="00A42CA7" w:rsidRPr="00A42CA7" w:rsidRDefault="00A42CA7" w:rsidP="00DB051A">
                  <w:pPr>
                    <w:rPr>
                      <w:bCs/>
                    </w:rPr>
                  </w:pPr>
                  <w:r w:rsidRPr="00A42CA7">
                    <w:rPr>
                      <w:bCs/>
                    </w:rPr>
                    <w:t>Seuils prévus quelle que soit la nature de l’activité</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A6232" w14:textId="77777777" w:rsidR="00A42CA7" w:rsidRPr="00A42CA7" w:rsidRDefault="00A42CA7" w:rsidP="00DB051A">
                  <w:pPr>
                    <w:jc w:val="center"/>
                    <w:rPr>
                      <w:bCs/>
                    </w:rPr>
                  </w:pPr>
                  <w:r w:rsidRPr="00A42CA7">
                    <w:rPr>
                      <w:bCs/>
                    </w:rPr>
                    <w:t>Périodicité des déclarations et précisions</w:t>
                  </w:r>
                </w:p>
              </w:tc>
            </w:tr>
            <w:tr w:rsidR="00A42CA7" w:rsidRPr="00A42CA7" w14:paraId="691CDB46" w14:textId="77777777">
              <w:trPr>
                <w:trHeight w:val="2292"/>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E9030" w14:textId="77777777" w:rsidR="00A42CA7" w:rsidRPr="00A42CA7" w:rsidRDefault="00A42CA7" w:rsidP="00DB051A">
                  <w:pPr>
                    <w:jc w:val="center"/>
                    <w:rPr>
                      <w:b/>
                    </w:rPr>
                  </w:pPr>
                  <w:r w:rsidRPr="00A42CA7">
                    <w:rPr>
                      <w:b/>
                    </w:rPr>
                    <w:t>1 000 000 €</w:t>
                  </w:r>
                </w:p>
                <w:p w14:paraId="7DBE6191" w14:textId="77777777" w:rsidR="00A42CA7" w:rsidRPr="00A42CA7" w:rsidRDefault="00A42CA7" w:rsidP="00DB051A">
                  <w:pPr>
                    <w:jc w:val="center"/>
                    <w:rPr>
                      <w:bCs/>
                    </w:rPr>
                  </w:pPr>
                  <w:r w:rsidRPr="00A42CA7">
                    <w:rPr>
                      <w:bCs/>
                    </w:rPr>
                    <w:t>pendant l’année civile précédente</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1F99B" w14:textId="77777777" w:rsidR="00A42CA7" w:rsidRPr="002B528E" w:rsidRDefault="00A42CA7" w:rsidP="00DB051A">
                  <w:pPr>
                    <w:rPr>
                      <w:bCs/>
                      <w:sz w:val="10"/>
                      <w:szCs w:val="10"/>
                    </w:rPr>
                  </w:pPr>
                </w:p>
                <w:p w14:paraId="45C16196" w14:textId="77777777" w:rsidR="00A42CA7" w:rsidRPr="00A42CA7" w:rsidRDefault="00A42CA7" w:rsidP="00DB051A">
                  <w:pPr>
                    <w:rPr>
                      <w:b/>
                    </w:rPr>
                  </w:pPr>
                  <w:r w:rsidRPr="00A42CA7">
                    <w:rPr>
                      <w:b/>
                    </w:rPr>
                    <w:t>Trimestrielles</w:t>
                  </w:r>
                </w:p>
                <w:p w14:paraId="26C98CC3" w14:textId="77777777" w:rsidR="00A42CA7" w:rsidRPr="002B528E" w:rsidRDefault="00A42CA7" w:rsidP="00DB051A">
                  <w:pPr>
                    <w:rPr>
                      <w:bCs/>
                      <w:sz w:val="10"/>
                      <w:szCs w:val="10"/>
                    </w:rPr>
                  </w:pPr>
                </w:p>
                <w:p w14:paraId="1D29E371" w14:textId="77777777" w:rsidR="00A42CA7" w:rsidRPr="00A42CA7" w:rsidRDefault="00A42CA7" w:rsidP="00DB051A">
                  <w:pPr>
                    <w:numPr>
                      <w:ilvl w:val="0"/>
                      <w:numId w:val="20"/>
                    </w:numPr>
                    <w:rPr>
                      <w:bCs/>
                    </w:rPr>
                  </w:pPr>
                  <w:r w:rsidRPr="00A42CA7">
                    <w:rPr>
                      <w:bCs/>
                    </w:rPr>
                    <w:t>Option pour des déclarations mensuelles (à compter du 1</w:t>
                  </w:r>
                  <w:r w:rsidRPr="00A42CA7">
                    <w:rPr>
                      <w:bCs/>
                      <w:vertAlign w:val="superscript"/>
                    </w:rPr>
                    <w:t>er</w:t>
                  </w:r>
                  <w:r w:rsidRPr="00A42CA7">
                    <w:rPr>
                      <w:bCs/>
                    </w:rPr>
                    <w:t xml:space="preserve"> jour du mois du trimestre civil qui suit celui au cours duquel l’option est exercée, ou à compter d’un 1</w:t>
                  </w:r>
                  <w:r w:rsidRPr="00A42CA7">
                    <w:rPr>
                      <w:bCs/>
                      <w:vertAlign w:val="superscript"/>
                    </w:rPr>
                    <w:t>er</w:t>
                  </w:r>
                  <w:r w:rsidRPr="00A42CA7">
                    <w:rPr>
                      <w:bCs/>
                    </w:rPr>
                    <w:t xml:space="preserve"> jour d’un trimestre civil ultérieur sur demande) ; L’option est valable au moins 4 trimestres civils ;</w:t>
                  </w:r>
                </w:p>
                <w:p w14:paraId="6B072E48" w14:textId="77777777" w:rsidR="00A42CA7" w:rsidRPr="002B528E" w:rsidRDefault="00A42CA7" w:rsidP="00DB051A">
                  <w:pPr>
                    <w:rPr>
                      <w:bCs/>
                      <w:sz w:val="10"/>
                      <w:szCs w:val="10"/>
                    </w:rPr>
                  </w:pPr>
                </w:p>
                <w:p w14:paraId="0D875DE5" w14:textId="77777777" w:rsidR="00A42CA7" w:rsidRPr="00A42CA7" w:rsidRDefault="00A42CA7" w:rsidP="00DB051A">
                  <w:pPr>
                    <w:numPr>
                      <w:ilvl w:val="0"/>
                      <w:numId w:val="20"/>
                    </w:numPr>
                    <w:rPr>
                      <w:bCs/>
                    </w:rPr>
                  </w:pPr>
                  <w:r w:rsidRPr="00A42CA7">
                    <w:rPr>
                      <w:bCs/>
                    </w:rPr>
                    <w:t>Révocation de l’option pour les déclarations mensuelles dans les mêmes conditions que l’exercice de l’option.</w:t>
                  </w:r>
                </w:p>
                <w:p w14:paraId="1D29D6A9" w14:textId="77777777" w:rsidR="00A42CA7" w:rsidRPr="00BA1390" w:rsidRDefault="00A42CA7" w:rsidP="00DB051A">
                  <w:pPr>
                    <w:rPr>
                      <w:bCs/>
                      <w:sz w:val="10"/>
                      <w:szCs w:val="10"/>
                    </w:rPr>
                  </w:pPr>
                </w:p>
              </w:tc>
            </w:tr>
            <w:tr w:rsidR="00A42CA7" w:rsidRPr="00A42CA7" w14:paraId="35424D16" w14:textId="77777777">
              <w:trPr>
                <w:trHeight w:val="974"/>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14EA05" w14:textId="77777777" w:rsidR="00A42CA7" w:rsidRPr="00A42CA7" w:rsidRDefault="00A42CA7" w:rsidP="00DB051A">
                  <w:pPr>
                    <w:jc w:val="center"/>
                    <w:rPr>
                      <w:b/>
                    </w:rPr>
                  </w:pPr>
                  <w:r w:rsidRPr="00A42CA7">
                    <w:rPr>
                      <w:b/>
                    </w:rPr>
                    <w:t>1 100 000 €</w:t>
                  </w:r>
                </w:p>
                <w:p w14:paraId="24627046" w14:textId="77777777" w:rsidR="00A42CA7" w:rsidRPr="00A42CA7" w:rsidRDefault="00A42CA7" w:rsidP="00DB051A">
                  <w:pPr>
                    <w:jc w:val="center"/>
                    <w:rPr>
                      <w:bCs/>
                    </w:rPr>
                  </w:pPr>
                  <w:r w:rsidRPr="00A42CA7">
                    <w:rPr>
                      <w:bCs/>
                    </w:rPr>
                    <w:t>l’année civile en cours</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9F895" w14:textId="77777777" w:rsidR="00A42CA7" w:rsidRPr="00A42CA7" w:rsidRDefault="00A42CA7" w:rsidP="00DB051A">
                  <w:pPr>
                    <w:rPr>
                      <w:bCs/>
                    </w:rPr>
                  </w:pPr>
                  <w:r w:rsidRPr="00A42CA7">
                    <w:rPr>
                      <w:b/>
                    </w:rPr>
                    <w:t>Mensuelles</w:t>
                  </w:r>
                  <w:r w:rsidRPr="00A42CA7">
                    <w:rPr>
                      <w:bCs/>
                    </w:rPr>
                    <w:t xml:space="preserve"> (avec délai supplémentaire d’un mois possible) à compter du 1</w:t>
                  </w:r>
                  <w:r w:rsidRPr="00A42CA7">
                    <w:rPr>
                      <w:bCs/>
                      <w:vertAlign w:val="superscript"/>
                    </w:rPr>
                    <w:t>er</w:t>
                  </w:r>
                  <w:r w:rsidRPr="00A42CA7">
                    <w:rPr>
                      <w:bCs/>
                    </w:rPr>
                    <w:t xml:space="preserve"> jour du mois de dépassement.</w:t>
                  </w:r>
                </w:p>
              </w:tc>
            </w:tr>
          </w:tbl>
          <w:p w14:paraId="4B9420A1" w14:textId="77777777" w:rsidR="00A42CA7" w:rsidRPr="002B528E" w:rsidRDefault="00A42CA7" w:rsidP="00DB051A">
            <w:pPr>
              <w:spacing w:line="240" w:lineRule="auto"/>
              <w:rPr>
                <w:bCs/>
                <w:sz w:val="10"/>
                <w:szCs w:val="10"/>
              </w:rPr>
            </w:pPr>
          </w:p>
          <w:p w14:paraId="0CB49FF3" w14:textId="77777777" w:rsidR="00A42CA7" w:rsidRPr="00A42CA7" w:rsidRDefault="00A42CA7" w:rsidP="00DB051A">
            <w:pPr>
              <w:spacing w:line="240" w:lineRule="auto"/>
              <w:rPr>
                <w:bCs/>
              </w:rPr>
            </w:pPr>
            <w:r w:rsidRPr="00A42CA7">
              <w:rPr>
                <w:bCs/>
              </w:rPr>
              <w:t xml:space="preserve">Le respect du seuil s’apprécie au regard (notamment) du </w:t>
            </w:r>
            <w:r w:rsidRPr="00A42CA7">
              <w:rPr>
                <w:b/>
              </w:rPr>
              <w:t>chiffre d’affaires de l’entité, majoré d’acquisitions taxables</w:t>
            </w:r>
            <w:r w:rsidRPr="00A42CA7">
              <w:rPr>
                <w:bCs/>
              </w:rPr>
              <w:t xml:space="preserve"> (opérations autoliquidées telles que les acquisitions intracommunautaires, les importations, et autres régimes spécifiques d’autoliquidation institués dans certains secteurs).</w:t>
            </w:r>
          </w:p>
          <w:p w14:paraId="0868F07E" w14:textId="77777777" w:rsidR="00A42CA7" w:rsidRPr="002B528E" w:rsidRDefault="00A42CA7" w:rsidP="00DB051A">
            <w:pPr>
              <w:spacing w:line="240" w:lineRule="auto"/>
              <w:rPr>
                <w:bCs/>
                <w:sz w:val="10"/>
                <w:szCs w:val="10"/>
              </w:rPr>
            </w:pPr>
          </w:p>
          <w:p w14:paraId="3CDEC2A1" w14:textId="41F4D8E2" w:rsidR="00A42CA7" w:rsidRPr="00A42CA7" w:rsidRDefault="00A42CA7" w:rsidP="00DB051A">
            <w:pPr>
              <w:spacing w:line="240" w:lineRule="auto"/>
              <w:rPr>
                <w:bCs/>
              </w:rPr>
            </w:pPr>
            <w:r w:rsidRPr="00A42CA7">
              <w:rPr>
                <w:bCs/>
              </w:rPr>
              <w:t xml:space="preserve">Ces seuils feront l’objet d’une </w:t>
            </w:r>
            <w:r w:rsidRPr="00A42CA7">
              <w:rPr>
                <w:b/>
              </w:rPr>
              <w:t>revalorisation par période triennale</w:t>
            </w:r>
            <w:r w:rsidRPr="00A42CA7">
              <w:rPr>
                <w:bCs/>
              </w:rPr>
              <w:t>, la première fois à compter de 2030 (indexés sur l’inflation et arrondis au millier d’euros).</w:t>
            </w:r>
            <w:r w:rsidR="008F18A5" w:rsidRPr="00A42CA7">
              <w:rPr>
                <w:noProof/>
              </w:rPr>
              <w:t xml:space="preserve"> </w:t>
            </w:r>
          </w:p>
          <w:p w14:paraId="48DD5E73" w14:textId="4D1C1D8D" w:rsidR="00A42CA7" w:rsidRPr="00A42CA7" w:rsidRDefault="00DB051A" w:rsidP="00A42CA7">
            <w:pPr>
              <w:spacing w:line="240" w:lineRule="auto"/>
              <w:jc w:val="left"/>
              <w:rPr>
                <w:bCs/>
              </w:rPr>
            </w:pPr>
            <w:r w:rsidRPr="00A42CA7">
              <w:rPr>
                <w:noProof/>
              </w:rPr>
              <mc:AlternateContent>
                <mc:Choice Requires="wps">
                  <w:drawing>
                    <wp:anchor distT="0" distB="0" distL="114300" distR="114300" simplePos="0" relativeHeight="251665408" behindDoc="0" locked="0" layoutInCell="1" allowOverlap="1" wp14:anchorId="3A2A4F0E" wp14:editId="38B4EF75">
                      <wp:simplePos x="0" y="0"/>
                      <wp:positionH relativeFrom="column">
                        <wp:posOffset>4956175</wp:posOffset>
                      </wp:positionH>
                      <wp:positionV relativeFrom="paragraph">
                        <wp:posOffset>0</wp:posOffset>
                      </wp:positionV>
                      <wp:extent cx="619125" cy="373380"/>
                      <wp:effectExtent l="38100" t="38100" r="123825" b="121920"/>
                      <wp:wrapNone/>
                      <wp:docPr id="1106979533" name="Ellipse 10">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9D908B"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A4F0E" id="Ellipse 10" o:spid="_x0000_s1031" href="#DEBUT" style="position:absolute;margin-left:390.25pt;margin-top:0;width:48.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8N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QUNTEm5Up9g8OixbHwVt+K6FYC+bDA3OwS6C2&#10;sB/DPXxKZaDfOLQ7JZVxP1/foR6MNrxQ0sBOyqn/sWFOUKK+ahh6gAr9wfWHVX/Qm/rawECksHEt&#10;j0cwcEH1x9KZ+hnW5Ry9wBPTHHxBQMH1wnVodyMsXC7m86gGi8qysNBLyxEc+cR2fNo9M2e7GQ4w&#10;/Hem31dv5rjVRUtt5ptgShmH/MBfxzQsudim3ULGLXosR63Db2P2CwAA//8DAFBLAwQUAAYACAAA&#10;ACEAGjpeFt0AAAAHAQAADwAAAGRycy9kb3ducmV2LnhtbEyPwU7DMBBE70j8g7VI3KhDUIuVxqkq&#10;UA+oHKAgcXXjbRLVXofYaQNfz3KC42hGM2/K1eSdOOEQu0AabmcZCKQ62I4aDe9vmxsFIiZD1rhA&#10;qOELI6yqy4vSFDac6RVPu9QILqFYGA1tSn0hZaxb9CbOQo/E3iEM3iSWQyPtYM5c7p3Ms2whvemI&#10;F1rT40OL9XE3eg0Lu33KH2ncfubH75fndefu7MdG6+urab0EkXBKf2H4xWd0qJhpH0ayUTgN9yqb&#10;c1QDP2JbsQax1zBXCmRVyv/81Q8AAAD//wMAUEsBAi0AFAAGAAgAAAAhALaDOJL+AAAA4QEAABMA&#10;AAAAAAAAAAAAAAAAAAAAAFtDb250ZW50X1R5cGVzXS54bWxQSwECLQAUAAYACAAAACEAOP0h/9YA&#10;AACUAQAACwAAAAAAAAAAAAAAAAAvAQAAX3JlbHMvLnJlbHNQSwECLQAUAAYACAAAACEAyM1PDfMC&#10;AAB+BgAADgAAAAAAAAAAAAAAAAAuAgAAZHJzL2Uyb0RvYy54bWxQSwECLQAUAAYACAAAACEAGjpe&#10;Ft0AAAAHAQAADwAAAAAAAAAAAAAAAABNBQAAZHJzL2Rvd25yZXYueG1sUEsFBgAAAAAEAAQA8wAA&#10;AFcGAAAAAA==&#10;" o:button="t" fillcolor="#f2f2f2 [3052]" strokecolor="black [3213]" strokeweight="1pt">
                      <v:fill o:detectmouseclick="t"/>
                      <v:stroke joinstyle="miter"/>
                      <v:shadow on="t" color="black" opacity="26214f" origin="-.5,-.5" offset=".74836mm,.74836mm"/>
                      <v:path arrowok="t"/>
                      <v:textbox inset="0,0,0,0">
                        <w:txbxContent>
                          <w:p w14:paraId="5D9D908B"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p>
        </w:tc>
      </w:tr>
      <w:tr w:rsidR="00A06A73" w:rsidRPr="00A42CA7" w14:paraId="042C5910" w14:textId="77777777" w:rsidTr="00BA1390">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tcPr>
          <w:p w14:paraId="493954A4" w14:textId="7C418266" w:rsidR="00A06A73" w:rsidRPr="00973429" w:rsidRDefault="00A06A73" w:rsidP="00DB051A">
            <w:pPr>
              <w:spacing w:line="240" w:lineRule="auto"/>
              <w:jc w:val="center"/>
              <w:rPr>
                <w:b/>
                <w:bCs/>
                <w:i/>
                <w:iCs/>
              </w:rPr>
            </w:pPr>
            <w:bookmarkStart w:id="6" w:name="tvafactelec"/>
            <w:r>
              <w:rPr>
                <w:b/>
                <w:bCs/>
                <w:i/>
                <w:iCs/>
              </w:rPr>
              <w:t>TVA : facturation électronique</w:t>
            </w:r>
            <w:bookmarkEnd w:id="6"/>
          </w:p>
        </w:tc>
        <w:tc>
          <w:tcPr>
            <w:tcW w:w="9083" w:type="dxa"/>
            <w:tcBorders>
              <w:top w:val="single" w:sz="4" w:space="0" w:color="auto"/>
              <w:left w:val="single" w:sz="4" w:space="0" w:color="auto"/>
              <w:bottom w:val="single" w:sz="4" w:space="0" w:color="auto"/>
              <w:right w:val="single" w:sz="4" w:space="0" w:color="auto"/>
            </w:tcBorders>
          </w:tcPr>
          <w:p w14:paraId="1DE4AEDF" w14:textId="77777777" w:rsidR="00A06A73" w:rsidRPr="00973429" w:rsidRDefault="00A06A73" w:rsidP="00A06A73">
            <w:pPr>
              <w:spacing w:line="240" w:lineRule="auto"/>
              <w:jc w:val="left"/>
              <w:rPr>
                <w:b/>
                <w:sz w:val="10"/>
                <w:szCs w:val="10"/>
                <w:u w:val="single"/>
              </w:rPr>
            </w:pPr>
          </w:p>
          <w:p w14:paraId="69155622" w14:textId="77777777" w:rsidR="00A06A73" w:rsidRPr="00973429" w:rsidRDefault="00A06A73" w:rsidP="00A06A73">
            <w:pPr>
              <w:spacing w:line="240" w:lineRule="auto"/>
              <w:rPr>
                <w:b/>
                <w:u w:val="single"/>
              </w:rPr>
            </w:pPr>
            <w:r w:rsidRPr="00973429">
              <w:rPr>
                <w:b/>
                <w:u w:val="single"/>
              </w:rPr>
              <w:t>Facturation électronique</w:t>
            </w:r>
          </w:p>
          <w:p w14:paraId="72964E3C" w14:textId="77777777" w:rsidR="00A06A73" w:rsidRPr="002B528E" w:rsidRDefault="00A06A73" w:rsidP="00A06A73">
            <w:pPr>
              <w:spacing w:line="240" w:lineRule="auto"/>
              <w:rPr>
                <w:b/>
                <w:sz w:val="10"/>
                <w:szCs w:val="10"/>
                <w:u w:val="single"/>
              </w:rPr>
            </w:pPr>
          </w:p>
          <w:p w14:paraId="0B44459E" w14:textId="07BA058A" w:rsidR="00A06A73" w:rsidRPr="00973429" w:rsidRDefault="00A06A73" w:rsidP="00A06A73">
            <w:pPr>
              <w:spacing w:line="240" w:lineRule="auto"/>
              <w:rPr>
                <w:bCs/>
              </w:rPr>
            </w:pPr>
            <w:r w:rsidRPr="00973429">
              <w:rPr>
                <w:bCs/>
              </w:rPr>
              <w:t>Pour rappel, le calendrier de mise en place de la facturation électronique est le suivant :</w:t>
            </w:r>
          </w:p>
          <w:p w14:paraId="552F6E94" w14:textId="77777777" w:rsidR="00A06A73" w:rsidRPr="002B528E" w:rsidRDefault="00A06A73" w:rsidP="00A06A73">
            <w:pPr>
              <w:spacing w:line="240" w:lineRule="auto"/>
              <w:rPr>
                <w:bCs/>
                <w:sz w:val="10"/>
                <w:szCs w:val="10"/>
              </w:rPr>
            </w:pPr>
          </w:p>
          <w:tbl>
            <w:tblPr>
              <w:tblStyle w:val="Grilledutableau"/>
              <w:tblW w:w="0" w:type="auto"/>
              <w:jc w:val="center"/>
              <w:tblLook w:val="04A0" w:firstRow="1" w:lastRow="0" w:firstColumn="1" w:lastColumn="0" w:noHBand="0" w:noVBand="1"/>
            </w:tblPr>
            <w:tblGrid>
              <w:gridCol w:w="5752"/>
              <w:gridCol w:w="1516"/>
              <w:gridCol w:w="1589"/>
            </w:tblGrid>
            <w:tr w:rsidR="00A06A73" w:rsidRPr="00973429" w14:paraId="4B3C6256" w14:textId="77777777" w:rsidTr="00BA1390">
              <w:trPr>
                <w:trHeight w:val="196"/>
                <w:jc w:val="center"/>
              </w:trPr>
              <w:tc>
                <w:tcPr>
                  <w:tcW w:w="5848" w:type="dxa"/>
                  <w:tcMar>
                    <w:top w:w="113" w:type="dxa"/>
                    <w:bottom w:w="113" w:type="dxa"/>
                  </w:tcMar>
                  <w:vAlign w:val="center"/>
                </w:tcPr>
                <w:p w14:paraId="17B1F5BD" w14:textId="77777777" w:rsidR="00A06A73" w:rsidRPr="00973429" w:rsidRDefault="00A06A73" w:rsidP="00A06A73">
                  <w:pPr>
                    <w:jc w:val="center"/>
                    <w:rPr>
                      <w:bCs/>
                    </w:rPr>
                  </w:pPr>
                  <w:r w:rsidRPr="00973429">
                    <w:rPr>
                      <w:bCs/>
                    </w:rPr>
                    <w:t>Taille de l’entreprise</w:t>
                  </w:r>
                </w:p>
              </w:tc>
              <w:tc>
                <w:tcPr>
                  <w:tcW w:w="1418" w:type="dxa"/>
                  <w:tcMar>
                    <w:top w:w="113" w:type="dxa"/>
                    <w:bottom w:w="113" w:type="dxa"/>
                  </w:tcMar>
                  <w:vAlign w:val="center"/>
                </w:tcPr>
                <w:p w14:paraId="212D2290" w14:textId="77777777" w:rsidR="00A06A73" w:rsidRPr="00973429" w:rsidRDefault="00A06A73" w:rsidP="00A06A73">
                  <w:pPr>
                    <w:jc w:val="center"/>
                    <w:rPr>
                      <w:bCs/>
                    </w:rPr>
                  </w:pPr>
                  <w:r w:rsidRPr="00973429">
                    <w:rPr>
                      <w:bCs/>
                    </w:rPr>
                    <w:t>Réception</w:t>
                  </w:r>
                </w:p>
              </w:tc>
              <w:tc>
                <w:tcPr>
                  <w:tcW w:w="1591" w:type="dxa"/>
                  <w:tcMar>
                    <w:top w:w="113" w:type="dxa"/>
                    <w:bottom w:w="113" w:type="dxa"/>
                  </w:tcMar>
                  <w:vAlign w:val="center"/>
                </w:tcPr>
                <w:p w14:paraId="5B93AC0D" w14:textId="77777777" w:rsidR="00A06A73" w:rsidRPr="00973429" w:rsidRDefault="00A06A73" w:rsidP="00A06A73">
                  <w:pPr>
                    <w:jc w:val="center"/>
                    <w:rPr>
                      <w:bCs/>
                    </w:rPr>
                  </w:pPr>
                  <w:r w:rsidRPr="00973429">
                    <w:rPr>
                      <w:bCs/>
                    </w:rPr>
                    <w:t>Émission</w:t>
                  </w:r>
                </w:p>
              </w:tc>
            </w:tr>
            <w:tr w:rsidR="00A06A73" w:rsidRPr="00973429" w14:paraId="0FDEE333" w14:textId="77777777" w:rsidTr="00131A51">
              <w:trPr>
                <w:jc w:val="center"/>
              </w:trPr>
              <w:tc>
                <w:tcPr>
                  <w:tcW w:w="5848" w:type="dxa"/>
                  <w:tcMar>
                    <w:top w:w="113" w:type="dxa"/>
                    <w:bottom w:w="113" w:type="dxa"/>
                  </w:tcMar>
                  <w:vAlign w:val="center"/>
                </w:tcPr>
                <w:p w14:paraId="6695617F" w14:textId="19BA74B2" w:rsidR="00A06A73" w:rsidRPr="00973429" w:rsidRDefault="00A06A73" w:rsidP="00A06A73">
                  <w:pPr>
                    <w:jc w:val="left"/>
                    <w:rPr>
                      <w:bCs/>
                    </w:rPr>
                  </w:pPr>
                  <w:r w:rsidRPr="00973429">
                    <w:rPr>
                      <w:bCs/>
                    </w:rPr>
                    <w:t xml:space="preserve">Grandes </w:t>
                  </w:r>
                  <w:r>
                    <w:rPr>
                      <w:bCs/>
                    </w:rPr>
                    <w:t>E</w:t>
                  </w:r>
                  <w:r w:rsidRPr="00973429">
                    <w:rPr>
                      <w:bCs/>
                    </w:rPr>
                    <w:t xml:space="preserve">ntreprises et Entreprises de Taille Intermédiaire </w:t>
                  </w:r>
                </w:p>
              </w:tc>
              <w:tc>
                <w:tcPr>
                  <w:tcW w:w="1418" w:type="dxa"/>
                  <w:vMerge w:val="restart"/>
                  <w:tcMar>
                    <w:top w:w="113" w:type="dxa"/>
                    <w:bottom w:w="113" w:type="dxa"/>
                  </w:tcMar>
                  <w:vAlign w:val="center"/>
                </w:tcPr>
                <w:p w14:paraId="0BCA2054" w14:textId="77777777" w:rsidR="00A06A73" w:rsidRPr="00973429" w:rsidRDefault="00A06A73" w:rsidP="00A06A73">
                  <w:pPr>
                    <w:jc w:val="center"/>
                    <w:rPr>
                      <w:bCs/>
                    </w:rPr>
                  </w:pPr>
                  <w:r w:rsidRPr="00973429">
                    <w:rPr>
                      <w:bCs/>
                    </w:rPr>
                    <w:t>01/09/2026</w:t>
                  </w:r>
                </w:p>
              </w:tc>
              <w:tc>
                <w:tcPr>
                  <w:tcW w:w="1591" w:type="dxa"/>
                  <w:tcMar>
                    <w:top w:w="113" w:type="dxa"/>
                    <w:bottom w:w="113" w:type="dxa"/>
                  </w:tcMar>
                  <w:vAlign w:val="center"/>
                </w:tcPr>
                <w:p w14:paraId="6446EC2A" w14:textId="77777777" w:rsidR="00A06A73" w:rsidRPr="00973429" w:rsidRDefault="00A06A73" w:rsidP="00A06A73">
                  <w:pPr>
                    <w:jc w:val="center"/>
                    <w:rPr>
                      <w:bCs/>
                    </w:rPr>
                  </w:pPr>
                  <w:r w:rsidRPr="00973429">
                    <w:rPr>
                      <w:bCs/>
                    </w:rPr>
                    <w:t>01/09/2026</w:t>
                  </w:r>
                </w:p>
              </w:tc>
            </w:tr>
            <w:tr w:rsidR="00A06A73" w:rsidRPr="00973429" w14:paraId="03159151" w14:textId="77777777" w:rsidTr="00131A51">
              <w:trPr>
                <w:jc w:val="center"/>
              </w:trPr>
              <w:tc>
                <w:tcPr>
                  <w:tcW w:w="5848" w:type="dxa"/>
                  <w:tcMar>
                    <w:top w:w="113" w:type="dxa"/>
                    <w:bottom w:w="113" w:type="dxa"/>
                  </w:tcMar>
                  <w:vAlign w:val="center"/>
                </w:tcPr>
                <w:p w14:paraId="74BECA21" w14:textId="77777777" w:rsidR="00A06A73" w:rsidRPr="00973429" w:rsidRDefault="00A06A73" w:rsidP="00A06A73">
                  <w:pPr>
                    <w:jc w:val="left"/>
                    <w:rPr>
                      <w:bCs/>
                    </w:rPr>
                  </w:pPr>
                  <w:r w:rsidRPr="00973429">
                    <w:rPr>
                      <w:bCs/>
                    </w:rPr>
                    <w:t xml:space="preserve">PME et </w:t>
                  </w:r>
                  <w:r>
                    <w:rPr>
                      <w:bCs/>
                    </w:rPr>
                    <w:t>M</w:t>
                  </w:r>
                  <w:r w:rsidRPr="00973429">
                    <w:rPr>
                      <w:bCs/>
                    </w:rPr>
                    <w:t>icro-</w:t>
                  </w:r>
                  <w:r>
                    <w:rPr>
                      <w:bCs/>
                    </w:rPr>
                    <w:t>E</w:t>
                  </w:r>
                  <w:r w:rsidRPr="00973429">
                    <w:rPr>
                      <w:bCs/>
                    </w:rPr>
                    <w:t>ntreprises</w:t>
                  </w:r>
                </w:p>
              </w:tc>
              <w:tc>
                <w:tcPr>
                  <w:tcW w:w="1418" w:type="dxa"/>
                  <w:vMerge/>
                  <w:tcMar>
                    <w:top w:w="113" w:type="dxa"/>
                    <w:bottom w:w="113" w:type="dxa"/>
                  </w:tcMar>
                  <w:vAlign w:val="center"/>
                </w:tcPr>
                <w:p w14:paraId="565D5371" w14:textId="77777777" w:rsidR="00A06A73" w:rsidRPr="00973429" w:rsidRDefault="00A06A73" w:rsidP="00A06A73">
                  <w:pPr>
                    <w:jc w:val="center"/>
                    <w:rPr>
                      <w:bCs/>
                    </w:rPr>
                  </w:pPr>
                </w:p>
              </w:tc>
              <w:tc>
                <w:tcPr>
                  <w:tcW w:w="1591" w:type="dxa"/>
                  <w:tcMar>
                    <w:top w:w="113" w:type="dxa"/>
                    <w:bottom w:w="113" w:type="dxa"/>
                  </w:tcMar>
                  <w:vAlign w:val="center"/>
                </w:tcPr>
                <w:p w14:paraId="5556EED7" w14:textId="77777777" w:rsidR="00A06A73" w:rsidRPr="00973429" w:rsidRDefault="00A06A73" w:rsidP="00A06A73">
                  <w:pPr>
                    <w:jc w:val="center"/>
                    <w:rPr>
                      <w:bCs/>
                    </w:rPr>
                  </w:pPr>
                  <w:r w:rsidRPr="00973429">
                    <w:rPr>
                      <w:bCs/>
                    </w:rPr>
                    <w:t>01/09/2027</w:t>
                  </w:r>
                </w:p>
              </w:tc>
            </w:tr>
          </w:tbl>
          <w:p w14:paraId="6D74706B" w14:textId="77777777" w:rsidR="00A06A73" w:rsidRPr="002B528E" w:rsidRDefault="00A06A73" w:rsidP="00A06A73">
            <w:pPr>
              <w:spacing w:line="240" w:lineRule="auto"/>
              <w:rPr>
                <w:bCs/>
                <w:sz w:val="10"/>
                <w:szCs w:val="10"/>
              </w:rPr>
            </w:pPr>
          </w:p>
          <w:p w14:paraId="2709A838" w14:textId="2FB7C008" w:rsidR="00A06A73" w:rsidRDefault="00A06A73" w:rsidP="00A06A73">
            <w:pPr>
              <w:spacing w:line="240" w:lineRule="auto"/>
              <w:rPr>
                <w:bCs/>
              </w:rPr>
            </w:pPr>
            <w:r w:rsidRPr="00973429">
              <w:rPr>
                <w:bCs/>
              </w:rPr>
              <w:t>La transmission des informations suit le même calendrier et doit se faire via une plateforme agréée, partenaire de l’administration. Il s’agira de transmettre :</w:t>
            </w:r>
          </w:p>
          <w:p w14:paraId="388733C0" w14:textId="77777777" w:rsidR="00A06A73" w:rsidRPr="002B528E" w:rsidRDefault="00A06A73" w:rsidP="00A06A73">
            <w:pPr>
              <w:spacing w:line="240" w:lineRule="auto"/>
              <w:rPr>
                <w:bCs/>
                <w:sz w:val="10"/>
                <w:szCs w:val="10"/>
              </w:rPr>
            </w:pPr>
          </w:p>
          <w:p w14:paraId="35D92A90" w14:textId="03D9753A" w:rsidR="00A06A73" w:rsidRPr="00973429" w:rsidRDefault="00A06A73" w:rsidP="00A06A73">
            <w:pPr>
              <w:pStyle w:val="Paragraphedeliste"/>
              <w:numPr>
                <w:ilvl w:val="0"/>
                <w:numId w:val="20"/>
              </w:numPr>
              <w:spacing w:line="240" w:lineRule="auto"/>
              <w:rPr>
                <w:bCs/>
              </w:rPr>
            </w:pPr>
            <w:r w:rsidRPr="00DE0851">
              <w:rPr>
                <w:bCs/>
                <w:u w:val="single"/>
              </w:rPr>
              <w:t>Les données de transactions</w:t>
            </w:r>
            <w:r w:rsidRPr="00973429">
              <w:rPr>
                <w:bCs/>
              </w:rPr>
              <w:t> :</w:t>
            </w:r>
          </w:p>
          <w:p w14:paraId="674299AC" w14:textId="6F6DA79E" w:rsidR="00A06A73" w:rsidRPr="00973429" w:rsidRDefault="00A06A73" w:rsidP="00A06A73">
            <w:pPr>
              <w:pStyle w:val="Paragraphedeliste"/>
              <w:numPr>
                <w:ilvl w:val="0"/>
                <w:numId w:val="29"/>
              </w:numPr>
              <w:spacing w:line="240" w:lineRule="auto"/>
              <w:ind w:left="750" w:hanging="425"/>
              <w:rPr>
                <w:bCs/>
              </w:rPr>
            </w:pPr>
            <w:r w:rsidRPr="00973429">
              <w:rPr>
                <w:bCs/>
              </w:rPr>
              <w:t>Au profit d’une personne assujettie (exportations, LIC exonérée mais aussi les livraisons de biens ou PS taxée en France ou non aux preneurs assujettis)</w:t>
            </w:r>
          </w:p>
          <w:p w14:paraId="010E40A4" w14:textId="2AC25DC2" w:rsidR="00A06A73" w:rsidRPr="00973429" w:rsidRDefault="00A06A73" w:rsidP="00A06A73">
            <w:pPr>
              <w:pStyle w:val="Paragraphedeliste"/>
              <w:numPr>
                <w:ilvl w:val="0"/>
                <w:numId w:val="29"/>
              </w:numPr>
              <w:spacing w:line="240" w:lineRule="auto"/>
              <w:ind w:left="750" w:hanging="425"/>
              <w:rPr>
                <w:bCs/>
              </w:rPr>
            </w:pPr>
            <w:r w:rsidRPr="00973429">
              <w:rPr>
                <w:bCs/>
              </w:rPr>
              <w:t>Au profit d’une personne non assujettie (ventes à distance, LB et PS localisées ou non en France…)</w:t>
            </w:r>
          </w:p>
          <w:p w14:paraId="1AD28F4C" w14:textId="5E872C1A" w:rsidR="00A06A73" w:rsidRPr="00973429" w:rsidRDefault="00A06A73" w:rsidP="00A06A73">
            <w:pPr>
              <w:pStyle w:val="Paragraphedeliste"/>
              <w:numPr>
                <w:ilvl w:val="0"/>
                <w:numId w:val="29"/>
              </w:numPr>
              <w:spacing w:line="240" w:lineRule="auto"/>
              <w:ind w:left="750" w:hanging="425"/>
              <w:rPr>
                <w:bCs/>
              </w:rPr>
            </w:pPr>
            <w:r w:rsidRPr="00973429">
              <w:rPr>
                <w:bCs/>
              </w:rPr>
              <w:t>Acquisitions de biens</w:t>
            </w:r>
            <w:r w:rsidR="00893398">
              <w:rPr>
                <w:bCs/>
              </w:rPr>
              <w:t xml:space="preserve"> </w:t>
            </w:r>
            <w:r w:rsidRPr="00973429">
              <w:rPr>
                <w:bCs/>
              </w:rPr>
              <w:t>ou PS par une personne assujettie taxées en France + opérations liées à la principauté de Monaco.</w:t>
            </w:r>
          </w:p>
          <w:p w14:paraId="1AD02789" w14:textId="77777777" w:rsidR="00A06A73" w:rsidRPr="002B528E" w:rsidRDefault="00A06A73" w:rsidP="00A06A73">
            <w:pPr>
              <w:pStyle w:val="Paragraphedeliste"/>
              <w:spacing w:line="240" w:lineRule="auto"/>
              <w:ind w:left="360"/>
              <w:rPr>
                <w:bCs/>
                <w:sz w:val="10"/>
                <w:szCs w:val="10"/>
              </w:rPr>
            </w:pPr>
          </w:p>
          <w:p w14:paraId="3E897857" w14:textId="75B7A54A" w:rsidR="00A06A73" w:rsidRPr="00973429" w:rsidRDefault="00A06A73" w:rsidP="00A06A73">
            <w:pPr>
              <w:pStyle w:val="Paragraphedeliste"/>
              <w:numPr>
                <w:ilvl w:val="0"/>
                <w:numId w:val="20"/>
              </w:numPr>
              <w:spacing w:line="240" w:lineRule="auto"/>
              <w:rPr>
                <w:bCs/>
              </w:rPr>
            </w:pPr>
            <w:r w:rsidRPr="00DE0851">
              <w:rPr>
                <w:bCs/>
                <w:u w:val="single"/>
              </w:rPr>
              <w:t>Les données de paiement</w:t>
            </w:r>
            <w:r>
              <w:rPr>
                <w:bCs/>
              </w:rPr>
              <w:t> : l’obligation couvre désormais toutes les opérations pour lesquelles la TVA est exigible à l’encaissement (donc sur les acomptes de livraisons de biens en plus des opérations relatives aux prestations de services).</w:t>
            </w:r>
          </w:p>
          <w:p w14:paraId="3ADA8154" w14:textId="77777777" w:rsidR="00A06A73" w:rsidRPr="002B528E" w:rsidRDefault="00A06A73" w:rsidP="00A06A73">
            <w:pPr>
              <w:spacing w:line="240" w:lineRule="auto"/>
              <w:rPr>
                <w:bCs/>
                <w:sz w:val="10"/>
                <w:szCs w:val="10"/>
              </w:rPr>
            </w:pPr>
          </w:p>
          <w:p w14:paraId="6BA03BE5" w14:textId="69312094" w:rsidR="00A06A73" w:rsidRDefault="008F18A5" w:rsidP="00A06A73">
            <w:pPr>
              <w:spacing w:line="240" w:lineRule="auto"/>
              <w:rPr>
                <w:bCs/>
              </w:rPr>
            </w:pPr>
            <w:r w:rsidRPr="00A42CA7">
              <w:rPr>
                <w:noProof/>
              </w:rPr>
              <mc:AlternateContent>
                <mc:Choice Requires="wps">
                  <w:drawing>
                    <wp:anchor distT="0" distB="0" distL="114300" distR="114300" simplePos="0" relativeHeight="251677696" behindDoc="0" locked="0" layoutInCell="1" allowOverlap="1" wp14:anchorId="6A511E23" wp14:editId="37FEFD1A">
                      <wp:simplePos x="0" y="0"/>
                      <wp:positionH relativeFrom="column">
                        <wp:posOffset>5023485</wp:posOffset>
                      </wp:positionH>
                      <wp:positionV relativeFrom="paragraph">
                        <wp:posOffset>550545</wp:posOffset>
                      </wp:positionV>
                      <wp:extent cx="619125" cy="373380"/>
                      <wp:effectExtent l="38100" t="38100" r="123825" b="121920"/>
                      <wp:wrapNone/>
                      <wp:docPr id="1" name="Ellipse 10">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8F530" w14:textId="77777777" w:rsidR="008F18A5" w:rsidRDefault="008F18A5" w:rsidP="008F18A5">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11E23" id="_x0000_s1032" href="#DEBUT" style="position:absolute;left:0;text-align:left;margin-left:395.55pt;margin-top:43.35pt;width:48.75pt;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T9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fQ5KiJNytT7B8cFi2Og7f8VkKxFsyHB+Zgl0Bt&#10;YT+Ge/iUykC/cWh3Sirjfr6+Qz0YbXihpIGdlFP/Y8OcoER91TD0ABX6g+sPq/6gN/W1gYFIYeNa&#10;Ho9g4ILqj6Uz9TOsyzl6gSemOfiCgILrhevQ7kZYuFzM51ENFpVlYaGXliM48ont+LR7Zs52Mxxg&#10;+O9Mv6/ezHGri5bazDfBlDIO+YG/jmlYcrFNu4WMW/RYjlqH38bsFwAAAP//AwBQSwMEFAAGAAgA&#10;AAAhACsK4grhAAAACgEAAA8AAABkcnMvZG93bnJldi54bWxMj8FOwzAQRO9I/IO1SNyok0BTE+JU&#10;FagHVA5QKvXqxksS1V6H2GkDX485wXE1TzNvy+VkDTvh4DtHEtJZAgypdrqjRsLufX0jgPmgSCvj&#10;CCV8oYdldXlRqkK7M73haRsaFkvIF0pCG0JfcO7rFq3yM9cjxezDDVaFeA4N14M6x3JreJYkObeq&#10;o7jQqh4fW6yP29FKyPXmOXuicfOZHb9fX1adudX7tZTXV9PqAVjAKfzB8Ksf1aGKTgc3kvbMSFjc&#10;p2lEJYh8ASwCQogc2CGSd/M58Krk/1+ofgAAAP//AwBQSwECLQAUAAYACAAAACEAtoM4kv4AAADh&#10;AQAAEwAAAAAAAAAAAAAAAAAAAAAAW0NvbnRlbnRfVHlwZXNdLnhtbFBLAQItABQABgAIAAAAIQA4&#10;/SH/1gAAAJQBAAALAAAAAAAAAAAAAAAAAC8BAABfcmVscy8ucmVsc1BLAQItABQABgAIAAAAIQD5&#10;clT99AIAAH4GAAAOAAAAAAAAAAAAAAAAAC4CAABkcnMvZTJvRG9jLnhtbFBLAQItABQABgAIAAAA&#10;IQArCuIK4QAAAAoBAAAPAAAAAAAAAAAAAAAAAE4FAABkcnMvZG93bnJldi54bWxQSwUGAAAAAAQA&#10;BADzAAAAXAYAAAAA&#10;" o:button="t" fillcolor="#f2f2f2 [3052]" strokecolor="black [3213]" strokeweight="1pt">
                      <v:fill o:detectmouseclick="t"/>
                      <v:stroke joinstyle="miter"/>
                      <v:shadow on="t" color="black" opacity="26214f" origin="-.5,-.5" offset=".74836mm,.74836mm"/>
                      <v:path arrowok="t"/>
                      <v:textbox inset="0,0,0,0">
                        <w:txbxContent>
                          <w:p w14:paraId="4588F530" w14:textId="77777777" w:rsidR="008F18A5" w:rsidRDefault="008F18A5" w:rsidP="008F18A5">
                            <w:pPr>
                              <w:jc w:val="center"/>
                              <w:rPr>
                                <w:color w:val="000000" w:themeColor="text1"/>
                                <w:sz w:val="16"/>
                                <w:szCs w:val="16"/>
                              </w:rPr>
                            </w:pPr>
                            <w:r>
                              <w:rPr>
                                <w:color w:val="000000" w:themeColor="text1"/>
                                <w:sz w:val="16"/>
                                <w:szCs w:val="16"/>
                              </w:rPr>
                              <w:t>Retour sommaire</w:t>
                            </w:r>
                          </w:p>
                        </w:txbxContent>
                      </v:textbox>
                    </v:oval>
                  </w:pict>
                </mc:Fallback>
              </mc:AlternateContent>
            </w:r>
            <w:r w:rsidR="00A06A73">
              <w:rPr>
                <w:bCs/>
              </w:rPr>
              <w:t>Les amendes liées au non-respect de ces obligations ont été revue à la hausse, dépendent du type d’omission (non-respect de l’émission d’une facture, non recours à une plateforme agréée, non transmission des données…), de certains délais et peuvent être plafonnées par année civile.</w:t>
            </w:r>
          </w:p>
          <w:p w14:paraId="3770F9CF" w14:textId="6A2895C5" w:rsidR="00A06A73" w:rsidRPr="00973429" w:rsidRDefault="00A06A73" w:rsidP="00A42CA7">
            <w:pPr>
              <w:spacing w:line="240" w:lineRule="auto"/>
              <w:jc w:val="left"/>
              <w:rPr>
                <w:b/>
                <w:sz w:val="10"/>
                <w:szCs w:val="10"/>
                <w:u w:val="single"/>
              </w:rPr>
            </w:pPr>
          </w:p>
        </w:tc>
      </w:tr>
      <w:tr w:rsidR="00A42CA7" w:rsidRPr="00A42CA7" w14:paraId="086928F1" w14:textId="77777777" w:rsidTr="00BA1390">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2A61B" w14:textId="77777777" w:rsidR="00A42CA7" w:rsidRPr="00973429" w:rsidRDefault="00A42CA7" w:rsidP="00DB051A">
            <w:pPr>
              <w:spacing w:line="240" w:lineRule="auto"/>
              <w:jc w:val="center"/>
              <w:rPr>
                <w:b/>
                <w:bCs/>
                <w:i/>
                <w:iCs/>
              </w:rPr>
            </w:pPr>
            <w:bookmarkStart w:id="7" w:name="tvadivers"/>
            <w:r w:rsidRPr="00973429">
              <w:rPr>
                <w:b/>
                <w:bCs/>
                <w:i/>
                <w:iCs/>
              </w:rPr>
              <w:lastRenderedPageBreak/>
              <w:t>TVA : mesures diverses</w:t>
            </w:r>
            <w:bookmarkEnd w:id="7"/>
          </w:p>
        </w:tc>
        <w:tc>
          <w:tcPr>
            <w:tcW w:w="9083" w:type="dxa"/>
            <w:tcBorders>
              <w:top w:val="single" w:sz="4" w:space="0" w:color="auto"/>
              <w:left w:val="single" w:sz="4" w:space="0" w:color="auto"/>
              <w:bottom w:val="single" w:sz="4" w:space="0" w:color="auto"/>
              <w:right w:val="single" w:sz="4" w:space="0" w:color="auto"/>
            </w:tcBorders>
          </w:tcPr>
          <w:p w14:paraId="327D883C" w14:textId="77777777" w:rsidR="002D3BD6" w:rsidRDefault="002D3BD6" w:rsidP="00DB051A">
            <w:pPr>
              <w:spacing w:line="240" w:lineRule="auto"/>
              <w:rPr>
                <w:bCs/>
              </w:rPr>
            </w:pPr>
          </w:p>
          <w:p w14:paraId="77C9EAE8" w14:textId="164AB332" w:rsidR="002D3BD6" w:rsidRPr="002D3BD6" w:rsidRDefault="002D3BD6" w:rsidP="00DB051A">
            <w:pPr>
              <w:spacing w:line="240" w:lineRule="auto"/>
              <w:rPr>
                <w:b/>
                <w:u w:val="single"/>
              </w:rPr>
            </w:pPr>
            <w:r w:rsidRPr="002D3BD6">
              <w:rPr>
                <w:b/>
                <w:u w:val="single"/>
              </w:rPr>
              <w:t>Logiciel de caisse</w:t>
            </w:r>
          </w:p>
          <w:p w14:paraId="2418E28E" w14:textId="77777777" w:rsidR="002D3BD6" w:rsidRDefault="002D3BD6" w:rsidP="00DB051A">
            <w:pPr>
              <w:spacing w:line="240" w:lineRule="auto"/>
              <w:rPr>
                <w:bCs/>
              </w:rPr>
            </w:pPr>
          </w:p>
          <w:p w14:paraId="5B230A75" w14:textId="3139D951" w:rsidR="002D3BD6" w:rsidRPr="00A42CA7" w:rsidRDefault="002D3BD6" w:rsidP="002D3BD6">
            <w:pPr>
              <w:spacing w:line="240" w:lineRule="auto"/>
              <w:rPr>
                <w:bCs/>
              </w:rPr>
            </w:pPr>
            <w:r w:rsidRPr="002D3BD6">
              <w:rPr>
                <w:bCs/>
              </w:rPr>
              <w:t>La LF pour 2025 avait supprimé la justification de la conformité des logiciels de caisse par une attestation fournie par l’éditeur du logiciel. La certification par un organisme tiers accrédité devenait la seule attestation possible mais compte tenu des délais d’obtention de la certification, elle est repoussée au 01/09/2026, donnant ainsi encore la possibilité de justifier de la conformité du logiciel par une attestation de l’éditeur.</w:t>
            </w:r>
          </w:p>
          <w:p w14:paraId="584E9E7D" w14:textId="77777777" w:rsidR="002D3BD6" w:rsidRPr="007E795D" w:rsidRDefault="002D3BD6" w:rsidP="00DB051A">
            <w:pPr>
              <w:spacing w:line="240" w:lineRule="auto"/>
              <w:rPr>
                <w:bCs/>
                <w:u w:val="single"/>
              </w:rPr>
            </w:pPr>
          </w:p>
          <w:p w14:paraId="49703296" w14:textId="00B7C92E" w:rsidR="002D3BD6" w:rsidRPr="007E795D" w:rsidRDefault="00793E34" w:rsidP="00DB051A">
            <w:pPr>
              <w:spacing w:line="240" w:lineRule="auto"/>
              <w:rPr>
                <w:b/>
                <w:u w:val="single"/>
              </w:rPr>
            </w:pPr>
            <w:r w:rsidRPr="007E795D">
              <w:rPr>
                <w:b/>
                <w:u w:val="single"/>
              </w:rPr>
              <w:t>Exclusion du droit à déduction</w:t>
            </w:r>
          </w:p>
          <w:p w14:paraId="0DDC09FD" w14:textId="77777777" w:rsidR="00793E34" w:rsidRDefault="00793E34" w:rsidP="00DB051A">
            <w:pPr>
              <w:spacing w:line="240" w:lineRule="auto"/>
              <w:rPr>
                <w:bCs/>
              </w:rPr>
            </w:pPr>
          </w:p>
          <w:p w14:paraId="0BCBAADA" w14:textId="1F733FE8" w:rsidR="00793E34" w:rsidRDefault="00793E34" w:rsidP="00DB051A">
            <w:pPr>
              <w:spacing w:line="240" w:lineRule="auto"/>
              <w:rPr>
                <w:bCs/>
              </w:rPr>
            </w:pPr>
            <w:r>
              <w:rPr>
                <w:bCs/>
              </w:rPr>
              <w:t xml:space="preserve">La LF pour 2026 rend désormais déductible la TVA sur les biens et les services utilisés pour des </w:t>
            </w:r>
            <w:r w:rsidRPr="00F9091F">
              <w:rPr>
                <w:b/>
              </w:rPr>
              <w:t xml:space="preserve">publicités </w:t>
            </w:r>
            <w:r>
              <w:rPr>
                <w:bCs/>
              </w:rPr>
              <w:t>(sans autre précision particulière).</w:t>
            </w:r>
          </w:p>
          <w:p w14:paraId="01543576" w14:textId="77777777" w:rsidR="002D3BD6" w:rsidRDefault="002D3BD6" w:rsidP="00DB051A">
            <w:pPr>
              <w:spacing w:line="240" w:lineRule="auto"/>
              <w:rPr>
                <w:bCs/>
              </w:rPr>
            </w:pPr>
          </w:p>
          <w:p w14:paraId="4F9E6FD0" w14:textId="77777777" w:rsidR="00793E34" w:rsidRDefault="00793E34" w:rsidP="00DB051A">
            <w:pPr>
              <w:spacing w:line="240" w:lineRule="auto"/>
              <w:rPr>
                <w:bCs/>
              </w:rPr>
            </w:pPr>
          </w:p>
          <w:p w14:paraId="4D9AEB53" w14:textId="7B0ABDF0" w:rsidR="00793E34" w:rsidRPr="007E795D" w:rsidRDefault="00793E34" w:rsidP="00DB051A">
            <w:pPr>
              <w:spacing w:line="240" w:lineRule="auto"/>
              <w:rPr>
                <w:b/>
                <w:u w:val="single"/>
              </w:rPr>
            </w:pPr>
            <w:r w:rsidRPr="007E795D">
              <w:rPr>
                <w:b/>
                <w:u w:val="single"/>
              </w:rPr>
              <w:t>Taux de TVA</w:t>
            </w:r>
          </w:p>
          <w:p w14:paraId="4CA0CCD6" w14:textId="77777777" w:rsidR="00793E34" w:rsidRDefault="00793E34" w:rsidP="00DB051A">
            <w:pPr>
              <w:spacing w:line="240" w:lineRule="auto"/>
              <w:rPr>
                <w:bCs/>
              </w:rPr>
            </w:pPr>
          </w:p>
          <w:p w14:paraId="3A524F61" w14:textId="1E42AC45" w:rsidR="00793E34" w:rsidRDefault="00793E34" w:rsidP="00DB051A">
            <w:pPr>
              <w:spacing w:line="240" w:lineRule="auto"/>
              <w:rPr>
                <w:bCs/>
              </w:rPr>
            </w:pPr>
            <w:r>
              <w:rPr>
                <w:bCs/>
              </w:rPr>
              <w:t xml:space="preserve">Après la suppression du taux réduit </w:t>
            </w:r>
            <w:r w:rsidR="007E795D">
              <w:rPr>
                <w:bCs/>
              </w:rPr>
              <w:t xml:space="preserve">(5,5%) </w:t>
            </w:r>
            <w:r>
              <w:rPr>
                <w:bCs/>
              </w:rPr>
              <w:t xml:space="preserve">pour </w:t>
            </w:r>
            <w:r w:rsidR="007E795D">
              <w:rPr>
                <w:bCs/>
              </w:rPr>
              <w:t xml:space="preserve">certains travaux immobiliers liés aux énergies fossiles par la LF pour 2025, </w:t>
            </w:r>
            <w:r w:rsidR="007E795D" w:rsidRPr="00F9091F">
              <w:rPr>
                <w:b/>
              </w:rPr>
              <w:t xml:space="preserve">la LF pour 2026 étend le bénéfice du taux réduit à certains travaux de rénovation énergétiques </w:t>
            </w:r>
            <w:r w:rsidR="007E795D">
              <w:rPr>
                <w:bCs/>
              </w:rPr>
              <w:t>(certaines pompes à chaleur air/air, dispositifs de production l’électricité utilisant l’énergie solaire par un installateur agréé…).</w:t>
            </w:r>
          </w:p>
          <w:p w14:paraId="2FB8787E" w14:textId="77777777" w:rsidR="007E795D" w:rsidRDefault="007E795D" w:rsidP="00DB051A">
            <w:pPr>
              <w:spacing w:line="240" w:lineRule="auto"/>
              <w:rPr>
                <w:bCs/>
              </w:rPr>
            </w:pPr>
          </w:p>
          <w:p w14:paraId="36777347" w14:textId="77777777" w:rsidR="00882F6F" w:rsidRDefault="00882F6F" w:rsidP="00DB051A">
            <w:pPr>
              <w:spacing w:line="240" w:lineRule="auto"/>
              <w:rPr>
                <w:bCs/>
              </w:rPr>
            </w:pPr>
          </w:p>
          <w:p w14:paraId="5BDB7FB5" w14:textId="7C891EF9" w:rsidR="007E795D" w:rsidRPr="007E795D" w:rsidRDefault="007E795D" w:rsidP="00DB051A">
            <w:pPr>
              <w:spacing w:line="240" w:lineRule="auto"/>
              <w:rPr>
                <w:b/>
                <w:u w:val="single"/>
              </w:rPr>
            </w:pPr>
            <w:r w:rsidRPr="007E795D">
              <w:rPr>
                <w:b/>
                <w:u w:val="single"/>
              </w:rPr>
              <w:t>Taxe petits colis</w:t>
            </w:r>
          </w:p>
          <w:p w14:paraId="379A8D90" w14:textId="77777777" w:rsidR="007E795D" w:rsidRDefault="007E795D" w:rsidP="00DB051A">
            <w:pPr>
              <w:spacing w:line="240" w:lineRule="auto"/>
              <w:rPr>
                <w:bCs/>
              </w:rPr>
            </w:pPr>
          </w:p>
          <w:p w14:paraId="04582303" w14:textId="60470A09" w:rsidR="007E795D" w:rsidRPr="00973429" w:rsidRDefault="008F18A5" w:rsidP="00DB051A">
            <w:pPr>
              <w:spacing w:line="240" w:lineRule="auto"/>
              <w:rPr>
                <w:bCs/>
              </w:rPr>
            </w:pPr>
            <w:r w:rsidRPr="00A42CA7">
              <w:rPr>
                <w:noProof/>
              </w:rPr>
              <mc:AlternateContent>
                <mc:Choice Requires="wps">
                  <w:drawing>
                    <wp:anchor distT="0" distB="0" distL="114300" distR="114300" simplePos="0" relativeHeight="251679744" behindDoc="0" locked="0" layoutInCell="1" allowOverlap="1" wp14:anchorId="0B99F2D0" wp14:editId="508E4902">
                      <wp:simplePos x="0" y="0"/>
                      <wp:positionH relativeFrom="column">
                        <wp:posOffset>5023485</wp:posOffset>
                      </wp:positionH>
                      <wp:positionV relativeFrom="paragraph">
                        <wp:posOffset>777875</wp:posOffset>
                      </wp:positionV>
                      <wp:extent cx="619125" cy="373380"/>
                      <wp:effectExtent l="38100" t="38100" r="123825" b="121920"/>
                      <wp:wrapNone/>
                      <wp:docPr id="2" name="Ellipse 10">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BBBCBD" w14:textId="77777777" w:rsidR="008F18A5" w:rsidRDefault="008F18A5" w:rsidP="008F18A5">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9F2D0" id="_x0000_s1033" href="#DEBUT" style="position:absolute;left:0;text-align:left;margin-left:395.55pt;margin-top:61.25pt;width:48.75pt;height:2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2t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c5PUdNvFmZYv/gsGhxHLzltxKKtWA+PDAHuwRq&#10;C/sx3MOnVAb6jUO7U1IZ9/P1HerBaMMLJQ3spJz6HxvmBCXqq4ahB6jQH1x/WPUHvamvDQxEChvX&#10;8ngEAxdUfyydqZ9hXc7RCzwxzcEXBBRcL1yHdjfCwuViPo9qsKgsCwu9tBzBkU9sx6fdM3O2m+EA&#10;w39n+n31Zo5bXbTUZr4JppRxyA/8dUzDkott2i1k3KLHctQ6/DZmvwAAAP//AwBQSwMEFAAGAAgA&#10;AAAhABhtm7HgAAAACwEAAA8AAABkcnMvZG93bnJldi54bWxMj8FOwzAMhu9IvENkJG4sbSZKKE2n&#10;CbQDGgcYSFyzJrTVEqc06VZ4eswJjvb/6ffnajV7x452jH1ABfkiA2axCabHVsHb6+ZKAotJo9Eu&#10;oFXwZSOs6vOzSpcmnPDFHnepZVSCsdQKupSGkvPYdNbruAiDRco+wuh1onFsuRn1icq94yLLCu51&#10;j3Sh04O972xz2E1eQWG2j+IBp+2nOHw/P617tzTvG6UuL+b1HbBk5/QHw68+qUNNTvswoYnMKbi5&#10;zXNCKRDiGhgRUsoC2J42Ml8Cryv+/4f6BwAA//8DAFBLAQItABQABgAIAAAAIQC2gziS/gAAAOEB&#10;AAATAAAAAAAAAAAAAAAAAAAAAABbQ29udGVudF9UeXBlc10ueG1sUEsBAi0AFAAGAAgAAAAhADj9&#10;If/WAAAAlAEAAAsAAAAAAAAAAAAAAAAALwEAAF9yZWxzLy5yZWxzUEsBAi0AFAAGAAgAAAAhABYY&#10;Xa30AgAAfgYAAA4AAAAAAAAAAAAAAAAALgIAAGRycy9lMm9Eb2MueG1sUEsBAi0AFAAGAAgAAAAh&#10;ABhtm7HgAAAACwEAAA8AAAAAAAAAAAAAAAAATgUAAGRycy9kb3ducmV2LnhtbFBLBQYAAAAABAAE&#10;APMAAABbBgAAAAA=&#10;" o:button="t" fillcolor="#f2f2f2 [3052]" strokecolor="black [3213]" strokeweight="1pt">
                      <v:fill o:detectmouseclick="t"/>
                      <v:stroke joinstyle="miter"/>
                      <v:shadow on="t" color="black" opacity="26214f" origin="-.5,-.5" offset=".74836mm,.74836mm"/>
                      <v:path arrowok="t"/>
                      <v:textbox inset="0,0,0,0">
                        <w:txbxContent>
                          <w:p w14:paraId="1CBBBCBD" w14:textId="77777777" w:rsidR="008F18A5" w:rsidRDefault="008F18A5" w:rsidP="008F18A5">
                            <w:pPr>
                              <w:jc w:val="center"/>
                              <w:rPr>
                                <w:color w:val="000000" w:themeColor="text1"/>
                                <w:sz w:val="16"/>
                                <w:szCs w:val="16"/>
                              </w:rPr>
                            </w:pPr>
                            <w:r>
                              <w:rPr>
                                <w:color w:val="000000" w:themeColor="text1"/>
                                <w:sz w:val="16"/>
                                <w:szCs w:val="16"/>
                              </w:rPr>
                              <w:t>Retour sommaire</w:t>
                            </w:r>
                          </w:p>
                        </w:txbxContent>
                      </v:textbox>
                    </v:oval>
                  </w:pict>
                </mc:Fallback>
              </mc:AlternateContent>
            </w:r>
            <w:r w:rsidR="007E795D">
              <w:rPr>
                <w:bCs/>
              </w:rPr>
              <w:t xml:space="preserve">Dans l’attente de l’application d’un prélèvement européen à l’importation de certains articles d’ici fin 2026, </w:t>
            </w:r>
            <w:r w:rsidR="007E795D" w:rsidRPr="00F9091F">
              <w:rPr>
                <w:b/>
              </w:rPr>
              <w:t xml:space="preserve">une nouvelle taxe de 2 € </w:t>
            </w:r>
            <w:r w:rsidR="00695B5F" w:rsidRPr="00F9091F">
              <w:rPr>
                <w:b/>
              </w:rPr>
              <w:t>sur chaque article importé en France et contenu dans un envoi de faible valeur (≤150€ HT)</w:t>
            </w:r>
            <w:r w:rsidR="00885416">
              <w:rPr>
                <w:b/>
              </w:rPr>
              <w:t xml:space="preserve"> est instaurée</w:t>
            </w:r>
            <w:r w:rsidR="00695B5F">
              <w:rPr>
                <w:bCs/>
              </w:rPr>
              <w:t>. Le fait générateur et l’exigibilité de cette taxe (dont le redevable est le redevable de la TVA à l’importation) est l’importation (déclaration spécifique en douane)</w:t>
            </w:r>
            <w:r w:rsidR="00D95082">
              <w:rPr>
                <w:bCs/>
              </w:rPr>
              <w:t>, à compter du 01/03/2026.</w:t>
            </w:r>
          </w:p>
          <w:p w14:paraId="0218B1C9" w14:textId="7F0895B7" w:rsidR="00A42CA7" w:rsidRPr="00F9091F" w:rsidRDefault="00A42CA7" w:rsidP="00FF6C41">
            <w:pPr>
              <w:spacing w:line="240" w:lineRule="auto"/>
              <w:rPr>
                <w:b/>
                <w:szCs w:val="24"/>
                <w:u w:val="single"/>
              </w:rPr>
            </w:pPr>
          </w:p>
        </w:tc>
      </w:tr>
      <w:tr w:rsidR="00BA1390" w:rsidRPr="00A42CA7" w14:paraId="1568678A" w14:textId="77777777" w:rsidTr="00BA1390">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2CBE10" w14:textId="77777777" w:rsidR="00BA1390" w:rsidRPr="005C6AD3" w:rsidRDefault="00BA1390" w:rsidP="00A74F09">
            <w:pPr>
              <w:spacing w:line="240" w:lineRule="auto"/>
              <w:jc w:val="center"/>
              <w:rPr>
                <w:b/>
                <w:bCs/>
                <w:i/>
                <w:iCs/>
              </w:rPr>
            </w:pPr>
            <w:bookmarkStart w:id="8" w:name="IScontribexcep"/>
            <w:r w:rsidRPr="005C6AD3">
              <w:rPr>
                <w:b/>
                <w:bCs/>
                <w:i/>
                <w:iCs/>
              </w:rPr>
              <w:t>IS : contribution exceptionnelle</w:t>
            </w:r>
            <w:bookmarkEnd w:id="8"/>
          </w:p>
        </w:tc>
        <w:tc>
          <w:tcPr>
            <w:tcW w:w="9083" w:type="dxa"/>
            <w:tcBorders>
              <w:top w:val="single" w:sz="4" w:space="0" w:color="auto"/>
              <w:left w:val="single" w:sz="4" w:space="0" w:color="auto"/>
              <w:bottom w:val="single" w:sz="4" w:space="0" w:color="auto"/>
              <w:right w:val="single" w:sz="4" w:space="0" w:color="auto"/>
            </w:tcBorders>
          </w:tcPr>
          <w:p w14:paraId="1A843804" w14:textId="4A41B833" w:rsidR="00BA1390" w:rsidRPr="00BA1390" w:rsidRDefault="00BA1390" w:rsidP="00BA1390">
            <w:pPr>
              <w:spacing w:line="240" w:lineRule="auto"/>
              <w:rPr>
                <w:bCs/>
              </w:rPr>
            </w:pPr>
          </w:p>
          <w:p w14:paraId="5D65C0E0" w14:textId="109537E9" w:rsidR="00BA1390" w:rsidRPr="00F9091F" w:rsidRDefault="00BA1390" w:rsidP="00A74F09">
            <w:pPr>
              <w:spacing w:line="240" w:lineRule="auto"/>
              <w:rPr>
                <w:b/>
                <w:u w:val="single"/>
              </w:rPr>
            </w:pPr>
            <w:r w:rsidRPr="00F9091F">
              <w:rPr>
                <w:b/>
                <w:u w:val="single"/>
              </w:rPr>
              <w:t>Prolongation de la contribution d’IS pour les grandes entreprises</w:t>
            </w:r>
          </w:p>
          <w:p w14:paraId="23A53FE5" w14:textId="77777777" w:rsidR="00BA1390" w:rsidRPr="00BA1390" w:rsidRDefault="00BA1390" w:rsidP="00A74F09">
            <w:pPr>
              <w:spacing w:line="240" w:lineRule="auto"/>
              <w:rPr>
                <w:bCs/>
              </w:rPr>
            </w:pPr>
          </w:p>
          <w:p w14:paraId="15910AF6" w14:textId="4ACA80D7" w:rsidR="00BA1390" w:rsidRPr="005C6AD3" w:rsidRDefault="00BA1390" w:rsidP="00A74F09">
            <w:pPr>
              <w:spacing w:line="240" w:lineRule="auto"/>
              <w:rPr>
                <w:bCs/>
              </w:rPr>
            </w:pPr>
            <w:r w:rsidRPr="00BA1390">
              <w:rPr>
                <w:bCs/>
              </w:rPr>
              <w:t xml:space="preserve">Rappels : </w:t>
            </w:r>
            <w:r w:rsidRPr="005C6AD3">
              <w:rPr>
                <w:bCs/>
              </w:rPr>
              <w:t xml:space="preserve">cette contribution </w:t>
            </w:r>
            <w:r>
              <w:rPr>
                <w:bCs/>
              </w:rPr>
              <w:t xml:space="preserve">instaurée par la LF pour 2025 sur les sociétés à l’IS dont le CA réalisé en France </w:t>
            </w:r>
            <w:r w:rsidRPr="005C6AD3">
              <w:rPr>
                <w:bCs/>
              </w:rPr>
              <w:t xml:space="preserve">≥ 1 Milliard d’euros en 2024 ou en 2025 </w:t>
            </w:r>
            <w:r>
              <w:rPr>
                <w:bCs/>
              </w:rPr>
              <w:t>est calculée en fonction du CA de l’entreprise et de l’IS moyen 2024-2025 -voir résumé de la LF pour 2025).</w:t>
            </w:r>
          </w:p>
          <w:p w14:paraId="785E3FE1" w14:textId="77777777" w:rsidR="00BA1390" w:rsidRPr="00BA1390" w:rsidRDefault="00BA1390" w:rsidP="00A74F09">
            <w:pPr>
              <w:spacing w:line="240" w:lineRule="auto"/>
              <w:rPr>
                <w:bCs/>
              </w:rPr>
            </w:pPr>
          </w:p>
          <w:p w14:paraId="52C583A3" w14:textId="6EA44C63" w:rsidR="00BA1390" w:rsidRPr="00BA1390" w:rsidRDefault="00BA1390" w:rsidP="00A74F09">
            <w:pPr>
              <w:spacing w:line="240" w:lineRule="auto"/>
              <w:rPr>
                <w:bCs/>
              </w:rPr>
            </w:pPr>
            <w:r w:rsidRPr="00BA1390">
              <w:rPr>
                <w:bCs/>
              </w:rPr>
              <w:t>Cette contribution est reconduite pour 2026 avec un relèvement du seuil de 1 Md€ à 1,5 Md€ au titre du second exercice au titre duquel la contribution est due (soit 2026 pour les sociétés assujetties dès 2025).</w:t>
            </w:r>
          </w:p>
          <w:p w14:paraId="7E57E971" w14:textId="77777777" w:rsidR="00BA1390" w:rsidRPr="00BA1390" w:rsidRDefault="00BA1390" w:rsidP="00BA1390">
            <w:pPr>
              <w:spacing w:line="240" w:lineRule="auto"/>
              <w:rPr>
                <w:bCs/>
              </w:rPr>
            </w:pPr>
          </w:p>
          <w:p w14:paraId="0DA37D1B" w14:textId="77777777" w:rsidR="00BA1390" w:rsidRPr="00BA1390" w:rsidRDefault="00BA1390" w:rsidP="00A74F09">
            <w:pPr>
              <w:spacing w:line="240" w:lineRule="auto"/>
              <w:rPr>
                <w:bCs/>
              </w:rPr>
            </w:pPr>
            <w:r w:rsidRPr="00BA1390">
              <w:rPr>
                <w:bCs/>
              </w:rPr>
              <w:t>Les modalités de calcul et de recouvrement restent identiques (voir LF pour 2025)</w:t>
            </w:r>
          </w:p>
          <w:p w14:paraId="54031B65" w14:textId="77777777" w:rsidR="00BA1390" w:rsidRPr="005C6AD3" w:rsidRDefault="00BA1390" w:rsidP="00A74F09">
            <w:pPr>
              <w:numPr>
                <w:ilvl w:val="0"/>
                <w:numId w:val="20"/>
              </w:numPr>
              <w:spacing w:line="240" w:lineRule="auto"/>
              <w:ind w:left="663" w:hanging="425"/>
              <w:rPr>
                <w:bCs/>
              </w:rPr>
            </w:pPr>
            <w:r w:rsidRPr="005C6AD3">
              <w:rPr>
                <w:bCs/>
              </w:rPr>
              <w:t xml:space="preserve">Base imposable : moyenne de l’IS </w:t>
            </w:r>
            <w:r>
              <w:rPr>
                <w:bCs/>
              </w:rPr>
              <w:t>brut des 2 années précédentes…</w:t>
            </w:r>
          </w:p>
          <w:p w14:paraId="163EE070" w14:textId="717472EB" w:rsidR="00BA1390" w:rsidRDefault="00BA1390" w:rsidP="00A74F09">
            <w:pPr>
              <w:numPr>
                <w:ilvl w:val="0"/>
                <w:numId w:val="20"/>
              </w:numPr>
              <w:spacing w:line="240" w:lineRule="auto"/>
              <w:ind w:left="663" w:hanging="425"/>
              <w:rPr>
                <w:bCs/>
              </w:rPr>
            </w:pPr>
            <w:r w:rsidRPr="005C6AD3">
              <w:rPr>
                <w:bCs/>
              </w:rPr>
              <w:t xml:space="preserve">Taux d’imposition : </w:t>
            </w:r>
            <w:r>
              <w:rPr>
                <w:bCs/>
              </w:rPr>
              <w:t xml:space="preserve">voir tableau </w:t>
            </w:r>
            <w:r w:rsidR="00885416">
              <w:rPr>
                <w:bCs/>
              </w:rPr>
              <w:t>ci-dessous</w:t>
            </w:r>
            <w:r>
              <w:rPr>
                <w:bCs/>
              </w:rPr>
              <w:t>…</w:t>
            </w:r>
          </w:p>
          <w:p w14:paraId="0534EE00" w14:textId="77777777" w:rsidR="00BA1390" w:rsidRDefault="00BA1390" w:rsidP="00A74F09">
            <w:pPr>
              <w:numPr>
                <w:ilvl w:val="0"/>
                <w:numId w:val="20"/>
              </w:numPr>
              <w:spacing w:line="240" w:lineRule="auto"/>
              <w:ind w:left="663" w:hanging="425"/>
              <w:rPr>
                <w:bCs/>
              </w:rPr>
            </w:pPr>
            <w:r>
              <w:rPr>
                <w:bCs/>
              </w:rPr>
              <w:t>Mécanisme de lissage : en cas de CA excédant de moins de 100M€ la limite de CA…</w:t>
            </w:r>
          </w:p>
          <w:p w14:paraId="5A9B2A26" w14:textId="1B69A300" w:rsidR="00BA1390" w:rsidRPr="005C6AD3" w:rsidRDefault="00BA1390" w:rsidP="00A74F09">
            <w:pPr>
              <w:numPr>
                <w:ilvl w:val="0"/>
                <w:numId w:val="20"/>
              </w:numPr>
              <w:spacing w:line="240" w:lineRule="auto"/>
              <w:ind w:left="663" w:hanging="425"/>
              <w:rPr>
                <w:bCs/>
              </w:rPr>
            </w:pPr>
            <w:r>
              <w:rPr>
                <w:bCs/>
              </w:rPr>
              <w:t>Acompte (98% de la contribution estimée au dernier acompte d’IS + solde au solde de l’IS…</w:t>
            </w:r>
            <w:r w:rsidR="00885416">
              <w:rPr>
                <w:bCs/>
              </w:rPr>
              <w:t>)</w:t>
            </w:r>
          </w:p>
          <w:p w14:paraId="0DACDDD5" w14:textId="77777777" w:rsidR="00BA1390" w:rsidRPr="00BA1390" w:rsidRDefault="00BA1390" w:rsidP="00A74F09">
            <w:pPr>
              <w:spacing w:line="240" w:lineRule="auto"/>
              <w:rPr>
                <w:bCs/>
              </w:rPr>
            </w:pPr>
          </w:p>
          <w:tbl>
            <w:tblPr>
              <w:tblStyle w:val="Grilledutableau"/>
              <w:tblW w:w="0" w:type="auto"/>
              <w:tblLook w:val="04A0" w:firstRow="1" w:lastRow="0" w:firstColumn="1" w:lastColumn="0" w:noHBand="0" w:noVBand="1"/>
            </w:tblPr>
            <w:tblGrid>
              <w:gridCol w:w="1879"/>
              <w:gridCol w:w="3119"/>
              <w:gridCol w:w="3118"/>
            </w:tblGrid>
            <w:tr w:rsidR="00BA1390" w:rsidRPr="005C6AD3" w14:paraId="67FB4D1B" w14:textId="77777777" w:rsidTr="00A74F09">
              <w:trPr>
                <w:trHeight w:val="638"/>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6E8AE" w14:textId="77777777" w:rsidR="00BA1390" w:rsidRPr="005C6AD3" w:rsidRDefault="00BA1390" w:rsidP="00A74F09">
                  <w:pPr>
                    <w:jc w:val="center"/>
                    <w:rPr>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92CCF" w14:textId="77777777" w:rsidR="00BA1390" w:rsidRPr="005C6AD3" w:rsidRDefault="00BA1390" w:rsidP="00A74F09">
                  <w:pPr>
                    <w:jc w:val="center"/>
                    <w:rPr>
                      <w:bCs/>
                    </w:rPr>
                  </w:pPr>
                  <w:r w:rsidRPr="005C6AD3">
                    <w:rPr>
                      <w:bCs/>
                    </w:rPr>
                    <w:t>Taux d’imposition</w:t>
                  </w:r>
                  <w:r>
                    <w:rPr>
                      <w:bCs/>
                    </w:rPr>
                    <w:t xml:space="preserve"> de 20,6%</w:t>
                  </w:r>
                </w:p>
              </w:tc>
              <w:tc>
                <w:tcPr>
                  <w:tcW w:w="3118" w:type="dxa"/>
                  <w:tcBorders>
                    <w:top w:val="single" w:sz="4" w:space="0" w:color="000000" w:themeColor="text1"/>
                    <w:left w:val="single" w:sz="4" w:space="0" w:color="000000" w:themeColor="text1"/>
                    <w:right w:val="single" w:sz="4" w:space="0" w:color="000000" w:themeColor="text1"/>
                  </w:tcBorders>
                  <w:vAlign w:val="center"/>
                  <w:hideMark/>
                </w:tcPr>
                <w:p w14:paraId="1E98D39F" w14:textId="77777777" w:rsidR="00BA1390" w:rsidRPr="005C6AD3" w:rsidRDefault="00BA1390" w:rsidP="00A74F09">
                  <w:pPr>
                    <w:jc w:val="center"/>
                    <w:rPr>
                      <w:bCs/>
                    </w:rPr>
                  </w:pPr>
                  <w:r w:rsidRPr="005C6AD3">
                    <w:rPr>
                      <w:bCs/>
                    </w:rPr>
                    <w:t>Taux d’imposition</w:t>
                  </w:r>
                  <w:r>
                    <w:rPr>
                      <w:bCs/>
                    </w:rPr>
                    <w:t xml:space="preserve"> de 41,2%</w:t>
                  </w:r>
                </w:p>
              </w:tc>
            </w:tr>
            <w:tr w:rsidR="00BA1390" w:rsidRPr="005C6AD3" w14:paraId="5CFA3586" w14:textId="77777777" w:rsidTr="00A74F09">
              <w:trPr>
                <w:trHeight w:val="420"/>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9F68D" w14:textId="77777777" w:rsidR="00BA1390" w:rsidRPr="005C6AD3" w:rsidRDefault="00BA1390" w:rsidP="00A74F09">
                  <w:pPr>
                    <w:jc w:val="center"/>
                    <w:rPr>
                      <w:bCs/>
                    </w:rPr>
                  </w:pPr>
                  <w:r>
                    <w:rPr>
                      <w:bCs/>
                    </w:rPr>
                    <w:t>Exercice 2025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44EB9" w14:textId="77777777" w:rsidR="00BA1390" w:rsidRPr="005C6AD3" w:rsidRDefault="00BA1390" w:rsidP="00A74F09">
                  <w:pPr>
                    <w:jc w:val="center"/>
                    <w:rPr>
                      <w:bCs/>
                    </w:rPr>
                  </w:pPr>
                  <w:r>
                    <w:rPr>
                      <w:bCs/>
                    </w:rPr>
                    <w:t>1Md€ ≤ CA &lt; 3Mds€</w:t>
                  </w:r>
                </w:p>
              </w:tc>
              <w:tc>
                <w:tcPr>
                  <w:tcW w:w="3118" w:type="dxa"/>
                  <w:vMerge w:val="restart"/>
                  <w:tcBorders>
                    <w:left w:val="single" w:sz="4" w:space="0" w:color="000000" w:themeColor="text1"/>
                    <w:right w:val="single" w:sz="4" w:space="0" w:color="000000" w:themeColor="text1"/>
                  </w:tcBorders>
                  <w:vAlign w:val="center"/>
                  <w:hideMark/>
                </w:tcPr>
                <w:p w14:paraId="614CDE54" w14:textId="77777777" w:rsidR="00BA1390" w:rsidRPr="005C6AD3" w:rsidRDefault="00BA1390" w:rsidP="00A74F09">
                  <w:pPr>
                    <w:jc w:val="center"/>
                    <w:rPr>
                      <w:bCs/>
                    </w:rPr>
                  </w:pPr>
                  <w:r>
                    <w:rPr>
                      <w:bCs/>
                    </w:rPr>
                    <w:t>CA ≥ 3Mds€ en 2025 ou 2026</w:t>
                  </w:r>
                </w:p>
              </w:tc>
            </w:tr>
            <w:tr w:rsidR="00BA1390" w:rsidRPr="005C6AD3" w14:paraId="6DBD257E" w14:textId="77777777" w:rsidTr="00A74F09">
              <w:trPr>
                <w:trHeight w:val="413"/>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43CEF" w14:textId="77777777" w:rsidR="00BA1390" w:rsidRPr="005C6AD3" w:rsidRDefault="00BA1390" w:rsidP="00A74F09">
                  <w:pPr>
                    <w:jc w:val="center"/>
                    <w:rPr>
                      <w:bCs/>
                    </w:rPr>
                  </w:pPr>
                  <w:r>
                    <w:rPr>
                      <w:bCs/>
                    </w:rPr>
                    <w:t>Exercice 2026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25BD7" w14:textId="77777777" w:rsidR="00BA1390" w:rsidRPr="005C6AD3" w:rsidRDefault="00BA1390" w:rsidP="00A74F09">
                  <w:pPr>
                    <w:jc w:val="center"/>
                    <w:rPr>
                      <w:bCs/>
                    </w:rPr>
                  </w:pPr>
                  <w:r>
                    <w:rPr>
                      <w:bCs/>
                    </w:rPr>
                    <w:t>1,5Md€ ≤ CA &lt; 3Mds€</w:t>
                  </w:r>
                </w:p>
              </w:tc>
              <w:tc>
                <w:tcPr>
                  <w:tcW w:w="3118" w:type="dxa"/>
                  <w:vMerge/>
                  <w:tcBorders>
                    <w:left w:val="single" w:sz="4" w:space="0" w:color="000000" w:themeColor="text1"/>
                    <w:bottom w:val="single" w:sz="4" w:space="0" w:color="000000" w:themeColor="text1"/>
                    <w:right w:val="single" w:sz="4" w:space="0" w:color="000000" w:themeColor="text1"/>
                  </w:tcBorders>
                  <w:vAlign w:val="center"/>
                  <w:hideMark/>
                </w:tcPr>
                <w:p w14:paraId="158A17BB" w14:textId="77777777" w:rsidR="00BA1390" w:rsidRPr="005C6AD3" w:rsidRDefault="00BA1390" w:rsidP="00A74F09">
                  <w:pPr>
                    <w:jc w:val="center"/>
                    <w:rPr>
                      <w:bCs/>
                    </w:rPr>
                  </w:pPr>
                </w:p>
              </w:tc>
            </w:tr>
          </w:tbl>
          <w:p w14:paraId="0C543455" w14:textId="77777777" w:rsidR="00BA1390" w:rsidRPr="005C6AD3" w:rsidRDefault="00BA1390" w:rsidP="00BA1390">
            <w:pPr>
              <w:spacing w:line="240" w:lineRule="auto"/>
              <w:rPr>
                <w:bCs/>
              </w:rPr>
            </w:pPr>
            <w:r w:rsidRPr="00BA1390">
              <w:rPr>
                <w:bCs/>
                <w:noProof/>
              </w:rPr>
              <mc:AlternateContent>
                <mc:Choice Requires="wps">
                  <w:drawing>
                    <wp:anchor distT="0" distB="0" distL="114300" distR="114300" simplePos="0" relativeHeight="251675648" behindDoc="0" locked="0" layoutInCell="1" allowOverlap="1" wp14:anchorId="6158D79F" wp14:editId="2854DB56">
                      <wp:simplePos x="0" y="0"/>
                      <wp:positionH relativeFrom="page">
                        <wp:posOffset>5090795</wp:posOffset>
                      </wp:positionH>
                      <wp:positionV relativeFrom="paragraph">
                        <wp:posOffset>62865</wp:posOffset>
                      </wp:positionV>
                      <wp:extent cx="619125" cy="373380"/>
                      <wp:effectExtent l="38100" t="38100" r="123825" b="121920"/>
                      <wp:wrapNone/>
                      <wp:docPr id="101897525" name="Ellipse 9">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ADEB67" w14:textId="77777777" w:rsidR="00BA1390" w:rsidRDefault="00BA1390" w:rsidP="00BA1390">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8D79F" id="Ellipse 9" o:spid="_x0000_s1034" href="#DEBUT" style="position:absolute;left:0;text-align:left;margin-left:400.85pt;margin-top:4.95pt;width:48.75pt;height:29.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or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c5naIm3qxMsX9wWLQ4Dt7yWwnFWjAfHpiDXQK1&#10;hf0Y7uFTKgP9xqHdKamM+/n6DvVgtOGFkgZ2Uk79jw1zghL1VcPQA1ToD64/rPqD3tTXBgYihY1r&#10;eTyCgQuqP5bO1M+wLufoBZ6Y5uALAgquF65Duxth4XIxn0c1WFSWhYVeWo7gyCe249PumTnbzXCA&#10;4b8z/b56M8etLlpqM98EU8o45Af+OqZhycU27RYybtFjOWodfhuzXwAAAP//AwBQSwMEFAAGAAgA&#10;AAAhAH0GgkPfAAAACAEAAA8AAABkcnMvZG93bnJldi54bWxMj8FOwzAQRO9I/IO1SNyo0yC1SRqn&#10;qkA9oHKAgtSrGy9JVHsdYqcNfD3LCY6rGb15W64nZ8UZh9B5UjCfJSCQam86ahS8v23vMhAhajLa&#10;ekIFXxhgXV1flbow/kKveN7HRjCEQqEVtDH2hZShbtHpMPM9EmcffnA68jk00gz6wnBnZZokC+l0&#10;R7zQ6h4fWqxP+9EpWJjdU/pI4+4zPX2/PG86e28OW6Vub6bNCkTEKf6V4Vef1aFip6MfyQRhFWTJ&#10;fMlVBXkOgvMsz1MQR4ZnS5BVKf8/UP0AAAD//wMAUEsBAi0AFAAGAAgAAAAhALaDOJL+AAAA4QEA&#10;ABMAAAAAAAAAAAAAAAAAAAAAAFtDb250ZW50X1R5cGVzXS54bWxQSwECLQAUAAYACAAAACEAOP0h&#10;/9YAAACUAQAACwAAAAAAAAAAAAAAAAAvAQAAX3JlbHMvLnJlbHNQSwECLQAUAAYACAAAACEAYVfK&#10;K/QCAAB+BgAADgAAAAAAAAAAAAAAAAAuAgAAZHJzL2Uyb0RvYy54bWxQSwECLQAUAAYACAAAACEA&#10;fQaCQ98AAAAIAQAADwAAAAAAAAAAAAAAAABOBQAAZHJzL2Rvd25yZXYueG1sUEsFBgAAAAAEAAQA&#10;8wAAAFoGAAAAAA==&#10;" o:button="t" fillcolor="#f2f2f2 [3052]" strokecolor="black [3213]" strokeweight="1pt">
                      <v:fill o:detectmouseclick="t"/>
                      <v:stroke joinstyle="miter"/>
                      <v:shadow on="t" color="black" opacity="26214f" origin="-.5,-.5" offset=".74836mm,.74836mm"/>
                      <v:path arrowok="t"/>
                      <v:textbox inset="0,0,0,0">
                        <w:txbxContent>
                          <w:p w14:paraId="4CADEB67" w14:textId="77777777" w:rsidR="00BA1390" w:rsidRDefault="00BA1390" w:rsidP="00BA1390">
                            <w:pPr>
                              <w:jc w:val="center"/>
                              <w:rPr>
                                <w:color w:val="000000" w:themeColor="text1"/>
                                <w:sz w:val="16"/>
                                <w:szCs w:val="16"/>
                              </w:rPr>
                            </w:pPr>
                            <w:r>
                              <w:rPr>
                                <w:color w:val="000000" w:themeColor="text1"/>
                                <w:sz w:val="16"/>
                                <w:szCs w:val="16"/>
                              </w:rPr>
                              <w:t>Retour sommaire</w:t>
                            </w:r>
                          </w:p>
                        </w:txbxContent>
                      </v:textbox>
                      <w10:wrap anchorx="page"/>
                    </v:oval>
                  </w:pict>
                </mc:Fallback>
              </mc:AlternateContent>
            </w:r>
          </w:p>
        </w:tc>
      </w:tr>
      <w:tr w:rsidR="00A06A73" w:rsidRPr="00BA2228" w14:paraId="7DDA9358" w14:textId="77777777" w:rsidTr="00BA1390">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A05147" w14:textId="77777777" w:rsidR="00A06A73" w:rsidRPr="00A06A73" w:rsidRDefault="00A06A73" w:rsidP="00A74F09">
            <w:pPr>
              <w:spacing w:line="240" w:lineRule="auto"/>
              <w:jc w:val="center"/>
              <w:rPr>
                <w:b/>
                <w:bCs/>
                <w:i/>
                <w:iCs/>
              </w:rPr>
            </w:pPr>
            <w:bookmarkStart w:id="9" w:name="Holdings"/>
            <w:r w:rsidRPr="00A06A73">
              <w:rPr>
                <w:b/>
                <w:bCs/>
                <w:i/>
                <w:iCs/>
              </w:rPr>
              <w:lastRenderedPageBreak/>
              <w:t>Taxe sur les holdings</w:t>
            </w:r>
            <w:bookmarkEnd w:id="9"/>
          </w:p>
        </w:tc>
        <w:tc>
          <w:tcPr>
            <w:tcW w:w="9083" w:type="dxa"/>
            <w:tcBorders>
              <w:top w:val="single" w:sz="4" w:space="0" w:color="auto"/>
              <w:left w:val="single" w:sz="4" w:space="0" w:color="auto"/>
              <w:bottom w:val="single" w:sz="4" w:space="0" w:color="auto"/>
              <w:right w:val="single" w:sz="4" w:space="0" w:color="auto"/>
            </w:tcBorders>
          </w:tcPr>
          <w:p w14:paraId="3B5AEC95" w14:textId="77777777" w:rsidR="00A06A73" w:rsidRPr="00A06A73" w:rsidRDefault="00A06A73" w:rsidP="00A06A73">
            <w:pPr>
              <w:spacing w:line="240" w:lineRule="auto"/>
              <w:rPr>
                <w:bCs/>
              </w:rPr>
            </w:pPr>
          </w:p>
          <w:p w14:paraId="2A32D72A" w14:textId="77777777" w:rsidR="00A06A73" w:rsidRPr="00BA1390" w:rsidRDefault="00A06A73" w:rsidP="00A06A73">
            <w:pPr>
              <w:spacing w:line="240" w:lineRule="auto"/>
              <w:rPr>
                <w:b/>
                <w:u w:val="single"/>
              </w:rPr>
            </w:pPr>
            <w:r w:rsidRPr="00BA1390">
              <w:rPr>
                <w:b/>
                <w:u w:val="single"/>
              </w:rPr>
              <w:t>Nouvelle taxe sur les sociétés holdings</w:t>
            </w:r>
          </w:p>
          <w:p w14:paraId="7B752139" w14:textId="77777777" w:rsidR="00A06A73" w:rsidRPr="00A06A73" w:rsidRDefault="00A06A73" w:rsidP="00A06A73">
            <w:pPr>
              <w:spacing w:line="240" w:lineRule="auto"/>
              <w:rPr>
                <w:bCs/>
              </w:rPr>
            </w:pPr>
          </w:p>
          <w:p w14:paraId="57888609" w14:textId="77777777" w:rsidR="00A06A73" w:rsidRPr="00A06A73" w:rsidRDefault="00A06A73" w:rsidP="00A74F09">
            <w:pPr>
              <w:spacing w:line="240" w:lineRule="auto"/>
              <w:rPr>
                <w:bCs/>
              </w:rPr>
            </w:pPr>
            <w:r w:rsidRPr="00A06A73">
              <w:rPr>
                <w:bCs/>
              </w:rPr>
              <w:t xml:space="preserve">En résumé : </w:t>
            </w:r>
            <w:r w:rsidRPr="00BA1390">
              <w:rPr>
                <w:b/>
              </w:rPr>
              <w:t>une taxe de 20% sur la valeur vénale des biens somptuaires (non professionnels) est instaurée à compter des exercices clos au 31/12/2026 pour les sociétés soumises à l’IS dont la majorité des revenus sont des revenus « passifs » et détenues à au moins 50% par une personne physique.</w:t>
            </w:r>
          </w:p>
          <w:p w14:paraId="2B8AEAB3" w14:textId="77777777" w:rsidR="00A06A73" w:rsidRPr="00A06A73" w:rsidRDefault="00A06A73" w:rsidP="00A06A73">
            <w:pPr>
              <w:spacing w:line="240" w:lineRule="auto"/>
              <w:rPr>
                <w:bCs/>
              </w:rPr>
            </w:pPr>
          </w:p>
          <w:p w14:paraId="0B5AB04B" w14:textId="77777777" w:rsidR="00A06A73" w:rsidRDefault="00A06A73" w:rsidP="00A74F09">
            <w:pPr>
              <w:spacing w:line="240" w:lineRule="auto"/>
              <w:rPr>
                <w:bCs/>
              </w:rPr>
            </w:pPr>
            <w:r w:rsidRPr="00BA1390">
              <w:rPr>
                <w:b/>
              </w:rPr>
              <w:t>Conditions liées à la société</w:t>
            </w:r>
            <w:r w:rsidRPr="00A06A73">
              <w:rPr>
                <w:bCs/>
              </w:rPr>
              <w:t> :</w:t>
            </w:r>
          </w:p>
          <w:p w14:paraId="621CEC62" w14:textId="77777777" w:rsidR="00BA1390" w:rsidRPr="00F9091F" w:rsidRDefault="00BA1390" w:rsidP="00A74F09">
            <w:pPr>
              <w:spacing w:line="240" w:lineRule="auto"/>
              <w:rPr>
                <w:bCs/>
                <w:sz w:val="10"/>
                <w:szCs w:val="10"/>
              </w:rPr>
            </w:pPr>
          </w:p>
          <w:p w14:paraId="3129E9DD" w14:textId="77777777" w:rsidR="00A06A73" w:rsidRDefault="00A06A73" w:rsidP="00BA1390">
            <w:pPr>
              <w:pStyle w:val="Paragraphedeliste"/>
              <w:numPr>
                <w:ilvl w:val="0"/>
                <w:numId w:val="20"/>
              </w:numPr>
              <w:spacing w:line="240" w:lineRule="auto"/>
              <w:ind w:left="750" w:hanging="425"/>
              <w:rPr>
                <w:bCs/>
              </w:rPr>
            </w:pPr>
            <w:r w:rsidRPr="00A06A73">
              <w:rPr>
                <w:bCs/>
              </w:rPr>
              <w:t>Soumise à l’IS (droit commun ou option) ;</w:t>
            </w:r>
          </w:p>
          <w:p w14:paraId="04C14B0F" w14:textId="77777777" w:rsidR="00BA1390" w:rsidRPr="00F9091F" w:rsidRDefault="00BA1390" w:rsidP="00BA1390">
            <w:pPr>
              <w:pStyle w:val="Paragraphedeliste"/>
              <w:spacing w:line="240" w:lineRule="auto"/>
              <w:ind w:left="750"/>
              <w:rPr>
                <w:bCs/>
                <w:sz w:val="10"/>
                <w:szCs w:val="10"/>
              </w:rPr>
            </w:pPr>
          </w:p>
          <w:p w14:paraId="2FFD9B1A" w14:textId="094D638F" w:rsidR="00A06A73" w:rsidRDefault="00A06A73" w:rsidP="00BA1390">
            <w:pPr>
              <w:pStyle w:val="Paragraphedeliste"/>
              <w:numPr>
                <w:ilvl w:val="0"/>
                <w:numId w:val="20"/>
              </w:numPr>
              <w:spacing w:line="240" w:lineRule="auto"/>
              <w:ind w:left="750" w:hanging="425"/>
              <w:rPr>
                <w:bCs/>
              </w:rPr>
            </w:pPr>
            <w:r w:rsidRPr="00A06A73">
              <w:rPr>
                <w:bCs/>
              </w:rPr>
              <w:t>Détention directe ou indirecte des droits de vote ou des droits financiers à hauteur de 50% par une personne physique (ou un membre de sa famille proche…). En cas de détention indirecte un raisonnement proche de celui du contrôle exclusif en consolidation est appliqué</w:t>
            </w:r>
            <w:r w:rsidR="00BA1390">
              <w:rPr>
                <w:bCs/>
              </w:rPr>
              <w:t> ;</w:t>
            </w:r>
          </w:p>
          <w:p w14:paraId="0BEC8B70" w14:textId="77777777" w:rsidR="00BA1390" w:rsidRPr="00F9091F" w:rsidRDefault="00BA1390" w:rsidP="00BA1390">
            <w:pPr>
              <w:spacing w:line="240" w:lineRule="auto"/>
              <w:rPr>
                <w:bCs/>
                <w:sz w:val="10"/>
                <w:szCs w:val="10"/>
              </w:rPr>
            </w:pPr>
          </w:p>
          <w:p w14:paraId="2F3409CA" w14:textId="3E9EF3C4" w:rsidR="00A06A73" w:rsidRPr="00A06A73" w:rsidRDefault="00A06A73" w:rsidP="00BA1390">
            <w:pPr>
              <w:pStyle w:val="Paragraphedeliste"/>
              <w:numPr>
                <w:ilvl w:val="0"/>
                <w:numId w:val="20"/>
              </w:numPr>
              <w:spacing w:line="240" w:lineRule="auto"/>
              <w:ind w:left="750" w:hanging="425"/>
              <w:rPr>
                <w:bCs/>
              </w:rPr>
            </w:pPr>
            <w:r w:rsidRPr="00A06A73">
              <w:rPr>
                <w:bCs/>
              </w:rPr>
              <w:t>Revenus « passifs » (dividendes, intérêts financiers, loyers, redevances de brevets, etc…) &gt; 50% des produits d’exploitation et financiers</w:t>
            </w:r>
            <w:r w:rsidR="00BA1390">
              <w:rPr>
                <w:bCs/>
              </w:rPr>
              <w:t>.</w:t>
            </w:r>
          </w:p>
          <w:p w14:paraId="7A685FF3" w14:textId="77777777" w:rsidR="00A06A73" w:rsidRPr="00A06A73" w:rsidRDefault="00A06A73" w:rsidP="00A06A73">
            <w:pPr>
              <w:spacing w:line="240" w:lineRule="auto"/>
              <w:rPr>
                <w:bCs/>
              </w:rPr>
            </w:pPr>
          </w:p>
          <w:p w14:paraId="1135D7C1" w14:textId="77777777" w:rsidR="00A06A73" w:rsidRDefault="00A06A73" w:rsidP="00A06A73">
            <w:pPr>
              <w:spacing w:line="240" w:lineRule="auto"/>
              <w:rPr>
                <w:b/>
              </w:rPr>
            </w:pPr>
            <w:r w:rsidRPr="00BA1390">
              <w:rPr>
                <w:b/>
              </w:rPr>
              <w:t>Assiette de la taxe :</w:t>
            </w:r>
          </w:p>
          <w:p w14:paraId="016AAD7C" w14:textId="77777777" w:rsidR="00BA1390" w:rsidRPr="00BA1390" w:rsidRDefault="00BA1390" w:rsidP="00A06A73">
            <w:pPr>
              <w:spacing w:line="240" w:lineRule="auto"/>
              <w:rPr>
                <w:b/>
              </w:rPr>
            </w:pPr>
          </w:p>
          <w:p w14:paraId="59A2BEEF" w14:textId="77777777" w:rsidR="00A06A73" w:rsidRPr="00A06A73" w:rsidRDefault="00A06A73" w:rsidP="00A74F09">
            <w:pPr>
              <w:spacing w:line="240" w:lineRule="auto"/>
              <w:rPr>
                <w:bCs/>
              </w:rPr>
            </w:pPr>
            <w:r w:rsidRPr="00F9091F">
              <w:rPr>
                <w:b/>
              </w:rPr>
              <w:t>Valeur vénale des biens somptuaires détenus au 31/12</w:t>
            </w:r>
            <w:r w:rsidRPr="00A06A73">
              <w:rPr>
                <w:bCs/>
              </w:rPr>
              <w:t xml:space="preserve"> de l’année au titre de laquelle la taxe et due (biens non professionnels détenus tels que les biens affectés à l’exercice de la chasse, pêche, métaux précieux, véhicules de tourisme, yachts… logements dont la personne physique détenant au moins 50% de la société propriétaire se réserve la jouissance (pas dans des conditions normales de marché)).</w:t>
            </w:r>
          </w:p>
          <w:p w14:paraId="5383BD07" w14:textId="77777777" w:rsidR="00A06A73" w:rsidRPr="00A06A73" w:rsidRDefault="00A06A73" w:rsidP="00A74F09">
            <w:pPr>
              <w:spacing w:line="240" w:lineRule="auto"/>
              <w:rPr>
                <w:bCs/>
              </w:rPr>
            </w:pPr>
          </w:p>
          <w:p w14:paraId="7FF78616" w14:textId="281A1E68" w:rsidR="00A06A73" w:rsidRPr="00A06A73" w:rsidRDefault="00A06A73" w:rsidP="00A74F09">
            <w:pPr>
              <w:spacing w:line="240" w:lineRule="auto"/>
              <w:rPr>
                <w:bCs/>
              </w:rPr>
            </w:pPr>
            <w:r w:rsidRPr="00A06A73">
              <w:rPr>
                <w:bCs/>
              </w:rPr>
              <w:t>En ce qui concerne les logements, la société peut déduire les dettes afférentes au 31/12/N selon des règles spécifiques liées aux modalités de remboursement dès lors que les dettes ont été contractées dans un cadre classique (pa</w:t>
            </w:r>
            <w:r w:rsidR="00885416">
              <w:rPr>
                <w:bCs/>
              </w:rPr>
              <w:t>s</w:t>
            </w:r>
            <w:r w:rsidRPr="00A06A73">
              <w:rPr>
                <w:bCs/>
              </w:rPr>
              <w:t xml:space="preserve"> avec la personne physique détentrice des titres ou </w:t>
            </w:r>
            <w:r w:rsidR="00885416">
              <w:rPr>
                <w:bCs/>
              </w:rPr>
              <w:t>entre entreprises liées</w:t>
            </w:r>
            <w:r w:rsidRPr="00A06A73">
              <w:rPr>
                <w:bCs/>
              </w:rPr>
              <w:t>…)</w:t>
            </w:r>
          </w:p>
          <w:p w14:paraId="55E0044F" w14:textId="77777777" w:rsidR="00A06A73" w:rsidRPr="00A06A73" w:rsidRDefault="00A06A73" w:rsidP="00A74F09">
            <w:pPr>
              <w:spacing w:line="240" w:lineRule="auto"/>
              <w:rPr>
                <w:bCs/>
              </w:rPr>
            </w:pPr>
          </w:p>
          <w:p w14:paraId="0E123088" w14:textId="0A7014DF" w:rsidR="00A06A73" w:rsidRPr="00A06A73" w:rsidRDefault="00A06A73" w:rsidP="00A74F09">
            <w:pPr>
              <w:spacing w:line="240" w:lineRule="auto"/>
              <w:rPr>
                <w:bCs/>
              </w:rPr>
            </w:pPr>
            <w:r w:rsidRPr="00A06A73">
              <w:rPr>
                <w:bCs/>
              </w:rPr>
              <w:t xml:space="preserve">L’inclusion </w:t>
            </w:r>
            <w:r w:rsidR="00885416" w:rsidRPr="00A06A73">
              <w:rPr>
                <w:bCs/>
              </w:rPr>
              <w:t xml:space="preserve">des logements </w:t>
            </w:r>
            <w:r w:rsidRPr="00A06A73">
              <w:rPr>
                <w:bCs/>
              </w:rPr>
              <w:t>dans l’assiette de la taxe de la valeur vénale permet l’exonération de ces logements pour l’Impôt sur la Fortune Immobilière (IFI) au 1er janvier suivant.</w:t>
            </w:r>
          </w:p>
          <w:p w14:paraId="6ADC7F1C" w14:textId="77777777" w:rsidR="00A06A73" w:rsidRPr="00A06A73" w:rsidRDefault="00A06A73" w:rsidP="00A74F09">
            <w:pPr>
              <w:spacing w:line="240" w:lineRule="auto"/>
              <w:rPr>
                <w:bCs/>
              </w:rPr>
            </w:pPr>
          </w:p>
          <w:p w14:paraId="28054DBC" w14:textId="77777777" w:rsidR="00A06A73" w:rsidRDefault="00A06A73" w:rsidP="00A74F09">
            <w:pPr>
              <w:spacing w:line="240" w:lineRule="auto"/>
              <w:rPr>
                <w:b/>
              </w:rPr>
            </w:pPr>
            <w:r w:rsidRPr="00BA1390">
              <w:rPr>
                <w:b/>
              </w:rPr>
              <w:t>Paiement de la taxe :</w:t>
            </w:r>
          </w:p>
          <w:p w14:paraId="0B52B2BC" w14:textId="77777777" w:rsidR="00BA1390" w:rsidRPr="00BA1390" w:rsidRDefault="00BA1390" w:rsidP="00A74F09">
            <w:pPr>
              <w:spacing w:line="240" w:lineRule="auto"/>
              <w:rPr>
                <w:b/>
              </w:rPr>
            </w:pPr>
          </w:p>
          <w:p w14:paraId="6E83E2CF" w14:textId="77777777" w:rsidR="00A06A73" w:rsidRPr="00A06A73" w:rsidRDefault="00A06A73" w:rsidP="00A74F09">
            <w:pPr>
              <w:spacing w:line="240" w:lineRule="auto"/>
              <w:rPr>
                <w:bCs/>
              </w:rPr>
            </w:pPr>
            <w:r w:rsidRPr="00A06A73">
              <w:rPr>
                <w:bCs/>
              </w:rPr>
              <w:t xml:space="preserve">La taxe est déclarée par la société </w:t>
            </w:r>
            <w:r w:rsidRPr="00F9091F">
              <w:rPr>
                <w:b/>
              </w:rPr>
              <w:t>en</w:t>
            </w:r>
            <w:r w:rsidRPr="00A06A73">
              <w:rPr>
                <w:bCs/>
              </w:rPr>
              <w:t xml:space="preserve"> </w:t>
            </w:r>
            <w:r w:rsidRPr="00F9091F">
              <w:rPr>
                <w:b/>
              </w:rPr>
              <w:t>même temps que sa déclaration de résultat</w:t>
            </w:r>
            <w:r w:rsidRPr="00A06A73">
              <w:rPr>
                <w:bCs/>
              </w:rPr>
              <w:t xml:space="preserve"> (annexe détaillant les calculs) avec paiement joint à la liquidation du solde de l’IS. Cette taxe n’est pas déductible du résultat fiscal de la société.</w:t>
            </w:r>
          </w:p>
          <w:p w14:paraId="54A12445" w14:textId="77777777" w:rsidR="00A06A73" w:rsidRDefault="00A06A73" w:rsidP="00A74F09">
            <w:pPr>
              <w:spacing w:line="240" w:lineRule="auto"/>
              <w:rPr>
                <w:bCs/>
              </w:rPr>
            </w:pPr>
          </w:p>
          <w:p w14:paraId="7BA559B4" w14:textId="77777777" w:rsidR="00F9091F" w:rsidRPr="00A06A73" w:rsidRDefault="00F9091F" w:rsidP="00A74F09">
            <w:pPr>
              <w:spacing w:line="240" w:lineRule="auto"/>
              <w:rPr>
                <w:bCs/>
              </w:rPr>
            </w:pPr>
          </w:p>
          <w:p w14:paraId="44F95BAF" w14:textId="2943B24D" w:rsidR="00A06A73" w:rsidRPr="00BA1390" w:rsidRDefault="008F18A5" w:rsidP="00A74F09">
            <w:pPr>
              <w:spacing w:line="240" w:lineRule="auto"/>
              <w:rPr>
                <w:bCs/>
                <w:i/>
                <w:iCs/>
              </w:rPr>
            </w:pPr>
            <w:r w:rsidRPr="00A42CA7">
              <w:rPr>
                <w:noProof/>
              </w:rPr>
              <mc:AlternateContent>
                <mc:Choice Requires="wps">
                  <w:drawing>
                    <wp:anchor distT="0" distB="0" distL="114300" distR="114300" simplePos="0" relativeHeight="251681792" behindDoc="0" locked="0" layoutInCell="1" allowOverlap="1" wp14:anchorId="6FB790EF" wp14:editId="748109A8">
                      <wp:simplePos x="0" y="0"/>
                      <wp:positionH relativeFrom="column">
                        <wp:posOffset>5109210</wp:posOffset>
                      </wp:positionH>
                      <wp:positionV relativeFrom="paragraph">
                        <wp:posOffset>974725</wp:posOffset>
                      </wp:positionV>
                      <wp:extent cx="619125" cy="373380"/>
                      <wp:effectExtent l="38100" t="38100" r="123825" b="121920"/>
                      <wp:wrapNone/>
                      <wp:docPr id="3" name="Ellipse 10">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A60044" w14:textId="77777777" w:rsidR="008F18A5" w:rsidRDefault="008F18A5" w:rsidP="008F18A5">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790EF" id="_x0000_s1035" href="#DEBUT" style="position:absolute;left:0;text-align:left;margin-left:402.3pt;margin-top:76.75pt;width:48.75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N7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c5vUBNvFmZYv/gsGhxHLzltxKKtWA+PDAHuwRq&#10;C/sx3MOnVAb6jUO7U1IZ9/P1HerBaMMLJQ3spJz6HxvmBCXqq4ahB6jQH1x/WPUHvamvDQxEChvX&#10;8ngEAxdUfyydqZ9hXc7RCzwxzcEXBBRcL1yHdjfCwuViPo9qsKgsCwu9tBzBkU9sx6fdM3O2m+EA&#10;w39n+n31Zo5bXbTUZr4JppRxyA/8dUzDkott2i1k3KLHctQ6/DZmvwAAAP//AwBQSwMEFAAGAAgA&#10;AAAhAH94THvhAAAACwEAAA8AAABkcnMvZG93bnJldi54bWxMj8FOwzAQRO9I/IO1SNyoE4dGbYhT&#10;VaAeUDmUgtSrG5skqr0OsdMGvp7lBMfVPM28LVeTs+xshtB5lJDOEmAGa687bCS8v23uFsBCVKiV&#10;9WgkfJkAq+r6qlSF9hd8Ned9bBiVYCiUhDbGvuA81K1xKsx8b5CyDz84FekcGq4HdaFyZ7lIkpw7&#10;1SEttKo3j62pT/vRScj19lk84bj9FKfv3cu6s5k+bKS8vZnWD8CimeIfDL/6pA4VOR39iDowK2GR&#10;3OeEUjDP5sCIWCYiBXaUIFKRAa9K/v+H6gcAAP//AwBQSwECLQAUAAYACAAAACEAtoM4kv4AAADh&#10;AQAAEwAAAAAAAAAAAAAAAAAAAAAAW0NvbnRlbnRfVHlwZXNdLnhtbFBLAQItABQABgAIAAAAIQA4&#10;/SH/1gAAAJQBAAALAAAAAAAAAAAAAAAAAC8BAABfcmVscy8ucmVsc1BLAQItABQABgAIAAAAIQCO&#10;PcN79AIAAH4GAAAOAAAAAAAAAAAAAAAAAC4CAABkcnMvZTJvRG9jLnhtbFBLAQItABQABgAIAAAA&#10;IQB/eEx74QAAAAsBAAAPAAAAAAAAAAAAAAAAAE4FAABkcnMvZG93bnJldi54bWxQSwUGAAAAAAQA&#10;BADzAAAAXAYAAAAA&#10;" o:button="t" fillcolor="#f2f2f2 [3052]" strokecolor="black [3213]" strokeweight="1pt">
                      <v:fill o:detectmouseclick="t"/>
                      <v:stroke joinstyle="miter"/>
                      <v:shadow on="t" color="black" opacity="26214f" origin="-.5,-.5" offset=".74836mm,.74836mm"/>
                      <v:path arrowok="t"/>
                      <v:textbox inset="0,0,0,0">
                        <w:txbxContent>
                          <w:p w14:paraId="70A60044" w14:textId="77777777" w:rsidR="008F18A5" w:rsidRDefault="008F18A5" w:rsidP="008F18A5">
                            <w:pPr>
                              <w:jc w:val="center"/>
                              <w:rPr>
                                <w:color w:val="000000" w:themeColor="text1"/>
                                <w:sz w:val="16"/>
                                <w:szCs w:val="16"/>
                              </w:rPr>
                            </w:pPr>
                            <w:r>
                              <w:rPr>
                                <w:color w:val="000000" w:themeColor="text1"/>
                                <w:sz w:val="16"/>
                                <w:szCs w:val="16"/>
                              </w:rPr>
                              <w:t>Retour sommaire</w:t>
                            </w:r>
                          </w:p>
                        </w:txbxContent>
                      </v:textbox>
                    </v:oval>
                  </w:pict>
                </mc:Fallback>
              </mc:AlternateContent>
            </w:r>
            <w:r w:rsidR="00A06A73" w:rsidRPr="00BA1390">
              <w:rPr>
                <w:bCs/>
                <w:i/>
                <w:iCs/>
              </w:rPr>
              <w:t>Rq : en cas de siège social à l’étranger, la personne physique détentrice des droits dans la société doit être domiciliée en France. La taxe de 20% s’applique alors sur la valeur vénale des participations détenues et est due par cette personne (déclaration des valeurs vénales des biens taxables ainsi que de la taxe dans la déclaration d’IR). Un système de compensation / plafonnement est mis en place pour limiter les doubles impositions en cas d’impositions à l’étranger présentant des caractéristiques similaires à cette nouvelle taxe en France.</w:t>
            </w:r>
          </w:p>
          <w:p w14:paraId="6A8EA847" w14:textId="480CAC88" w:rsidR="00A06A73" w:rsidRPr="00A06A73" w:rsidRDefault="00A06A73" w:rsidP="00A06A73">
            <w:pPr>
              <w:spacing w:line="240" w:lineRule="auto"/>
              <w:rPr>
                <w:bCs/>
              </w:rPr>
            </w:pPr>
          </w:p>
        </w:tc>
      </w:tr>
    </w:tbl>
    <w:p w14:paraId="50A17296" w14:textId="7406F1D5" w:rsidR="00A42CA7" w:rsidRPr="00DB051A" w:rsidRDefault="00A42CA7" w:rsidP="00A42CA7">
      <w:pPr>
        <w:spacing w:line="240" w:lineRule="auto"/>
        <w:jc w:val="left"/>
        <w:rPr>
          <w:sz w:val="2"/>
          <w:szCs w:val="2"/>
        </w:rPr>
      </w:pPr>
      <w:r w:rsidRPr="00DB051A">
        <w:rPr>
          <w:sz w:val="2"/>
          <w:szCs w:val="2"/>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9242"/>
      </w:tblGrid>
      <w:tr w:rsidR="00CC4090" w:rsidRPr="00A42CA7" w14:paraId="39A08AF9" w14:textId="77777777" w:rsidTr="00CC4090">
        <w:trPr>
          <w:trHeight w:val="134"/>
          <w:jc w:val="center"/>
        </w:trPr>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7ABD30" w14:textId="77777777" w:rsidR="00CC4090" w:rsidRPr="00A06A73" w:rsidRDefault="00CC4090" w:rsidP="003C18DC">
            <w:pPr>
              <w:spacing w:line="240" w:lineRule="auto"/>
              <w:jc w:val="center"/>
              <w:rPr>
                <w:b/>
                <w:bCs/>
                <w:i/>
                <w:iCs/>
              </w:rPr>
            </w:pPr>
            <w:bookmarkStart w:id="10" w:name="divers"/>
            <w:r w:rsidRPr="00A06A73">
              <w:rPr>
                <w:b/>
                <w:bCs/>
                <w:i/>
                <w:iCs/>
              </w:rPr>
              <w:lastRenderedPageBreak/>
              <w:t>Mesures diverses</w:t>
            </w:r>
            <w:bookmarkEnd w:id="10"/>
          </w:p>
        </w:tc>
        <w:tc>
          <w:tcPr>
            <w:tcW w:w="9242" w:type="dxa"/>
            <w:tcBorders>
              <w:top w:val="single" w:sz="4" w:space="0" w:color="auto"/>
              <w:left w:val="single" w:sz="4" w:space="0" w:color="auto"/>
              <w:bottom w:val="single" w:sz="4" w:space="0" w:color="auto"/>
              <w:right w:val="single" w:sz="4" w:space="0" w:color="auto"/>
            </w:tcBorders>
            <w:vAlign w:val="center"/>
          </w:tcPr>
          <w:p w14:paraId="3EE6D4A7" w14:textId="77777777" w:rsidR="00CC4090" w:rsidRDefault="00CC4090" w:rsidP="003C18DC">
            <w:pPr>
              <w:spacing w:line="240" w:lineRule="auto"/>
              <w:jc w:val="left"/>
            </w:pPr>
          </w:p>
          <w:p w14:paraId="3878D5D2" w14:textId="77777777" w:rsidR="00CC4090" w:rsidRPr="00A06A73" w:rsidRDefault="00CC4090" w:rsidP="003C18DC">
            <w:pPr>
              <w:spacing w:line="240" w:lineRule="auto"/>
              <w:rPr>
                <w:b/>
                <w:bCs/>
                <w:u w:val="single"/>
              </w:rPr>
            </w:pPr>
            <w:r w:rsidRPr="00A06A73">
              <w:rPr>
                <w:b/>
                <w:bCs/>
                <w:u w:val="single"/>
              </w:rPr>
              <w:t>Impôts locaux</w:t>
            </w:r>
          </w:p>
          <w:p w14:paraId="0EAFBA40" w14:textId="77777777" w:rsidR="00CC4090" w:rsidRPr="00A06A73" w:rsidRDefault="00CC4090" w:rsidP="003C18DC">
            <w:pPr>
              <w:spacing w:line="240" w:lineRule="auto"/>
            </w:pPr>
          </w:p>
          <w:p w14:paraId="0688DE61" w14:textId="5D62693D" w:rsidR="00CC4090" w:rsidRPr="00A06A73" w:rsidRDefault="00E434F4" w:rsidP="00CC4090">
            <w:pPr>
              <w:numPr>
                <w:ilvl w:val="0"/>
                <w:numId w:val="20"/>
              </w:numPr>
              <w:spacing w:line="240" w:lineRule="auto"/>
            </w:pPr>
            <w:r w:rsidRPr="00A06A73">
              <w:t>Remplacement de la taxe sur les logements vacants et de la taxe d’habitation sur les logements vacants par une taxe unique « </w:t>
            </w:r>
            <w:r w:rsidRPr="00A06A73">
              <w:rPr>
                <w:b/>
                <w:bCs/>
              </w:rPr>
              <w:t>taxe sur la vacance des locaux d’habitation</w:t>
            </w:r>
            <w:r w:rsidRPr="00A06A73">
              <w:t> » à compter du 01/01/2027 (taxe calculée sur la valeur locative des logements imposables et dont le taux dépend de la zone dans laquelle se situe le logement, de la durée de la vacance, et des décisions communales de rehaussement plafonné).</w:t>
            </w:r>
          </w:p>
          <w:p w14:paraId="4BC7DA66" w14:textId="77777777" w:rsidR="00CC4090" w:rsidRPr="00A06A73" w:rsidRDefault="00CC4090" w:rsidP="003C18DC">
            <w:pPr>
              <w:spacing w:line="240" w:lineRule="auto"/>
            </w:pPr>
          </w:p>
          <w:p w14:paraId="7CF1DAAA" w14:textId="66E65379" w:rsidR="00CC4090" w:rsidRPr="00A06A73" w:rsidRDefault="00E434F4" w:rsidP="00CC4090">
            <w:pPr>
              <w:numPr>
                <w:ilvl w:val="0"/>
                <w:numId w:val="20"/>
              </w:numPr>
              <w:spacing w:line="240" w:lineRule="auto"/>
            </w:pPr>
            <w:r w:rsidRPr="00A06A73">
              <w:t xml:space="preserve">L’exonération (pour la part communale) de </w:t>
            </w:r>
            <w:r w:rsidRPr="00A06A73">
              <w:rPr>
                <w:b/>
                <w:bCs/>
              </w:rPr>
              <w:t>taxe d’habitation des résidences secondaires</w:t>
            </w:r>
            <w:r w:rsidRPr="00A06A73">
              <w:t xml:space="preserve"> pour les meublés de tourisme et les chambres d’hôtes est étendue, à compter de 2027, à l’ensemble du territoire par délibération de la commune.</w:t>
            </w:r>
          </w:p>
          <w:p w14:paraId="655EA524" w14:textId="77777777" w:rsidR="00CC4090" w:rsidRDefault="00CC4090" w:rsidP="003C18DC">
            <w:pPr>
              <w:spacing w:line="240" w:lineRule="auto"/>
            </w:pPr>
          </w:p>
          <w:p w14:paraId="3B5A7907" w14:textId="77777777" w:rsidR="00461EDA" w:rsidRDefault="00461EDA" w:rsidP="003C18DC">
            <w:pPr>
              <w:spacing w:line="240" w:lineRule="auto"/>
            </w:pPr>
          </w:p>
          <w:p w14:paraId="76C023B3" w14:textId="77777777" w:rsidR="00A06A73" w:rsidRDefault="00A06A73" w:rsidP="00A06A73">
            <w:pPr>
              <w:spacing w:line="240" w:lineRule="auto"/>
              <w:jc w:val="left"/>
              <w:rPr>
                <w:b/>
                <w:u w:val="single"/>
              </w:rPr>
            </w:pPr>
            <w:r>
              <w:rPr>
                <w:b/>
                <w:u w:val="single"/>
              </w:rPr>
              <w:t>Amortissement des fonds de commerce acquis prolongé</w:t>
            </w:r>
          </w:p>
          <w:p w14:paraId="442683B6" w14:textId="77777777" w:rsidR="00A06A73" w:rsidRDefault="00A06A73" w:rsidP="00A06A73">
            <w:pPr>
              <w:spacing w:line="240" w:lineRule="auto"/>
              <w:jc w:val="left"/>
              <w:rPr>
                <w:b/>
                <w:u w:val="single"/>
              </w:rPr>
            </w:pPr>
          </w:p>
          <w:p w14:paraId="30B63D5C" w14:textId="75B454BA" w:rsidR="00A06A73" w:rsidRDefault="00A06A73" w:rsidP="00A06A73">
            <w:pPr>
              <w:spacing w:line="240" w:lineRule="auto"/>
            </w:pPr>
            <w:r w:rsidRPr="00F837BE">
              <w:rPr>
                <w:bCs/>
              </w:rPr>
              <w:t>La loi de finances pour 2026 prolonge la dérogation de déductibilité des amortissements des fonds commerciaux acquis jusqu’au 31/12/2029</w:t>
            </w:r>
            <w:r w:rsidR="00882F6F">
              <w:rPr>
                <w:bCs/>
              </w:rPr>
              <w:t>.</w:t>
            </w:r>
          </w:p>
          <w:p w14:paraId="323DB8BB" w14:textId="77777777" w:rsidR="00A06A73" w:rsidRDefault="00A06A73" w:rsidP="003C18DC">
            <w:pPr>
              <w:spacing w:line="240" w:lineRule="auto"/>
            </w:pPr>
          </w:p>
          <w:p w14:paraId="7E610E37" w14:textId="77777777" w:rsidR="00461EDA" w:rsidRDefault="00461EDA" w:rsidP="003C18DC">
            <w:pPr>
              <w:spacing w:line="240" w:lineRule="auto"/>
            </w:pPr>
          </w:p>
          <w:p w14:paraId="01C8429F" w14:textId="21AAD5D5" w:rsidR="00532343" w:rsidRPr="00532343" w:rsidRDefault="00532343" w:rsidP="003C18DC">
            <w:pPr>
              <w:spacing w:line="240" w:lineRule="auto"/>
              <w:rPr>
                <w:b/>
                <w:bCs/>
                <w:u w:val="single"/>
              </w:rPr>
            </w:pPr>
            <w:r w:rsidRPr="00532343">
              <w:rPr>
                <w:b/>
                <w:bCs/>
                <w:u w:val="single"/>
              </w:rPr>
              <w:t>Report d’imposition des plus-values des EI et EIRL ayant opté pour l’IS</w:t>
            </w:r>
          </w:p>
          <w:p w14:paraId="1452F98F" w14:textId="77777777" w:rsidR="00532343" w:rsidRDefault="00532343" w:rsidP="003C18DC">
            <w:pPr>
              <w:spacing w:line="240" w:lineRule="auto"/>
            </w:pPr>
          </w:p>
          <w:p w14:paraId="080A06C1" w14:textId="697C5BBD" w:rsidR="00532343" w:rsidRDefault="00532343" w:rsidP="003C18DC">
            <w:pPr>
              <w:spacing w:line="240" w:lineRule="auto"/>
            </w:pPr>
            <w:r>
              <w:t>La LF pour 2026 officialise la possibilité de report d’imposition des plus-values pour les EI et EIRL ayant opté pour l’IS (il s’agissait d’une tolérance administrative de l’option pour l’assimilation à l’EURL).</w:t>
            </w:r>
          </w:p>
          <w:p w14:paraId="649027DA" w14:textId="77777777" w:rsidR="00461EDA" w:rsidRDefault="00461EDA" w:rsidP="003C18DC">
            <w:pPr>
              <w:spacing w:line="240" w:lineRule="auto"/>
            </w:pPr>
          </w:p>
          <w:p w14:paraId="2071A101" w14:textId="3FB54043" w:rsidR="00532343" w:rsidRPr="00A06A73" w:rsidRDefault="00532343" w:rsidP="003C18DC">
            <w:pPr>
              <w:spacing w:line="240" w:lineRule="auto"/>
            </w:pPr>
            <w:r>
              <w:t xml:space="preserve">Par ailleurs, l’apport de son patrimoine ou d’une branche d’activité à une autre société soumise à l’IS peut faire l’objet d’un maintien </w:t>
            </w:r>
            <w:r w:rsidR="00885416">
              <w:t xml:space="preserve">du report d’imposition </w:t>
            </w:r>
            <w:r>
              <w:t>(sous conditions</w:t>
            </w:r>
            <w:r w:rsidR="00461EDA">
              <w:t xml:space="preserve"> et sur option de l’apporteur et du bénéficiaire des apports</w:t>
            </w:r>
            <w:r>
              <w:t>). Il s’agit d’un dispositif proche d</w:t>
            </w:r>
            <w:r w:rsidR="00461EDA">
              <w:t>u mécanisme de report d’imposition des restructurations d’entreprises (fusions et opérations assimilées, art 210 CGI).</w:t>
            </w:r>
          </w:p>
          <w:p w14:paraId="7AF239CE" w14:textId="4AE2D815" w:rsidR="00CC4090" w:rsidRPr="00A06A73" w:rsidRDefault="00CC4090" w:rsidP="003C18DC">
            <w:pPr>
              <w:spacing w:line="240" w:lineRule="auto"/>
              <w:jc w:val="left"/>
            </w:pPr>
          </w:p>
        </w:tc>
      </w:tr>
    </w:tbl>
    <w:p w14:paraId="36B30AEE" w14:textId="7B8874EB" w:rsidR="00A42CA7" w:rsidRPr="00A42CA7" w:rsidRDefault="008F18A5" w:rsidP="00A42CA7">
      <w:pPr>
        <w:spacing w:line="240" w:lineRule="auto"/>
        <w:jc w:val="left"/>
      </w:pPr>
      <w:r w:rsidRPr="00A42CA7">
        <w:rPr>
          <w:noProof/>
        </w:rPr>
        <mc:AlternateContent>
          <mc:Choice Requires="wps">
            <w:drawing>
              <wp:anchor distT="0" distB="0" distL="114300" distR="114300" simplePos="0" relativeHeight="251661312" behindDoc="0" locked="0" layoutInCell="1" allowOverlap="1" wp14:anchorId="7F3510DA" wp14:editId="315F2F70">
                <wp:simplePos x="0" y="0"/>
                <wp:positionH relativeFrom="rightMargin">
                  <wp:posOffset>-394970</wp:posOffset>
                </wp:positionH>
                <wp:positionV relativeFrom="paragraph">
                  <wp:posOffset>-225425</wp:posOffset>
                </wp:positionV>
                <wp:extent cx="619125" cy="373380"/>
                <wp:effectExtent l="38100" t="38100" r="123825" b="121920"/>
                <wp:wrapNone/>
                <wp:docPr id="1555372541" name="Ellipse 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775527"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510DA" id="Ellipse 8" o:spid="_x0000_s1036" href="#DEBUT" style="position:absolute;margin-left:-31.1pt;margin-top:-17.75pt;width:48.75pt;height:29.4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lb9AIAAH8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fQNDFXvFqZYv/gsGpxHrzltxKqtWA+PDAHywSK&#10;Cwsy3MOnVAYajkO/U1IZ9/P1HerBbMMLJQ0spZz6HxvmBCXqq4apB6jQH1x/WPUHvamvDUxECivX&#10;8ngEAxdUfyydqZ9hX87RCzwxzcEXBBRcL1yHdjnCxuViPo9qsKksCwu9tBzBkVDsx6fdM3O2G+IA&#10;039n+oX1ZpBbXbTUZr4JppRxyg/8dVTDlot92m1kXKPHctQ6/DdmvwAAAP//AwBQSwMEFAAGAAgA&#10;AAAhACbc8/ffAAAACQEAAA8AAABkcnMvZG93bnJldi54bWxMj8FOwzAMhu9IvENkJG5bSqJWqGs6&#10;TaAd0DjAQNo1a0xbLXFKk26Fpyec4GbLn35/f7WenWVnHEPvScHdMgOG1HjTU6vg/W27uAcWoiaj&#10;rSdU8IUB1vX1VaVL4y/0iud9bFkKoVBqBV2MQ8l5aDp0Oiz9gJRuH350OqZ1bLkZ9SWFO8tFlhXc&#10;6Z7Sh04P+NBhc9pPTkFhdk/ikabdpzh9vzxveivNYavU7c28WQGLOMc/GH71kzrUyenoJzKBWQWL&#10;QoiEpkHmObBEyFwCOyoQUgKvK/6/Qf0DAAD//wMAUEsBAi0AFAAGAAgAAAAhALaDOJL+AAAA4QEA&#10;ABMAAAAAAAAAAAAAAAAAAAAAAFtDb250ZW50X1R5cGVzXS54bWxQSwECLQAUAAYACAAAACEAOP0h&#10;/9YAAACUAQAACwAAAAAAAAAAAAAAAAAvAQAAX3JlbHMvLnJlbHNQSwECLQAUAAYACAAAACEAXR+Z&#10;W/QCAAB/BgAADgAAAAAAAAAAAAAAAAAuAgAAZHJzL2Uyb0RvYy54bWxQSwECLQAUAAYACAAAACEA&#10;Jtzz998AAAAJAQAADwAAAAAAAAAAAAAAAABOBQAAZHJzL2Rvd25yZXYueG1sUEsFBgAAAAAEAAQA&#10;8wAAAFoGAAAAAA==&#10;" o:button="t" fillcolor="#f2f2f2 [3052]" strokecolor="black [3213]" strokeweight="1pt">
                <v:fill o:detectmouseclick="t"/>
                <v:stroke joinstyle="miter"/>
                <v:shadow on="t" color="black" opacity="26214f" origin="-.5,-.5" offset=".74836mm,.74836mm"/>
                <v:path arrowok="t"/>
                <v:textbox inset="0,0,0,0">
                  <w:txbxContent>
                    <w:p w14:paraId="3D775527"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w10:wrap anchorx="margin"/>
              </v:oval>
            </w:pict>
          </mc:Fallback>
        </mc:AlternateContent>
      </w:r>
    </w:p>
    <w:p w14:paraId="0DB71C4D" w14:textId="056BC9ED" w:rsidR="00A42CA7" w:rsidRPr="00A42CA7" w:rsidRDefault="00A42CA7" w:rsidP="00A42CA7">
      <w:pPr>
        <w:spacing w:line="240" w:lineRule="auto"/>
        <w:jc w:val="left"/>
      </w:pPr>
    </w:p>
    <w:p w14:paraId="4ECED8A5" w14:textId="76759C6B" w:rsidR="001E542A" w:rsidRPr="009A74ED" w:rsidRDefault="001E542A" w:rsidP="00A42CA7">
      <w:pPr>
        <w:spacing w:line="240" w:lineRule="auto"/>
        <w:jc w:val="left"/>
      </w:pPr>
    </w:p>
    <w:sectPr w:rsidR="001E542A" w:rsidRPr="009A74ED" w:rsidSect="00CC4090">
      <w:headerReference w:type="first" r:id="rId14"/>
      <w:pgSz w:w="11906" w:h="16838"/>
      <w:pgMar w:top="142" w:right="709" w:bottom="851" w:left="1134" w:header="284"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5286" w14:textId="77777777" w:rsidR="00207F7C" w:rsidRDefault="00207F7C" w:rsidP="00DA69BE">
      <w:pPr>
        <w:spacing w:line="240" w:lineRule="auto"/>
      </w:pPr>
      <w:r>
        <w:separator/>
      </w:r>
    </w:p>
  </w:endnote>
  <w:endnote w:type="continuationSeparator" w:id="0">
    <w:p w14:paraId="1D086B94" w14:textId="77777777" w:rsidR="00207F7C" w:rsidRDefault="00207F7C" w:rsidP="00DA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8470" w14:textId="620A45EC" w:rsidR="003F15C1" w:rsidRDefault="00333840">
    <w:pPr>
      <w:pStyle w:val="Pieddepage"/>
    </w:pPr>
    <w:r w:rsidRPr="00E93E27">
      <w:rPr>
        <w:noProof/>
      </w:rPr>
      <w:drawing>
        <wp:anchor distT="0" distB="0" distL="114300" distR="114300" simplePos="0" relativeHeight="251670528" behindDoc="1" locked="0" layoutInCell="1" allowOverlap="1" wp14:anchorId="2516759B" wp14:editId="69AA9119">
          <wp:simplePos x="0" y="0"/>
          <wp:positionH relativeFrom="column">
            <wp:posOffset>6414448</wp:posOffset>
          </wp:positionH>
          <wp:positionV relativeFrom="paragraph">
            <wp:posOffset>-81915</wp:posOffset>
          </wp:positionV>
          <wp:extent cx="394970" cy="681355"/>
          <wp:effectExtent l="0" t="0" r="5080" b="4445"/>
          <wp:wrapNone/>
          <wp:docPr id="412950789" name="Image 41295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114AF3" w:rsidRPr="00114AF3">
      <w:rPr>
        <w:noProof/>
        <w:color w:val="634D4D"/>
      </w:rPr>
      <w:drawing>
        <wp:anchor distT="0" distB="0" distL="114300" distR="114300" simplePos="0" relativeHeight="251660288" behindDoc="0" locked="0" layoutInCell="1" allowOverlap="1" wp14:anchorId="4F8D6B76" wp14:editId="7F605F9C">
          <wp:simplePos x="0" y="0"/>
          <wp:positionH relativeFrom="column">
            <wp:posOffset>3711452</wp:posOffset>
          </wp:positionH>
          <wp:positionV relativeFrom="paragraph">
            <wp:posOffset>1270</wp:posOffset>
          </wp:positionV>
          <wp:extent cx="465446" cy="170597"/>
          <wp:effectExtent l="0" t="0" r="0" b="1270"/>
          <wp:wrapNone/>
          <wp:docPr id="1870406961"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114AF3" w:rsidRPr="00114AF3">
        <w:rPr>
          <w:rStyle w:val="Lienhypertexte"/>
          <w:color w:val="634D4D"/>
        </w:rPr>
        <w:t>www.crcf-edu.fr</w:t>
      </w:r>
    </w:hyperlink>
    <w:r w:rsidR="00114AF3">
      <w:tab/>
    </w:r>
    <w:r w:rsidR="00CC4090">
      <w:t>Mars 2025</w:t>
    </w:r>
    <w:r w:rsidR="00114AF3">
      <w:tab/>
    </w:r>
    <w:r w:rsidR="00114AF3" w:rsidRPr="003F7A48">
      <w:t xml:space="preserve">Page </w:t>
    </w:r>
    <w:r w:rsidR="00114AF3" w:rsidRPr="003F7A48">
      <w:rPr>
        <w:rStyle w:val="Numrodepage"/>
      </w:rPr>
      <w:fldChar w:fldCharType="begin"/>
    </w:r>
    <w:r w:rsidR="00114AF3" w:rsidRPr="003F7A48">
      <w:rPr>
        <w:rStyle w:val="Numrodepage"/>
      </w:rPr>
      <w:instrText xml:space="preserve"> PAGE </w:instrText>
    </w:r>
    <w:r w:rsidR="00114AF3" w:rsidRPr="003F7A48">
      <w:rPr>
        <w:rStyle w:val="Numrodepage"/>
      </w:rPr>
      <w:fldChar w:fldCharType="separate"/>
    </w:r>
    <w:r w:rsidR="00114AF3">
      <w:rPr>
        <w:rStyle w:val="Numrodepage"/>
      </w:rPr>
      <w:t>1</w:t>
    </w:r>
    <w:r w:rsidR="00114AF3" w:rsidRPr="003F7A48">
      <w:rPr>
        <w:rStyle w:val="Numrodepage"/>
      </w:rPr>
      <w:fldChar w:fldCharType="end"/>
    </w:r>
    <w:r w:rsidR="00114AF3" w:rsidRPr="003F7A48">
      <w:rPr>
        <w:rStyle w:val="Numrodepage"/>
      </w:rPr>
      <w:t>/</w:t>
    </w:r>
    <w:r w:rsidR="00114AF3" w:rsidRPr="003F7A48">
      <w:rPr>
        <w:rStyle w:val="Numrodepage"/>
      </w:rPr>
      <w:fldChar w:fldCharType="begin"/>
    </w:r>
    <w:r w:rsidR="00114AF3" w:rsidRPr="003F7A48">
      <w:rPr>
        <w:rStyle w:val="Numrodepage"/>
      </w:rPr>
      <w:instrText xml:space="preserve"> NUMPAGES </w:instrText>
    </w:r>
    <w:r w:rsidR="00114AF3" w:rsidRPr="003F7A48">
      <w:rPr>
        <w:rStyle w:val="Numrodepage"/>
      </w:rPr>
      <w:fldChar w:fldCharType="separate"/>
    </w:r>
    <w:r w:rsidR="00114AF3">
      <w:rPr>
        <w:rStyle w:val="Numrodepage"/>
      </w:rPr>
      <w:t>2</w:t>
    </w:r>
    <w:r w:rsidR="00114AF3" w:rsidRPr="003F7A48">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7780" w14:textId="308F2168" w:rsidR="003F15C1" w:rsidRPr="001458D6" w:rsidRDefault="00333840">
    <w:pPr>
      <w:pStyle w:val="Pieddepage"/>
      <w:rPr>
        <w:color w:val="634D4D"/>
      </w:rPr>
    </w:pPr>
    <w:r w:rsidRPr="00E93E27">
      <w:rPr>
        <w:noProof/>
      </w:rPr>
      <w:drawing>
        <wp:anchor distT="0" distB="0" distL="114300" distR="114300" simplePos="0" relativeHeight="251668480" behindDoc="1" locked="0" layoutInCell="1" allowOverlap="1" wp14:anchorId="033F4A16" wp14:editId="2E09D6FB">
          <wp:simplePos x="0" y="0"/>
          <wp:positionH relativeFrom="column">
            <wp:posOffset>6414448</wp:posOffset>
          </wp:positionH>
          <wp:positionV relativeFrom="paragraph">
            <wp:posOffset>-54288</wp:posOffset>
          </wp:positionV>
          <wp:extent cx="394970" cy="681355"/>
          <wp:effectExtent l="0" t="0" r="5080" b="4445"/>
          <wp:wrapNone/>
          <wp:docPr id="1289377288" name="Image 128937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CA2B66" w:rsidRPr="001458D6">
      <w:rPr>
        <w:noProof/>
        <w:color w:val="634D4D"/>
      </w:rPr>
      <w:drawing>
        <wp:anchor distT="0" distB="0" distL="114300" distR="114300" simplePos="0" relativeHeight="251664384" behindDoc="0" locked="0" layoutInCell="1" allowOverlap="1" wp14:anchorId="4A891C60" wp14:editId="09125A68">
          <wp:simplePos x="0" y="0"/>
          <wp:positionH relativeFrom="column">
            <wp:posOffset>3668907</wp:posOffset>
          </wp:positionH>
          <wp:positionV relativeFrom="paragraph">
            <wp:posOffset>-635</wp:posOffset>
          </wp:positionV>
          <wp:extent cx="465446" cy="170597"/>
          <wp:effectExtent l="0" t="0" r="0" b="1270"/>
          <wp:wrapNone/>
          <wp:docPr id="30852247"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CA2B66" w:rsidRPr="001458D6">
        <w:rPr>
          <w:rStyle w:val="Lienhypertexte"/>
          <w:color w:val="634D4D"/>
        </w:rPr>
        <w:t>www.crcf-edu.fr</w:t>
      </w:r>
    </w:hyperlink>
    <w:r w:rsidR="00CA2B66" w:rsidRPr="001458D6">
      <w:rPr>
        <w:color w:val="634D4D"/>
      </w:rPr>
      <w:tab/>
    </w:r>
    <w:r w:rsidR="00A42CA7">
      <w:rPr>
        <w:color w:val="634D4D"/>
      </w:rPr>
      <w:t>Mars 2025</w:t>
    </w:r>
    <w:r w:rsidR="00CA2B66" w:rsidRPr="001458D6">
      <w:rPr>
        <w:color w:val="634D4D"/>
      </w:rPr>
      <w:tab/>
      <w:t xml:space="preserve">Page </w:t>
    </w:r>
    <w:r w:rsidR="00CA2B66" w:rsidRPr="001458D6">
      <w:rPr>
        <w:rStyle w:val="Numrodepage"/>
        <w:color w:val="634D4D"/>
      </w:rPr>
      <w:fldChar w:fldCharType="begin"/>
    </w:r>
    <w:r w:rsidR="00CA2B66" w:rsidRPr="001458D6">
      <w:rPr>
        <w:rStyle w:val="Numrodepage"/>
        <w:color w:val="634D4D"/>
      </w:rPr>
      <w:instrText xml:space="preserve"> PAGE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r w:rsidR="00CA2B66" w:rsidRPr="001458D6">
      <w:rPr>
        <w:rStyle w:val="Numrodepage"/>
        <w:color w:val="634D4D"/>
      </w:rPr>
      <w:t>/</w:t>
    </w:r>
    <w:r w:rsidR="00CA2B66" w:rsidRPr="001458D6">
      <w:rPr>
        <w:rStyle w:val="Numrodepage"/>
        <w:color w:val="634D4D"/>
      </w:rPr>
      <w:fldChar w:fldCharType="begin"/>
    </w:r>
    <w:r w:rsidR="00CA2B66" w:rsidRPr="001458D6">
      <w:rPr>
        <w:rStyle w:val="Numrodepage"/>
        <w:color w:val="634D4D"/>
      </w:rPr>
      <w:instrText xml:space="preserve"> NUMPAGES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6875" w14:textId="77777777" w:rsidR="00207F7C" w:rsidRDefault="00207F7C" w:rsidP="00DA69BE">
      <w:pPr>
        <w:spacing w:line="240" w:lineRule="auto"/>
      </w:pPr>
      <w:r>
        <w:separator/>
      </w:r>
    </w:p>
  </w:footnote>
  <w:footnote w:type="continuationSeparator" w:id="0">
    <w:p w14:paraId="581D1601" w14:textId="77777777" w:rsidR="00207F7C" w:rsidRDefault="00207F7C" w:rsidP="00DA69BE">
      <w:pPr>
        <w:spacing w:line="240" w:lineRule="auto"/>
      </w:pPr>
      <w:r>
        <w:continuationSeparator/>
      </w:r>
    </w:p>
  </w:footnote>
  <w:footnote w:id="1">
    <w:p w14:paraId="44C56ADF" w14:textId="0E4F65EB" w:rsidR="00A42CA7" w:rsidRDefault="00A42CA7" w:rsidP="00A42CA7">
      <w:pPr>
        <w:pStyle w:val="Notedebasdepage"/>
        <w:rPr>
          <w:rFonts w:ascii="Times New Roman" w:hAnsi="Times New Roman"/>
        </w:rPr>
      </w:pPr>
      <w:r>
        <w:rPr>
          <w:rStyle w:val="Appelnotedebasdep"/>
          <w:rFonts w:ascii="Times New Roman" w:eastAsiaTheme="majorEastAsia" w:hAnsi="Times New Roman"/>
        </w:rPr>
        <w:footnoteRef/>
      </w:r>
      <w:r>
        <w:rPr>
          <w:rFonts w:ascii="Times New Roman" w:hAnsi="Times New Roman"/>
        </w:rPr>
        <w:t xml:space="preserve"> Seuil de la franchise pour les impôts commerciaux (et TVA) des OSBL : </w:t>
      </w:r>
      <w:r>
        <w:rPr>
          <w:rFonts w:ascii="Times New Roman" w:hAnsi="Times New Roman"/>
          <w:b/>
        </w:rPr>
        <w:t>8</w:t>
      </w:r>
      <w:r w:rsidR="00C3450D">
        <w:rPr>
          <w:rFonts w:ascii="Times New Roman" w:hAnsi="Times New Roman"/>
          <w:b/>
        </w:rPr>
        <w:t>1</w:t>
      </w:r>
      <w:r>
        <w:rPr>
          <w:rFonts w:ascii="Times New Roman" w:hAnsi="Times New Roman"/>
          <w:b/>
        </w:rPr>
        <w:t> 0</w:t>
      </w:r>
      <w:r w:rsidR="00C3450D">
        <w:rPr>
          <w:rFonts w:ascii="Times New Roman" w:hAnsi="Times New Roman"/>
          <w:b/>
        </w:rPr>
        <w:t>51</w:t>
      </w:r>
      <w:r>
        <w:rPr>
          <w:rFonts w:ascii="Times New Roman" w:hAnsi="Times New Roman"/>
          <w: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143A" w14:textId="77777777" w:rsidR="00DA69BE" w:rsidRPr="00333840" w:rsidRDefault="00333840" w:rsidP="00333840">
    <w:pPr>
      <w:pStyle w:val="En-tte"/>
    </w:pPr>
    <w:r w:rsidRPr="00E93E27">
      <w:rPr>
        <w:noProof/>
      </w:rPr>
      <w:drawing>
        <wp:anchor distT="0" distB="0" distL="114300" distR="114300" simplePos="0" relativeHeight="251672576" behindDoc="1" locked="0" layoutInCell="1" allowOverlap="1" wp14:anchorId="57F83408" wp14:editId="67F109EB">
          <wp:simplePos x="0" y="0"/>
          <wp:positionH relativeFrom="column">
            <wp:posOffset>-709684</wp:posOffset>
          </wp:positionH>
          <wp:positionV relativeFrom="paragraph">
            <wp:posOffset>-479245</wp:posOffset>
          </wp:positionV>
          <wp:extent cx="462915" cy="10699845"/>
          <wp:effectExtent l="0" t="0" r="0" b="6350"/>
          <wp:wrapNone/>
          <wp:docPr id="1819638647" name="Image 181963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8EAF" w14:textId="77777777" w:rsidR="003F15C1" w:rsidRDefault="00333840">
    <w:pPr>
      <w:pStyle w:val="En-tte"/>
    </w:pPr>
    <w:r w:rsidRPr="00E93E27">
      <w:rPr>
        <w:noProof/>
      </w:rPr>
      <w:drawing>
        <wp:anchor distT="0" distB="0" distL="114300" distR="114300" simplePos="0" relativeHeight="251666432" behindDoc="1" locked="0" layoutInCell="1" allowOverlap="1" wp14:anchorId="2F40EA65" wp14:editId="686CEEF1">
          <wp:simplePos x="0" y="0"/>
          <wp:positionH relativeFrom="column">
            <wp:posOffset>-723331</wp:posOffset>
          </wp:positionH>
          <wp:positionV relativeFrom="paragraph">
            <wp:posOffset>-451011</wp:posOffset>
          </wp:positionV>
          <wp:extent cx="462915" cy="10699845"/>
          <wp:effectExtent l="0" t="0" r="0" b="6350"/>
          <wp:wrapNone/>
          <wp:docPr id="353077051" name="Image 35307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r w:rsidR="00CA2B66">
      <w:rPr>
        <w:noProof/>
      </w:rPr>
      <w:drawing>
        <wp:anchor distT="0" distB="0" distL="114300" distR="114300" simplePos="0" relativeHeight="251662336" behindDoc="0" locked="0" layoutInCell="1" allowOverlap="1" wp14:anchorId="361793FB" wp14:editId="4194C466">
          <wp:simplePos x="0" y="0"/>
          <wp:positionH relativeFrom="column">
            <wp:posOffset>1470660</wp:posOffset>
          </wp:positionH>
          <wp:positionV relativeFrom="paragraph">
            <wp:posOffset>-250190</wp:posOffset>
          </wp:positionV>
          <wp:extent cx="3248025" cy="464051"/>
          <wp:effectExtent l="0" t="0" r="0" b="0"/>
          <wp:wrapNone/>
          <wp:docPr id="74716875" name="Image 7471687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8025" cy="464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9B4D" w14:textId="59F90AF5" w:rsidR="00433C96" w:rsidRPr="00433C96" w:rsidRDefault="00433C96">
    <w:pPr>
      <w:pStyle w:val="En-tte"/>
      <w:rPr>
        <w:sz w:val="10"/>
        <w:szCs w:val="10"/>
      </w:rPr>
    </w:pPr>
    <w:r w:rsidRPr="00E93E27">
      <w:rPr>
        <w:noProof/>
      </w:rPr>
      <w:drawing>
        <wp:anchor distT="0" distB="0" distL="114300" distR="114300" simplePos="0" relativeHeight="251675648" behindDoc="1" locked="0" layoutInCell="1" allowOverlap="1" wp14:anchorId="7D07B68E" wp14:editId="2BF360C5">
          <wp:simplePos x="0" y="0"/>
          <wp:positionH relativeFrom="column">
            <wp:posOffset>-723331</wp:posOffset>
          </wp:positionH>
          <wp:positionV relativeFrom="paragraph">
            <wp:posOffset>-451011</wp:posOffset>
          </wp:positionV>
          <wp:extent cx="462915" cy="10699845"/>
          <wp:effectExtent l="0" t="0" r="0" b="6350"/>
          <wp:wrapNone/>
          <wp:docPr id="781378227" name="Image 78137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numPicBullet w:numPicBulletId="1">
    <w:pict>
      <v:shape id="_x0000_i1035" type="#_x0000_t75" style="width:160.5pt;height:156pt;visibility:visible;mso-wrap-style:square" o:bullet="t">
        <v:imagedata r:id="rId2" o:title=""/>
      </v:shape>
    </w:pict>
  </w:numPicBullet>
  <w:abstractNum w:abstractNumId="0" w15:restartNumberingAfterBreak="0">
    <w:nsid w:val="01677573"/>
    <w:multiLevelType w:val="hybridMultilevel"/>
    <w:tmpl w:val="F40C178A"/>
    <w:lvl w:ilvl="0" w:tplc="07769546">
      <w:start w:val="1"/>
      <w:numFmt w:val="decimal"/>
      <w:pStyle w:val="Titre2"/>
      <w:lvlText w:val="%1."/>
      <w:lvlJc w:val="left"/>
      <w:pPr>
        <w:ind w:left="720" w:hanging="360"/>
      </w:pPr>
      <w:rPr>
        <w:rFonts w:ascii="Tw Cen MT" w:hAnsi="Tw Cen MT" w:hint="default"/>
        <w:b w:val="0"/>
        <w:i w:val="0"/>
        <w:strike w:val="0"/>
        <w:dstrike w:val="0"/>
        <w:color w:val="634D4D"/>
        <w:sz w:val="2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E06E24"/>
    <w:multiLevelType w:val="hybridMultilevel"/>
    <w:tmpl w:val="403CCCF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5E44FE"/>
    <w:multiLevelType w:val="multilevel"/>
    <w:tmpl w:val="2DF0C1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w Cen MT" w:hAnsi="Tw Cen MT" w:hint="default"/>
        <w:b w:val="0"/>
        <w:i w:val="0"/>
        <w:color w:val="CCA876"/>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D325A"/>
    <w:multiLevelType w:val="hybridMultilevel"/>
    <w:tmpl w:val="DB004840"/>
    <w:lvl w:ilvl="0" w:tplc="EFD089A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5F7AF9"/>
    <w:multiLevelType w:val="hybridMultilevel"/>
    <w:tmpl w:val="E6CCAD90"/>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012FC"/>
    <w:multiLevelType w:val="multilevel"/>
    <w:tmpl w:val="7C38E20C"/>
    <w:lvl w:ilvl="0">
      <w:start w:val="1"/>
      <w:numFmt w:val="lowerLetter"/>
      <w:lvlText w:val="%1."/>
      <w:lvlJc w:val="left"/>
      <w:pPr>
        <w:ind w:left="2136" w:hanging="360"/>
      </w:pPr>
      <w:rPr>
        <w:rFonts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6" w15:restartNumberingAfterBreak="0">
    <w:nsid w:val="1447154C"/>
    <w:multiLevelType w:val="hybridMultilevel"/>
    <w:tmpl w:val="CFF8F490"/>
    <w:lvl w:ilvl="0" w:tplc="CF244F4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4C56B33"/>
    <w:multiLevelType w:val="hybridMultilevel"/>
    <w:tmpl w:val="5878561C"/>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CA46F58"/>
    <w:multiLevelType w:val="hybridMultilevel"/>
    <w:tmpl w:val="9C6450E6"/>
    <w:lvl w:ilvl="0" w:tplc="400EBF3A">
      <w:start w:val="1"/>
      <w:numFmt w:val="bullet"/>
      <w:lvlText w:val=""/>
      <w:lvlPicBulletId w:val="1"/>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825BC4"/>
    <w:multiLevelType w:val="hybridMultilevel"/>
    <w:tmpl w:val="E7A44286"/>
    <w:lvl w:ilvl="0" w:tplc="FFFFFFFF">
      <w:start w:val="1"/>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10" w15:restartNumberingAfterBreak="0">
    <w:nsid w:val="27732BBD"/>
    <w:multiLevelType w:val="hybridMultilevel"/>
    <w:tmpl w:val="E7A44286"/>
    <w:lvl w:ilvl="0" w:tplc="90F0CA84">
      <w:start w:val="1"/>
      <w:numFmt w:val="decimal"/>
      <w:lvlText w:val="(%1)"/>
      <w:lvlJc w:val="left"/>
      <w:pPr>
        <w:ind w:left="930" w:hanging="360"/>
      </w:pPr>
    </w:lvl>
    <w:lvl w:ilvl="1" w:tplc="040C0019">
      <w:start w:val="1"/>
      <w:numFmt w:val="lowerLetter"/>
      <w:lvlText w:val="%2."/>
      <w:lvlJc w:val="left"/>
      <w:pPr>
        <w:ind w:left="1650" w:hanging="360"/>
      </w:pPr>
    </w:lvl>
    <w:lvl w:ilvl="2" w:tplc="040C001B">
      <w:start w:val="1"/>
      <w:numFmt w:val="lowerRoman"/>
      <w:lvlText w:val="%3."/>
      <w:lvlJc w:val="right"/>
      <w:pPr>
        <w:ind w:left="2370" w:hanging="180"/>
      </w:pPr>
    </w:lvl>
    <w:lvl w:ilvl="3" w:tplc="040C000F">
      <w:start w:val="1"/>
      <w:numFmt w:val="decimal"/>
      <w:lvlText w:val="%4."/>
      <w:lvlJc w:val="left"/>
      <w:pPr>
        <w:ind w:left="3090" w:hanging="360"/>
      </w:pPr>
    </w:lvl>
    <w:lvl w:ilvl="4" w:tplc="040C0019">
      <w:start w:val="1"/>
      <w:numFmt w:val="lowerLetter"/>
      <w:lvlText w:val="%5."/>
      <w:lvlJc w:val="left"/>
      <w:pPr>
        <w:ind w:left="3810" w:hanging="360"/>
      </w:pPr>
    </w:lvl>
    <w:lvl w:ilvl="5" w:tplc="040C001B">
      <w:start w:val="1"/>
      <w:numFmt w:val="lowerRoman"/>
      <w:lvlText w:val="%6."/>
      <w:lvlJc w:val="right"/>
      <w:pPr>
        <w:ind w:left="4530" w:hanging="180"/>
      </w:pPr>
    </w:lvl>
    <w:lvl w:ilvl="6" w:tplc="040C000F">
      <w:start w:val="1"/>
      <w:numFmt w:val="decimal"/>
      <w:lvlText w:val="%7."/>
      <w:lvlJc w:val="left"/>
      <w:pPr>
        <w:ind w:left="5250" w:hanging="360"/>
      </w:pPr>
    </w:lvl>
    <w:lvl w:ilvl="7" w:tplc="040C0019">
      <w:start w:val="1"/>
      <w:numFmt w:val="lowerLetter"/>
      <w:lvlText w:val="%8."/>
      <w:lvlJc w:val="left"/>
      <w:pPr>
        <w:ind w:left="5970" w:hanging="360"/>
      </w:pPr>
    </w:lvl>
    <w:lvl w:ilvl="8" w:tplc="040C001B">
      <w:start w:val="1"/>
      <w:numFmt w:val="lowerRoman"/>
      <w:lvlText w:val="%9."/>
      <w:lvlJc w:val="right"/>
      <w:pPr>
        <w:ind w:left="6690" w:hanging="180"/>
      </w:pPr>
    </w:lvl>
  </w:abstractNum>
  <w:abstractNum w:abstractNumId="11" w15:restartNumberingAfterBreak="0">
    <w:nsid w:val="2A860B72"/>
    <w:multiLevelType w:val="hybridMultilevel"/>
    <w:tmpl w:val="BE44F1C2"/>
    <w:lvl w:ilvl="0" w:tplc="A4A6E5AA">
      <w:start w:val="1"/>
      <w:numFmt w:val="decimal"/>
      <w:pStyle w:val="Titre3"/>
      <w:lvlText w:val="%1)"/>
      <w:lvlJc w:val="left"/>
      <w:pPr>
        <w:ind w:left="720" w:hanging="360"/>
      </w:pPr>
      <w:rPr>
        <w:rFonts w:ascii="Tw Cen MT" w:hAnsi="Tw Cen MT" w:hint="default"/>
        <w:b w:val="0"/>
        <w:i w:val="0"/>
        <w:strike w:val="0"/>
        <w:dstrike w:val="0"/>
        <w:color w:val="CCA876"/>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980E59"/>
    <w:multiLevelType w:val="hybridMultilevel"/>
    <w:tmpl w:val="762CFF9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03929D9"/>
    <w:multiLevelType w:val="hybridMultilevel"/>
    <w:tmpl w:val="450C3F88"/>
    <w:lvl w:ilvl="0" w:tplc="01DEE9D6">
      <w:start w:val="1"/>
      <w:numFmt w:val="decimal"/>
      <w:lvlText w:val="%1."/>
      <w:lvlJc w:val="left"/>
      <w:pPr>
        <w:ind w:left="720" w:hanging="360"/>
      </w:pPr>
      <w:rPr>
        <w:rFonts w:ascii="Tw Cen MT" w:hAnsi="Tw Cen MT" w:hint="default"/>
        <w:b w:val="0"/>
        <w:i w:val="0"/>
        <w:strike w:val="0"/>
        <w:dstrike w:val="0"/>
        <w:color w:val="92754C"/>
        <w:sz w:val="22"/>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9C735B"/>
    <w:multiLevelType w:val="hybridMultilevel"/>
    <w:tmpl w:val="8306012A"/>
    <w:lvl w:ilvl="0" w:tplc="040C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1C637C7"/>
    <w:multiLevelType w:val="multilevel"/>
    <w:tmpl w:val="33A000F4"/>
    <w:lvl w:ilvl="0">
      <w:start w:val="1"/>
      <w:numFmt w:val="lowerLetter"/>
      <w:pStyle w:val="Titre4"/>
      <w:lvlText w:val="1.%1"/>
      <w:lvlJc w:val="left"/>
      <w:pPr>
        <w:ind w:left="2136" w:hanging="360"/>
      </w:pPr>
      <w:rPr>
        <w:rFonts w:ascii="Tw Cen MT" w:hAnsi="Tw Cen MT"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16" w15:restartNumberingAfterBreak="0">
    <w:nsid w:val="33C415D8"/>
    <w:multiLevelType w:val="multilevel"/>
    <w:tmpl w:val="4F4A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405AC"/>
    <w:multiLevelType w:val="hybridMultilevel"/>
    <w:tmpl w:val="AC92FF66"/>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1B4B70"/>
    <w:multiLevelType w:val="hybridMultilevel"/>
    <w:tmpl w:val="FD46F678"/>
    <w:lvl w:ilvl="0" w:tplc="626ADC32">
      <w:start w:val="1"/>
      <w:numFmt w:val="bullet"/>
      <w:lvlText w:val=""/>
      <w:lvlPicBulletId w:val="1"/>
      <w:lvlJc w:val="left"/>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C81A40"/>
    <w:multiLevelType w:val="hybridMultilevel"/>
    <w:tmpl w:val="94BC974A"/>
    <w:lvl w:ilvl="0" w:tplc="9B3CCEF0">
      <w:start w:val="1"/>
      <w:numFmt w:val="bullet"/>
      <w:suff w:val="space"/>
      <w:lvlText w:val=""/>
      <w:lvlPicBulletId w:val="1"/>
      <w:lvlJc w:val="left"/>
      <w:pPr>
        <w:ind w:left="0"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F90A08"/>
    <w:multiLevelType w:val="hybridMultilevel"/>
    <w:tmpl w:val="81C048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1C605E"/>
    <w:multiLevelType w:val="hybridMultilevel"/>
    <w:tmpl w:val="875C43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93930DC"/>
    <w:multiLevelType w:val="hybridMultilevel"/>
    <w:tmpl w:val="32E01362"/>
    <w:lvl w:ilvl="0" w:tplc="0D0CBFE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D0961C6"/>
    <w:multiLevelType w:val="hybridMultilevel"/>
    <w:tmpl w:val="6178D71A"/>
    <w:lvl w:ilvl="0" w:tplc="400EBF3A">
      <w:start w:val="1"/>
      <w:numFmt w:val="bullet"/>
      <w:lvlText w:val=""/>
      <w:lvlPicBulletId w:val="1"/>
      <w:lvlJc w:val="left"/>
      <w:pPr>
        <w:ind w:left="720" w:hanging="363"/>
      </w:pPr>
      <w:rPr>
        <w:rFonts w:ascii="Symbol" w:hAnsi="Symbol"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1B0FCD"/>
    <w:multiLevelType w:val="hybridMultilevel"/>
    <w:tmpl w:val="D86E7208"/>
    <w:lvl w:ilvl="0" w:tplc="A6E2D5AC">
      <w:start w:val="1"/>
      <w:numFmt w:val="bullet"/>
      <w:suff w:val="space"/>
      <w:lvlText w:val=""/>
      <w:lvlPicBulletId w:val="1"/>
      <w:lvlJc w:val="left"/>
      <w:pPr>
        <w:ind w:left="284"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57574C"/>
    <w:multiLevelType w:val="hybridMultilevel"/>
    <w:tmpl w:val="185CFEAA"/>
    <w:lvl w:ilvl="0" w:tplc="F7260CF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84328EE"/>
    <w:multiLevelType w:val="hybridMultilevel"/>
    <w:tmpl w:val="2968D96A"/>
    <w:lvl w:ilvl="0" w:tplc="040C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B9A1687"/>
    <w:multiLevelType w:val="multilevel"/>
    <w:tmpl w:val="F93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655803">
    <w:abstractNumId w:val="27"/>
  </w:num>
  <w:num w:numId="2" w16cid:durableId="354622515">
    <w:abstractNumId w:val="16"/>
  </w:num>
  <w:num w:numId="3" w16cid:durableId="1955212024">
    <w:abstractNumId w:val="18"/>
  </w:num>
  <w:num w:numId="4" w16cid:durableId="366688605">
    <w:abstractNumId w:val="13"/>
  </w:num>
  <w:num w:numId="5" w16cid:durableId="818379835">
    <w:abstractNumId w:val="19"/>
  </w:num>
  <w:num w:numId="6" w16cid:durableId="1429036954">
    <w:abstractNumId w:val="24"/>
  </w:num>
  <w:num w:numId="7" w16cid:durableId="249236473">
    <w:abstractNumId w:val="23"/>
  </w:num>
  <w:num w:numId="8" w16cid:durableId="223955252">
    <w:abstractNumId w:val="3"/>
  </w:num>
  <w:num w:numId="9" w16cid:durableId="1215969887">
    <w:abstractNumId w:val="0"/>
  </w:num>
  <w:num w:numId="10" w16cid:durableId="744450689">
    <w:abstractNumId w:val="11"/>
  </w:num>
  <w:num w:numId="11" w16cid:durableId="220748780">
    <w:abstractNumId w:val="11"/>
    <w:lvlOverride w:ilvl="0">
      <w:startOverride w:val="1"/>
    </w:lvlOverride>
  </w:num>
  <w:num w:numId="12" w16cid:durableId="1947537672">
    <w:abstractNumId w:val="2"/>
  </w:num>
  <w:num w:numId="13" w16cid:durableId="1883244071">
    <w:abstractNumId w:val="15"/>
  </w:num>
  <w:num w:numId="14" w16cid:durableId="77674857">
    <w:abstractNumId w:val="5"/>
  </w:num>
  <w:num w:numId="15" w16cid:durableId="1280263859">
    <w:abstractNumId w:val="4"/>
  </w:num>
  <w:num w:numId="16" w16cid:durableId="622154475">
    <w:abstractNumId w:val="17"/>
  </w:num>
  <w:num w:numId="17" w16cid:durableId="523783937">
    <w:abstractNumId w:val="8"/>
  </w:num>
  <w:num w:numId="18" w16cid:durableId="582839423">
    <w:abstractNumId w:val="22"/>
  </w:num>
  <w:num w:numId="19" w16cid:durableId="1578322209">
    <w:abstractNumId w:val="21"/>
  </w:num>
  <w:num w:numId="20" w16cid:durableId="483394906">
    <w:abstractNumId w:val="25"/>
  </w:num>
  <w:num w:numId="21" w16cid:durableId="1168905024">
    <w:abstractNumId w:val="12"/>
  </w:num>
  <w:num w:numId="22" w16cid:durableId="239218888">
    <w:abstractNumId w:val="7"/>
  </w:num>
  <w:num w:numId="23" w16cid:durableId="1298880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8182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2917171">
    <w:abstractNumId w:val="6"/>
  </w:num>
  <w:num w:numId="26" w16cid:durableId="551818559">
    <w:abstractNumId w:val="1"/>
  </w:num>
  <w:num w:numId="27" w16cid:durableId="1079451060">
    <w:abstractNumId w:val="20"/>
  </w:num>
  <w:num w:numId="28" w16cid:durableId="2027905734">
    <w:abstractNumId w:val="26"/>
  </w:num>
  <w:num w:numId="29" w16cid:durableId="688027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A7"/>
    <w:rsid w:val="000022CF"/>
    <w:rsid w:val="00007592"/>
    <w:rsid w:val="00011FCB"/>
    <w:rsid w:val="00024D75"/>
    <w:rsid w:val="00030A77"/>
    <w:rsid w:val="0004475D"/>
    <w:rsid w:val="0005691A"/>
    <w:rsid w:val="00093877"/>
    <w:rsid w:val="0009593B"/>
    <w:rsid w:val="000A29F1"/>
    <w:rsid w:val="000C04C2"/>
    <w:rsid w:val="000D666B"/>
    <w:rsid w:val="000E7E70"/>
    <w:rsid w:val="00114AF3"/>
    <w:rsid w:val="001458D6"/>
    <w:rsid w:val="00167CB8"/>
    <w:rsid w:val="00183B9B"/>
    <w:rsid w:val="001D3691"/>
    <w:rsid w:val="001E542A"/>
    <w:rsid w:val="001F0004"/>
    <w:rsid w:val="00207F7C"/>
    <w:rsid w:val="002264A2"/>
    <w:rsid w:val="002718D8"/>
    <w:rsid w:val="002A51B5"/>
    <w:rsid w:val="002B50A4"/>
    <w:rsid w:val="002B528E"/>
    <w:rsid w:val="002C33EA"/>
    <w:rsid w:val="002D3BD6"/>
    <w:rsid w:val="00312BC4"/>
    <w:rsid w:val="00333840"/>
    <w:rsid w:val="003360C5"/>
    <w:rsid w:val="00351C77"/>
    <w:rsid w:val="003606FE"/>
    <w:rsid w:val="0038428E"/>
    <w:rsid w:val="003B13DD"/>
    <w:rsid w:val="003B1667"/>
    <w:rsid w:val="003B5DCD"/>
    <w:rsid w:val="003E538D"/>
    <w:rsid w:val="003E7FCC"/>
    <w:rsid w:val="003F15C1"/>
    <w:rsid w:val="0040717A"/>
    <w:rsid w:val="00416FA3"/>
    <w:rsid w:val="00433C96"/>
    <w:rsid w:val="004454A2"/>
    <w:rsid w:val="00461EDA"/>
    <w:rsid w:val="00484F53"/>
    <w:rsid w:val="0048722E"/>
    <w:rsid w:val="0049118C"/>
    <w:rsid w:val="00495921"/>
    <w:rsid w:val="004F665E"/>
    <w:rsid w:val="00505F6A"/>
    <w:rsid w:val="0052295E"/>
    <w:rsid w:val="00527C6F"/>
    <w:rsid w:val="00532343"/>
    <w:rsid w:val="0053442F"/>
    <w:rsid w:val="00567F42"/>
    <w:rsid w:val="00576E5A"/>
    <w:rsid w:val="005A36A8"/>
    <w:rsid w:val="005A6F2C"/>
    <w:rsid w:val="005B7ACF"/>
    <w:rsid w:val="005C6AD3"/>
    <w:rsid w:val="005D4F69"/>
    <w:rsid w:val="00644713"/>
    <w:rsid w:val="006947D8"/>
    <w:rsid w:val="00695B5F"/>
    <w:rsid w:val="006A2C5F"/>
    <w:rsid w:val="006D0972"/>
    <w:rsid w:val="00743FEE"/>
    <w:rsid w:val="00753B7A"/>
    <w:rsid w:val="0075413F"/>
    <w:rsid w:val="00755C46"/>
    <w:rsid w:val="00756D03"/>
    <w:rsid w:val="00773A48"/>
    <w:rsid w:val="00786DDB"/>
    <w:rsid w:val="00791A0A"/>
    <w:rsid w:val="00793E34"/>
    <w:rsid w:val="007A6ED3"/>
    <w:rsid w:val="007E795D"/>
    <w:rsid w:val="00805EFE"/>
    <w:rsid w:val="0080691B"/>
    <w:rsid w:val="0080751E"/>
    <w:rsid w:val="00832982"/>
    <w:rsid w:val="00837809"/>
    <w:rsid w:val="0085321C"/>
    <w:rsid w:val="0085704F"/>
    <w:rsid w:val="00873877"/>
    <w:rsid w:val="00882F6F"/>
    <w:rsid w:val="008846E4"/>
    <w:rsid w:val="00885416"/>
    <w:rsid w:val="00886CFE"/>
    <w:rsid w:val="00893398"/>
    <w:rsid w:val="008A0C45"/>
    <w:rsid w:val="008B4E4E"/>
    <w:rsid w:val="008F18A5"/>
    <w:rsid w:val="008F5E5A"/>
    <w:rsid w:val="009026F7"/>
    <w:rsid w:val="00902A6A"/>
    <w:rsid w:val="009303C2"/>
    <w:rsid w:val="00965ACE"/>
    <w:rsid w:val="00971956"/>
    <w:rsid w:val="00973429"/>
    <w:rsid w:val="00974F3B"/>
    <w:rsid w:val="009A0F90"/>
    <w:rsid w:val="009A74ED"/>
    <w:rsid w:val="00A01E91"/>
    <w:rsid w:val="00A04C4A"/>
    <w:rsid w:val="00A06A73"/>
    <w:rsid w:val="00A27BC1"/>
    <w:rsid w:val="00A311A6"/>
    <w:rsid w:val="00A42CA7"/>
    <w:rsid w:val="00A5721B"/>
    <w:rsid w:val="00A62F33"/>
    <w:rsid w:val="00A82C20"/>
    <w:rsid w:val="00AA0983"/>
    <w:rsid w:val="00AA27DE"/>
    <w:rsid w:val="00AA4DC8"/>
    <w:rsid w:val="00AC6406"/>
    <w:rsid w:val="00AD61C9"/>
    <w:rsid w:val="00AF208F"/>
    <w:rsid w:val="00B16631"/>
    <w:rsid w:val="00B20C99"/>
    <w:rsid w:val="00B2422E"/>
    <w:rsid w:val="00BA1390"/>
    <w:rsid w:val="00BA2228"/>
    <w:rsid w:val="00BC2176"/>
    <w:rsid w:val="00BD23C0"/>
    <w:rsid w:val="00BF4607"/>
    <w:rsid w:val="00C06C82"/>
    <w:rsid w:val="00C16E51"/>
    <w:rsid w:val="00C23E11"/>
    <w:rsid w:val="00C3450D"/>
    <w:rsid w:val="00C73A88"/>
    <w:rsid w:val="00CA2B66"/>
    <w:rsid w:val="00CB0A4A"/>
    <w:rsid w:val="00CC3BC5"/>
    <w:rsid w:val="00CC4090"/>
    <w:rsid w:val="00CE78D7"/>
    <w:rsid w:val="00D1045C"/>
    <w:rsid w:val="00D43351"/>
    <w:rsid w:val="00D56E1E"/>
    <w:rsid w:val="00D64D9C"/>
    <w:rsid w:val="00D71EF5"/>
    <w:rsid w:val="00D74E32"/>
    <w:rsid w:val="00D83194"/>
    <w:rsid w:val="00D83B80"/>
    <w:rsid w:val="00D95082"/>
    <w:rsid w:val="00DA2D28"/>
    <w:rsid w:val="00DA69BE"/>
    <w:rsid w:val="00DA70E8"/>
    <w:rsid w:val="00DB051A"/>
    <w:rsid w:val="00DB1F15"/>
    <w:rsid w:val="00DE0851"/>
    <w:rsid w:val="00DE14CA"/>
    <w:rsid w:val="00E434F4"/>
    <w:rsid w:val="00E6284A"/>
    <w:rsid w:val="00E8119A"/>
    <w:rsid w:val="00E841A9"/>
    <w:rsid w:val="00E920A2"/>
    <w:rsid w:val="00E95E5D"/>
    <w:rsid w:val="00EE7A23"/>
    <w:rsid w:val="00EF151E"/>
    <w:rsid w:val="00F028F5"/>
    <w:rsid w:val="00F41242"/>
    <w:rsid w:val="00F462DC"/>
    <w:rsid w:val="00F52133"/>
    <w:rsid w:val="00F539E4"/>
    <w:rsid w:val="00F61EA0"/>
    <w:rsid w:val="00F835C1"/>
    <w:rsid w:val="00F837BE"/>
    <w:rsid w:val="00F9091F"/>
    <w:rsid w:val="00FF05CD"/>
    <w:rsid w:val="00FF1190"/>
    <w:rsid w:val="00FF3916"/>
    <w:rsid w:val="00FF6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7DE70"/>
  <w15:chartTrackingRefBased/>
  <w15:docId w15:val="{0E9C4B5D-7ECC-43BE-81D3-CF433F58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03"/>
    <w:pPr>
      <w:spacing w:after="0"/>
      <w:jc w:val="both"/>
    </w:pPr>
    <w:rPr>
      <w:rFonts w:ascii="Tw Cen MT" w:hAnsi="Tw Cen MT"/>
      <w:sz w:val="24"/>
    </w:rPr>
  </w:style>
  <w:style w:type="paragraph" w:styleId="Titre1">
    <w:name w:val="heading 1"/>
    <w:basedOn w:val="Normal"/>
    <w:next w:val="Normal"/>
    <w:link w:val="Titre1Car"/>
    <w:uiPriority w:val="2"/>
    <w:qFormat/>
    <w:rsid w:val="0080751E"/>
    <w:pPr>
      <w:keepNext/>
      <w:keepLines/>
      <w:numPr>
        <w:numId w:val="8"/>
      </w:numPr>
      <w:spacing w:before="240"/>
      <w:ind w:left="714" w:hanging="357"/>
      <w:outlineLvl w:val="0"/>
    </w:pPr>
    <w:rPr>
      <w:rFonts w:eastAsiaTheme="majorEastAsia" w:cstheme="majorBidi"/>
      <w:b/>
      <w:color w:val="634D4D"/>
      <w:sz w:val="32"/>
      <w:szCs w:val="32"/>
    </w:rPr>
  </w:style>
  <w:style w:type="paragraph" w:styleId="Titre2">
    <w:name w:val="heading 2"/>
    <w:basedOn w:val="Normal"/>
    <w:next w:val="Normal"/>
    <w:link w:val="Titre2Car"/>
    <w:uiPriority w:val="2"/>
    <w:unhideWhenUsed/>
    <w:qFormat/>
    <w:rsid w:val="00E920A2"/>
    <w:pPr>
      <w:keepNext/>
      <w:keepLines/>
      <w:numPr>
        <w:numId w:val="9"/>
      </w:numPr>
      <w:spacing w:before="40"/>
      <w:outlineLvl w:val="1"/>
    </w:pPr>
    <w:rPr>
      <w:rFonts w:asciiTheme="majorHAnsi" w:eastAsiaTheme="majorEastAsia" w:hAnsiTheme="majorHAnsi" w:cstheme="majorBidi"/>
      <w:b/>
      <w:color w:val="634D4D"/>
      <w:sz w:val="26"/>
      <w:szCs w:val="26"/>
    </w:rPr>
  </w:style>
  <w:style w:type="paragraph" w:styleId="Titre3">
    <w:name w:val="heading 3"/>
    <w:basedOn w:val="Normal"/>
    <w:next w:val="Normal"/>
    <w:link w:val="Titre3Car"/>
    <w:uiPriority w:val="2"/>
    <w:unhideWhenUsed/>
    <w:qFormat/>
    <w:rsid w:val="00E8119A"/>
    <w:pPr>
      <w:keepNext/>
      <w:keepLines/>
      <w:numPr>
        <w:numId w:val="10"/>
      </w:numPr>
      <w:spacing w:before="40"/>
      <w:ind w:left="1068"/>
      <w:outlineLvl w:val="2"/>
    </w:pPr>
    <w:rPr>
      <w:rFonts w:eastAsiaTheme="majorEastAsia" w:cstheme="majorBidi"/>
      <w:color w:val="CCA876"/>
      <w:szCs w:val="24"/>
    </w:rPr>
  </w:style>
  <w:style w:type="paragraph" w:styleId="Titre4">
    <w:name w:val="heading 4"/>
    <w:basedOn w:val="Normal"/>
    <w:next w:val="Normal"/>
    <w:link w:val="Titre4Car"/>
    <w:uiPriority w:val="2"/>
    <w:unhideWhenUsed/>
    <w:qFormat/>
    <w:rsid w:val="00832982"/>
    <w:pPr>
      <w:keepNext/>
      <w:keepLines/>
      <w:numPr>
        <w:numId w:val="13"/>
      </w:numPr>
      <w:spacing w:before="40"/>
      <w:outlineLvl w:val="3"/>
    </w:pPr>
    <w:rPr>
      <w:rFonts w:eastAsiaTheme="majorEastAsia" w:cstheme="majorBidi"/>
      <w:iCs/>
      <w:color w:val="CCA876"/>
    </w:rPr>
  </w:style>
  <w:style w:type="paragraph" w:styleId="Titre5">
    <w:name w:val="heading 5"/>
    <w:basedOn w:val="Normal"/>
    <w:next w:val="Normal"/>
    <w:link w:val="Titre5Car"/>
    <w:uiPriority w:val="2"/>
    <w:unhideWhenUsed/>
    <w:qFormat/>
    <w:rsid w:val="00DA2D28"/>
    <w:pPr>
      <w:keepNext/>
      <w:keepLines/>
      <w:spacing w:before="40"/>
      <w:outlineLvl w:val="4"/>
    </w:pPr>
    <w:rPr>
      <w:rFonts w:eastAsiaTheme="majorEastAsia" w:cstheme="majorBidi"/>
      <w:color w:val="CCA876"/>
    </w:rPr>
  </w:style>
  <w:style w:type="paragraph" w:styleId="Titre6">
    <w:name w:val="heading 6"/>
    <w:basedOn w:val="Normal"/>
    <w:next w:val="Normal"/>
    <w:link w:val="Titre6Car"/>
    <w:uiPriority w:val="2"/>
    <w:unhideWhenUsed/>
    <w:qFormat/>
    <w:rsid w:val="00DA2D28"/>
    <w:pPr>
      <w:keepNext/>
      <w:keepLines/>
      <w:spacing w:before="40"/>
      <w:outlineLvl w:val="5"/>
    </w:pPr>
    <w:rPr>
      <w:rFonts w:eastAsiaTheme="majorEastAsia" w:cstheme="majorBidi"/>
      <w:color w:val="CCA8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rsid w:val="00F539E4"/>
    <w:rPr>
      <w:b/>
      <w:bCs/>
    </w:rPr>
  </w:style>
  <w:style w:type="paragraph" w:styleId="NormalWeb">
    <w:name w:val="Normal (Web)"/>
    <w:basedOn w:val="Normal"/>
    <w:uiPriority w:val="99"/>
    <w:semiHidden/>
    <w:unhideWhenUsed/>
    <w:rsid w:val="00F539E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F539E4"/>
    <w:rPr>
      <w:color w:val="0000FF"/>
      <w:u w:val="single"/>
    </w:rPr>
  </w:style>
  <w:style w:type="character" w:styleId="Accentuation">
    <w:name w:val="Emphasis"/>
    <w:basedOn w:val="Policepardfaut"/>
    <w:uiPriority w:val="20"/>
    <w:rsid w:val="00F539E4"/>
    <w:rPr>
      <w:i/>
      <w:iCs/>
    </w:rPr>
  </w:style>
  <w:style w:type="table" w:styleId="TableauListe7Couleur">
    <w:name w:val="List Table 7 Colorful"/>
    <w:basedOn w:val="TableauNormal"/>
    <w:uiPriority w:val="52"/>
    <w:rsid w:val="00F539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2-Accentuation2">
    <w:name w:val="Grid Table 2 Accent 2"/>
    <w:basedOn w:val="TableauNormal"/>
    <w:uiPriority w:val="47"/>
    <w:rsid w:val="00F539E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
    <w:name w:val="Grid Table 2"/>
    <w:basedOn w:val="TableauNormal"/>
    <w:uiPriority w:val="47"/>
    <w:rsid w:val="00F539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3">
    <w:name w:val="Grid Table 2 Accent 3"/>
    <w:basedOn w:val="TableauNormal"/>
    <w:uiPriority w:val="47"/>
    <w:rsid w:val="00F539E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tte">
    <w:name w:val="header"/>
    <w:basedOn w:val="Normal"/>
    <w:link w:val="En-tteCar"/>
    <w:uiPriority w:val="99"/>
    <w:unhideWhenUsed/>
    <w:rsid w:val="00DA69BE"/>
    <w:pPr>
      <w:tabs>
        <w:tab w:val="center" w:pos="4536"/>
        <w:tab w:val="right" w:pos="9072"/>
      </w:tabs>
      <w:spacing w:line="240" w:lineRule="auto"/>
    </w:pPr>
  </w:style>
  <w:style w:type="character" w:customStyle="1" w:styleId="En-tteCar">
    <w:name w:val="En-tête Car"/>
    <w:basedOn w:val="Policepardfaut"/>
    <w:link w:val="En-tte"/>
    <w:uiPriority w:val="99"/>
    <w:rsid w:val="00DA69BE"/>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character" w:customStyle="1" w:styleId="PieddepageCar">
    <w:name w:val="Pied de page Car"/>
    <w:basedOn w:val="Policepardfaut"/>
    <w:link w:val="Pieddepage"/>
    <w:uiPriority w:val="99"/>
    <w:rsid w:val="00DA69BE"/>
  </w:style>
  <w:style w:type="paragraph" w:styleId="Titre">
    <w:name w:val="Title"/>
    <w:basedOn w:val="Normal"/>
    <w:next w:val="Normal"/>
    <w:link w:val="TitreCar"/>
    <w:uiPriority w:val="2"/>
    <w:qFormat/>
    <w:rsid w:val="00DA69BE"/>
    <w:pPr>
      <w:spacing w:line="240" w:lineRule="auto"/>
      <w:contextualSpacing/>
    </w:pPr>
    <w:rPr>
      <w:rFonts w:eastAsiaTheme="majorEastAsia" w:cstheme="majorBidi"/>
      <w:b/>
      <w:color w:val="92754C"/>
      <w:spacing w:val="-10"/>
      <w:kern w:val="28"/>
      <w:sz w:val="56"/>
      <w:szCs w:val="56"/>
    </w:rPr>
  </w:style>
  <w:style w:type="character" w:customStyle="1" w:styleId="TitreCar">
    <w:name w:val="Titre Car"/>
    <w:basedOn w:val="Policepardfaut"/>
    <w:link w:val="Titre"/>
    <w:uiPriority w:val="2"/>
    <w:rsid w:val="0080751E"/>
    <w:rPr>
      <w:rFonts w:ascii="Tw Cen MT" w:eastAsiaTheme="majorEastAsia" w:hAnsi="Tw Cen MT" w:cstheme="majorBidi"/>
      <w:b/>
      <w:color w:val="92754C"/>
      <w:spacing w:val="-10"/>
      <w:kern w:val="28"/>
      <w:sz w:val="56"/>
      <w:szCs w:val="56"/>
    </w:rPr>
  </w:style>
  <w:style w:type="character" w:customStyle="1" w:styleId="Titre1Car">
    <w:name w:val="Titre 1 Car"/>
    <w:basedOn w:val="Policepardfaut"/>
    <w:link w:val="Titre1"/>
    <w:uiPriority w:val="2"/>
    <w:rsid w:val="0080751E"/>
    <w:rPr>
      <w:rFonts w:ascii="Tw Cen MT" w:eastAsiaTheme="majorEastAsia" w:hAnsi="Tw Cen MT" w:cstheme="majorBidi"/>
      <w:b/>
      <w:color w:val="634D4D"/>
      <w:sz w:val="32"/>
      <w:szCs w:val="32"/>
    </w:rPr>
  </w:style>
  <w:style w:type="character" w:customStyle="1" w:styleId="Titre2Car">
    <w:name w:val="Titre 2 Car"/>
    <w:basedOn w:val="Policepardfaut"/>
    <w:link w:val="Titre2"/>
    <w:uiPriority w:val="2"/>
    <w:rsid w:val="0080751E"/>
    <w:rPr>
      <w:rFonts w:asciiTheme="majorHAnsi" w:eastAsiaTheme="majorEastAsia" w:hAnsiTheme="majorHAnsi" w:cstheme="majorBidi"/>
      <w:b/>
      <w:color w:val="634D4D"/>
      <w:sz w:val="26"/>
      <w:szCs w:val="26"/>
    </w:rPr>
  </w:style>
  <w:style w:type="character" w:customStyle="1" w:styleId="Titre3Car">
    <w:name w:val="Titre 3 Car"/>
    <w:basedOn w:val="Policepardfaut"/>
    <w:link w:val="Titre3"/>
    <w:uiPriority w:val="2"/>
    <w:rsid w:val="0080751E"/>
    <w:rPr>
      <w:rFonts w:ascii="Tw Cen MT" w:eastAsiaTheme="majorEastAsia" w:hAnsi="Tw Cen MT" w:cstheme="majorBidi"/>
      <w:color w:val="CCA876"/>
      <w:sz w:val="24"/>
      <w:szCs w:val="24"/>
    </w:rPr>
  </w:style>
  <w:style w:type="character" w:customStyle="1" w:styleId="Titre4Car">
    <w:name w:val="Titre 4 Car"/>
    <w:basedOn w:val="Policepardfaut"/>
    <w:link w:val="Titre4"/>
    <w:uiPriority w:val="2"/>
    <w:rsid w:val="0080751E"/>
    <w:rPr>
      <w:rFonts w:ascii="Tw Cen MT" w:eastAsiaTheme="majorEastAsia" w:hAnsi="Tw Cen MT" w:cstheme="majorBidi"/>
      <w:iCs/>
      <w:color w:val="CCA876"/>
      <w:sz w:val="24"/>
    </w:rPr>
  </w:style>
  <w:style w:type="character" w:customStyle="1" w:styleId="Titre5Car">
    <w:name w:val="Titre 5 Car"/>
    <w:basedOn w:val="Policepardfaut"/>
    <w:link w:val="Titre5"/>
    <w:uiPriority w:val="2"/>
    <w:rsid w:val="0080751E"/>
    <w:rPr>
      <w:rFonts w:ascii="Tw Cen MT" w:eastAsiaTheme="majorEastAsia" w:hAnsi="Tw Cen MT" w:cstheme="majorBidi"/>
      <w:color w:val="CCA876"/>
      <w:sz w:val="24"/>
    </w:rPr>
  </w:style>
  <w:style w:type="paragraph" w:styleId="Paragraphedeliste">
    <w:name w:val="List Paragraph"/>
    <w:basedOn w:val="Normal"/>
    <w:uiPriority w:val="34"/>
    <w:qFormat/>
    <w:rsid w:val="000C04C2"/>
    <w:pPr>
      <w:ind w:left="720"/>
      <w:contextualSpacing/>
    </w:pPr>
  </w:style>
  <w:style w:type="character" w:customStyle="1" w:styleId="Titre6Car">
    <w:name w:val="Titre 6 Car"/>
    <w:basedOn w:val="Policepardfaut"/>
    <w:link w:val="Titre6"/>
    <w:uiPriority w:val="2"/>
    <w:rsid w:val="0080751E"/>
    <w:rPr>
      <w:rFonts w:ascii="Tw Cen MT" w:eastAsiaTheme="majorEastAsia" w:hAnsi="Tw Cen MT" w:cstheme="majorBidi"/>
      <w:color w:val="CCA876"/>
      <w:sz w:val="24"/>
    </w:rPr>
  </w:style>
  <w:style w:type="character" w:styleId="Rfrencelgre">
    <w:name w:val="Subtle Reference"/>
    <w:basedOn w:val="Policepardfaut"/>
    <w:uiPriority w:val="31"/>
    <w:rsid w:val="00AC6406"/>
    <w:rPr>
      <w:smallCaps/>
      <w:color w:val="5A5A5A" w:themeColor="text1" w:themeTint="A5"/>
    </w:rPr>
  </w:style>
  <w:style w:type="character" w:styleId="Accentuationintense">
    <w:name w:val="Intense Emphasis"/>
    <w:basedOn w:val="Policepardfaut"/>
    <w:uiPriority w:val="21"/>
    <w:rsid w:val="00AC6406"/>
    <w:rPr>
      <w:i/>
      <w:iCs/>
      <w:color w:val="4472C4" w:themeColor="accent1"/>
    </w:rPr>
  </w:style>
  <w:style w:type="paragraph" w:styleId="Sous-titre">
    <w:name w:val="Subtitle"/>
    <w:basedOn w:val="Normal"/>
    <w:next w:val="Normal"/>
    <w:link w:val="Sous-titreCar"/>
    <w:uiPriority w:val="11"/>
    <w:qFormat/>
    <w:rsid w:val="00AC6406"/>
    <w:pPr>
      <w:numPr>
        <w:ilvl w:val="1"/>
      </w:numPr>
      <w:spacing w:after="160"/>
    </w:pPr>
    <w:rPr>
      <w:rFonts w:eastAsiaTheme="minorEastAsia"/>
      <w:color w:val="5A5A5A" w:themeColor="text1" w:themeTint="A5"/>
      <w:spacing w:val="15"/>
      <w:sz w:val="22"/>
    </w:rPr>
  </w:style>
  <w:style w:type="character" w:customStyle="1" w:styleId="Sous-titreCar">
    <w:name w:val="Sous-titre Car"/>
    <w:basedOn w:val="Policepardfaut"/>
    <w:link w:val="Sous-titre"/>
    <w:uiPriority w:val="11"/>
    <w:rsid w:val="00AC6406"/>
    <w:rPr>
      <w:rFonts w:ascii="Tw Cen MT" w:eastAsiaTheme="minorEastAsia" w:hAnsi="Tw Cen MT"/>
      <w:color w:val="5A5A5A" w:themeColor="text1" w:themeTint="A5"/>
      <w:spacing w:val="15"/>
    </w:rPr>
  </w:style>
  <w:style w:type="character" w:styleId="Numrodepage">
    <w:name w:val="page number"/>
    <w:uiPriority w:val="11"/>
    <w:rsid w:val="00114AF3"/>
    <w:rPr>
      <w:rFonts w:cs="Times New Roman"/>
    </w:rPr>
  </w:style>
  <w:style w:type="character" w:styleId="Mentionnonrsolue">
    <w:name w:val="Unresolved Mention"/>
    <w:basedOn w:val="Policepardfaut"/>
    <w:uiPriority w:val="99"/>
    <w:semiHidden/>
    <w:unhideWhenUsed/>
    <w:rsid w:val="00114AF3"/>
    <w:rPr>
      <w:color w:val="605E5C"/>
      <w:shd w:val="clear" w:color="auto" w:fill="E1DFDD"/>
    </w:rPr>
  </w:style>
  <w:style w:type="paragraph" w:customStyle="1" w:styleId="Titrenonnumrot">
    <w:name w:val="Titre non numéroté"/>
    <w:basedOn w:val="Titre1"/>
    <w:qFormat/>
    <w:rsid w:val="00E920A2"/>
    <w:pPr>
      <w:numPr>
        <w:numId w:val="0"/>
      </w:numPr>
    </w:pPr>
    <w:rPr>
      <w:color w:val="B03434"/>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D83194"/>
    <w:rPr>
      <w:color w:val="70AD47" w:themeColor="accent6"/>
    </w:rPr>
  </w:style>
  <w:style w:type="paragraph" w:customStyle="1" w:styleId="Sous-titrenonnumrot">
    <w:name w:val="Sous-titre non numéroté"/>
    <w:basedOn w:val="Titrenonnumrot"/>
    <w:qFormat/>
    <w:rsid w:val="0080751E"/>
    <w:pPr>
      <w:spacing w:before="120"/>
    </w:pPr>
    <w:rPr>
      <w:b w:val="0"/>
    </w:rPr>
  </w:style>
  <w:style w:type="table" w:styleId="Grilledutableau">
    <w:name w:val="Table Grid"/>
    <w:basedOn w:val="TableauNormal"/>
    <w:uiPriority w:val="3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42CA7"/>
    <w:pPr>
      <w:spacing w:line="240" w:lineRule="auto"/>
    </w:pPr>
    <w:rPr>
      <w:rFonts w:ascii="Calibri" w:eastAsia="Times New Roman" w:hAnsi="Calibri" w:cs="Times New Roman"/>
      <w:sz w:val="20"/>
      <w:szCs w:val="20"/>
      <w:lang w:eastAsia="fr-FR"/>
    </w:rPr>
  </w:style>
  <w:style w:type="character" w:customStyle="1" w:styleId="NotedebasdepageCar">
    <w:name w:val="Note de bas de page Car"/>
    <w:basedOn w:val="Policepardfaut"/>
    <w:link w:val="Notedebasdepage"/>
    <w:uiPriority w:val="99"/>
    <w:semiHidden/>
    <w:rsid w:val="00A42CA7"/>
    <w:rPr>
      <w:rFonts w:ascii="Calibri" w:eastAsia="Times New Roman" w:hAnsi="Calibri" w:cs="Times New Roman"/>
      <w:sz w:val="20"/>
      <w:szCs w:val="20"/>
      <w:lang w:eastAsia="fr-FR"/>
    </w:rPr>
  </w:style>
  <w:style w:type="character" w:styleId="Appelnotedebasdep">
    <w:name w:val="footnote reference"/>
    <w:basedOn w:val="Policepardfaut"/>
    <w:uiPriority w:val="99"/>
    <w:semiHidden/>
    <w:unhideWhenUsed/>
    <w:rsid w:val="00A42CA7"/>
    <w:rPr>
      <w:vertAlign w:val="superscript"/>
    </w:rPr>
  </w:style>
  <w:style w:type="character" w:styleId="Lienhypertextesuivivisit">
    <w:name w:val="FollowedHyperlink"/>
    <w:basedOn w:val="Policepardfaut"/>
    <w:uiPriority w:val="99"/>
    <w:semiHidden/>
    <w:unhideWhenUsed/>
    <w:rsid w:val="0009593B"/>
    <w:rPr>
      <w:color w:val="954F72" w:themeColor="followedHyperlink"/>
      <w:u w:val="single"/>
    </w:rPr>
  </w:style>
  <w:style w:type="character" w:styleId="Marquedecommentaire">
    <w:name w:val="annotation reference"/>
    <w:basedOn w:val="Policepardfaut"/>
    <w:uiPriority w:val="99"/>
    <w:semiHidden/>
    <w:unhideWhenUsed/>
    <w:rsid w:val="00D43351"/>
    <w:rPr>
      <w:sz w:val="16"/>
      <w:szCs w:val="16"/>
    </w:rPr>
  </w:style>
  <w:style w:type="paragraph" w:styleId="Commentaire">
    <w:name w:val="annotation text"/>
    <w:basedOn w:val="Normal"/>
    <w:link w:val="CommentaireCar"/>
    <w:uiPriority w:val="99"/>
    <w:unhideWhenUsed/>
    <w:rsid w:val="00D43351"/>
    <w:pPr>
      <w:spacing w:line="240" w:lineRule="auto"/>
    </w:pPr>
    <w:rPr>
      <w:sz w:val="20"/>
      <w:szCs w:val="20"/>
    </w:rPr>
  </w:style>
  <w:style w:type="character" w:customStyle="1" w:styleId="CommentaireCar">
    <w:name w:val="Commentaire Car"/>
    <w:basedOn w:val="Policepardfaut"/>
    <w:link w:val="Commentaire"/>
    <w:uiPriority w:val="99"/>
    <w:rsid w:val="00D43351"/>
    <w:rPr>
      <w:rFonts w:ascii="Tw Cen MT" w:hAnsi="Tw Cen MT"/>
      <w:sz w:val="20"/>
      <w:szCs w:val="20"/>
    </w:rPr>
  </w:style>
  <w:style w:type="paragraph" w:styleId="Objetducommentaire">
    <w:name w:val="annotation subject"/>
    <w:basedOn w:val="Commentaire"/>
    <w:next w:val="Commentaire"/>
    <w:link w:val="ObjetducommentaireCar"/>
    <w:uiPriority w:val="99"/>
    <w:semiHidden/>
    <w:unhideWhenUsed/>
    <w:rsid w:val="00D43351"/>
    <w:rPr>
      <w:b/>
      <w:bCs/>
    </w:rPr>
  </w:style>
  <w:style w:type="character" w:customStyle="1" w:styleId="ObjetducommentaireCar">
    <w:name w:val="Objet du commentaire Car"/>
    <w:basedOn w:val="CommentaireCar"/>
    <w:link w:val="Objetducommentaire"/>
    <w:uiPriority w:val="99"/>
    <w:semiHidden/>
    <w:rsid w:val="00D43351"/>
    <w:rPr>
      <w:rFonts w:ascii="Tw Cen MT" w:hAnsi="Tw Cen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78273">
      <w:bodyDiv w:val="1"/>
      <w:marLeft w:val="0"/>
      <w:marRight w:val="0"/>
      <w:marTop w:val="0"/>
      <w:marBottom w:val="0"/>
      <w:divBdr>
        <w:top w:val="none" w:sz="0" w:space="0" w:color="auto"/>
        <w:left w:val="none" w:sz="0" w:space="0" w:color="auto"/>
        <w:bottom w:val="none" w:sz="0" w:space="0" w:color="auto"/>
        <w:right w:val="none" w:sz="0" w:space="0" w:color="auto"/>
      </w:divBdr>
    </w:div>
    <w:div w:id="922497115">
      <w:bodyDiv w:val="1"/>
      <w:marLeft w:val="0"/>
      <w:marRight w:val="0"/>
      <w:marTop w:val="0"/>
      <w:marBottom w:val="0"/>
      <w:divBdr>
        <w:top w:val="none" w:sz="0" w:space="0" w:color="auto"/>
        <w:left w:val="none" w:sz="0" w:space="0" w:color="auto"/>
        <w:bottom w:val="none" w:sz="0" w:space="0" w:color="auto"/>
        <w:right w:val="none" w:sz="0" w:space="0" w:color="auto"/>
      </w:divBdr>
    </w:div>
    <w:div w:id="1244874081">
      <w:bodyDiv w:val="1"/>
      <w:marLeft w:val="0"/>
      <w:marRight w:val="0"/>
      <w:marTop w:val="0"/>
      <w:marBottom w:val="0"/>
      <w:divBdr>
        <w:top w:val="none" w:sz="0" w:space="0" w:color="auto"/>
        <w:left w:val="none" w:sz="0" w:space="0" w:color="auto"/>
        <w:bottom w:val="none" w:sz="0" w:space="0" w:color="auto"/>
        <w:right w:val="none" w:sz="0" w:space="0" w:color="auto"/>
      </w:divBdr>
    </w:div>
    <w:div w:id="14998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3508155" TargetMode="External"/><Relationship Id="rId13" Type="http://schemas.openxmlformats.org/officeDocument/2006/relationships/hyperlink" Target="#DEBUT"/><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art\T&#233;l&#233;chargements\Mod&#232;le%20document%20vier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6833-B5B2-46FB-B8F1-4EF3B0BB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document vierge</Template>
  <TotalTime>42</TotalTime>
  <Pages>9</Pages>
  <Words>3312</Words>
  <Characters>18219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fmarty</dc:creator>
  <cp:keywords/>
  <dc:description/>
  <cp:lastModifiedBy>françois MARTY</cp:lastModifiedBy>
  <cp:revision>4</cp:revision>
  <cp:lastPrinted>2026-04-07T09:15:00Z</cp:lastPrinted>
  <dcterms:created xsi:type="dcterms:W3CDTF">2026-04-07T09:12:00Z</dcterms:created>
  <dcterms:modified xsi:type="dcterms:W3CDTF">2026-04-08T02:36:00Z</dcterms:modified>
</cp:coreProperties>
</file>