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A8479" w14:textId="77777777" w:rsidR="00A42CA7" w:rsidRPr="00A42CA7" w:rsidRDefault="00A42CA7" w:rsidP="00A42CA7">
      <w:pPr>
        <w:spacing w:line="240" w:lineRule="auto"/>
        <w:jc w:val="left"/>
      </w:pPr>
    </w:p>
    <w:p w14:paraId="2B8400DF" w14:textId="77777777" w:rsidR="00A42CA7" w:rsidRPr="00A42CA7" w:rsidRDefault="00A42CA7" w:rsidP="00A42CA7">
      <w:pPr>
        <w:pStyle w:val="Titre"/>
        <w:jc w:val="center"/>
      </w:pPr>
      <w:r w:rsidRPr="00A42CA7">
        <w:t>Loi de finances pour 2025</w:t>
      </w:r>
    </w:p>
    <w:p w14:paraId="02222C94" w14:textId="77777777" w:rsidR="00A42CA7" w:rsidRPr="00A42CA7" w:rsidRDefault="00A42CA7" w:rsidP="00A42CA7">
      <w:pPr>
        <w:spacing w:line="240" w:lineRule="auto"/>
        <w:jc w:val="center"/>
        <w:rPr>
          <w:b/>
        </w:rPr>
      </w:pPr>
    </w:p>
    <w:p w14:paraId="733D9D59" w14:textId="77777777" w:rsidR="00CC4090" w:rsidRDefault="00CC4090" w:rsidP="00CC4090">
      <w:pPr>
        <w:spacing w:line="240" w:lineRule="auto"/>
        <w:jc w:val="center"/>
      </w:pPr>
    </w:p>
    <w:p w14:paraId="498B92B4" w14:textId="77777777" w:rsidR="00CC4090" w:rsidRDefault="00CC4090" w:rsidP="00CC4090">
      <w:pPr>
        <w:pBdr>
          <w:top w:val="single" w:sz="4" w:space="1" w:color="auto"/>
          <w:left w:val="single" w:sz="4" w:space="4" w:color="auto"/>
          <w:bottom w:val="single" w:sz="4" w:space="1" w:color="auto"/>
          <w:right w:val="single" w:sz="4" w:space="4" w:color="auto"/>
        </w:pBdr>
        <w:spacing w:line="240" w:lineRule="auto"/>
        <w:jc w:val="center"/>
      </w:pPr>
    </w:p>
    <w:p w14:paraId="7414DAC4" w14:textId="710AE1F6" w:rsidR="00A42CA7" w:rsidRDefault="00A42CA7" w:rsidP="00CC4090">
      <w:pPr>
        <w:pBdr>
          <w:top w:val="single" w:sz="4" w:space="1" w:color="auto"/>
          <w:left w:val="single" w:sz="4" w:space="4" w:color="auto"/>
          <w:bottom w:val="single" w:sz="4" w:space="1" w:color="auto"/>
          <w:right w:val="single" w:sz="4" w:space="4" w:color="auto"/>
        </w:pBdr>
        <w:spacing w:line="240" w:lineRule="auto"/>
        <w:jc w:val="center"/>
        <w:rPr>
          <w:b/>
          <w:bCs/>
        </w:rPr>
      </w:pPr>
      <w:hyperlink r:id="rId7" w:history="1">
        <w:r w:rsidRPr="00A42CA7">
          <w:rPr>
            <w:rStyle w:val="Lienhypertexte"/>
            <w:b/>
            <w:bCs/>
          </w:rPr>
          <w:t>LOI n° 2025-127</w:t>
        </w:r>
      </w:hyperlink>
      <w:r w:rsidRPr="00A42CA7">
        <w:rPr>
          <w:b/>
          <w:bCs/>
        </w:rPr>
        <w:t xml:space="preserve"> du 14 février 2025 de finances pour 2025</w:t>
      </w:r>
    </w:p>
    <w:p w14:paraId="17A104BB" w14:textId="77777777" w:rsidR="00CC4090" w:rsidRDefault="00CC4090" w:rsidP="00CC4090">
      <w:pPr>
        <w:pBdr>
          <w:top w:val="single" w:sz="4" w:space="1" w:color="auto"/>
          <w:left w:val="single" w:sz="4" w:space="4" w:color="auto"/>
          <w:bottom w:val="single" w:sz="4" w:space="1" w:color="auto"/>
          <w:right w:val="single" w:sz="4" w:space="4" w:color="auto"/>
        </w:pBdr>
        <w:spacing w:line="240" w:lineRule="auto"/>
        <w:jc w:val="center"/>
        <w:rPr>
          <w:b/>
          <w:bCs/>
        </w:rPr>
      </w:pPr>
    </w:p>
    <w:p w14:paraId="75C03389" w14:textId="77777777" w:rsidR="00CC4090" w:rsidRPr="00A42CA7" w:rsidRDefault="00CC4090" w:rsidP="00CC4090">
      <w:pPr>
        <w:spacing w:line="240" w:lineRule="auto"/>
        <w:jc w:val="center"/>
        <w:rPr>
          <w:b/>
          <w:bCs/>
        </w:rPr>
      </w:pPr>
    </w:p>
    <w:p w14:paraId="5F198977" w14:textId="77777777" w:rsidR="00A42CA7" w:rsidRPr="00A42CA7" w:rsidRDefault="00A42CA7" w:rsidP="00A42CA7">
      <w:pPr>
        <w:spacing w:line="240" w:lineRule="auto"/>
        <w:jc w:val="left"/>
        <w:rPr>
          <w:bCs/>
        </w:rPr>
      </w:pPr>
    </w:p>
    <w:p w14:paraId="71BB7929" w14:textId="77777777" w:rsidR="00A42CA7" w:rsidRPr="00A42CA7" w:rsidRDefault="00A42CA7" w:rsidP="00A42CA7">
      <w:pPr>
        <w:spacing w:line="240" w:lineRule="auto"/>
        <w:jc w:val="left"/>
      </w:pPr>
    </w:p>
    <w:p w14:paraId="40241F6B" w14:textId="77777777" w:rsidR="00A42CA7" w:rsidRPr="00A42CA7" w:rsidRDefault="00A42CA7" w:rsidP="00A42CA7">
      <w:pPr>
        <w:spacing w:line="240" w:lineRule="auto"/>
        <w:jc w:val="left"/>
        <w:rPr>
          <w:b/>
          <w:u w:val="single"/>
        </w:rPr>
      </w:pPr>
      <w:r w:rsidRPr="00A42CA7">
        <w:rPr>
          <w:b/>
          <w:u w:val="single"/>
        </w:rPr>
        <w:t>Sommaire</w:t>
      </w:r>
    </w:p>
    <w:p w14:paraId="44D619B9" w14:textId="77777777" w:rsidR="00A42CA7" w:rsidRPr="00A42CA7" w:rsidRDefault="00A42CA7" w:rsidP="00A42CA7">
      <w:pPr>
        <w:spacing w:line="240" w:lineRule="auto"/>
        <w:jc w:val="left"/>
      </w:pPr>
    </w:p>
    <w:p w14:paraId="64A59D7B" w14:textId="77777777" w:rsidR="00A42CA7" w:rsidRPr="00A42CA7" w:rsidRDefault="00A42CA7" w:rsidP="00A42CA7">
      <w:pPr>
        <w:numPr>
          <w:ilvl w:val="0"/>
          <w:numId w:val="18"/>
        </w:numPr>
        <w:spacing w:line="240" w:lineRule="auto"/>
        <w:jc w:val="left"/>
        <w:rPr>
          <w:b/>
          <w:bCs/>
          <w:u w:val="single"/>
        </w:rPr>
      </w:pPr>
      <w:hyperlink r:id="rId8" w:anchor="particuliers" w:history="1">
        <w:r w:rsidRPr="00A42CA7">
          <w:rPr>
            <w:rStyle w:val="Lienhypertexte"/>
            <w:b/>
            <w:bCs/>
          </w:rPr>
          <w:t>Fiscalité des particuliers</w:t>
        </w:r>
      </w:hyperlink>
    </w:p>
    <w:p w14:paraId="40975844" w14:textId="77777777" w:rsidR="00A42CA7" w:rsidRPr="00A42CA7" w:rsidRDefault="00A42CA7" w:rsidP="00A42CA7">
      <w:pPr>
        <w:spacing w:line="240" w:lineRule="auto"/>
        <w:jc w:val="left"/>
      </w:pPr>
    </w:p>
    <w:p w14:paraId="092207B7" w14:textId="77777777" w:rsidR="00A42CA7" w:rsidRPr="00A42CA7" w:rsidRDefault="00A42CA7" w:rsidP="00A42CA7">
      <w:pPr>
        <w:numPr>
          <w:ilvl w:val="0"/>
          <w:numId w:val="19"/>
        </w:numPr>
        <w:spacing w:line="240" w:lineRule="auto"/>
        <w:jc w:val="left"/>
      </w:pPr>
      <w:r w:rsidRPr="00A42CA7">
        <w:t>Barème de l’IR sur les revenus 2024</w:t>
      </w:r>
    </w:p>
    <w:p w14:paraId="798EB73E" w14:textId="77777777" w:rsidR="00A42CA7" w:rsidRPr="00A42CA7" w:rsidRDefault="00A42CA7" w:rsidP="00A42CA7">
      <w:pPr>
        <w:numPr>
          <w:ilvl w:val="0"/>
          <w:numId w:val="19"/>
        </w:numPr>
        <w:spacing w:line="240" w:lineRule="auto"/>
        <w:jc w:val="left"/>
      </w:pPr>
      <w:r w:rsidRPr="00A42CA7">
        <w:t>Seuils et limites d’imposition pour les revenus 2024</w:t>
      </w:r>
    </w:p>
    <w:p w14:paraId="7318B577" w14:textId="77777777" w:rsidR="00A42CA7" w:rsidRPr="00A42CA7" w:rsidRDefault="00A42CA7" w:rsidP="00A42CA7">
      <w:pPr>
        <w:numPr>
          <w:ilvl w:val="0"/>
          <w:numId w:val="19"/>
        </w:numPr>
        <w:spacing w:line="240" w:lineRule="auto"/>
        <w:jc w:val="left"/>
      </w:pPr>
      <w:r w:rsidRPr="00A42CA7">
        <w:t>Contribution différentielle sur les hauts revenus</w:t>
      </w:r>
    </w:p>
    <w:p w14:paraId="15F67E75" w14:textId="77777777" w:rsidR="00A42CA7" w:rsidRPr="00A42CA7" w:rsidRDefault="00A42CA7" w:rsidP="00A42CA7">
      <w:pPr>
        <w:numPr>
          <w:ilvl w:val="0"/>
          <w:numId w:val="19"/>
        </w:numPr>
        <w:spacing w:line="240" w:lineRule="auto"/>
        <w:jc w:val="left"/>
      </w:pPr>
      <w:r w:rsidRPr="00A42CA7">
        <w:t>Mesures divers d’IR (LMNP, PV mobilières, dons RI/CI)</w:t>
      </w:r>
    </w:p>
    <w:p w14:paraId="2C5E1B75" w14:textId="77777777" w:rsidR="00A42CA7" w:rsidRPr="00A42CA7" w:rsidRDefault="00A42CA7" w:rsidP="00A42CA7">
      <w:pPr>
        <w:spacing w:line="240" w:lineRule="auto"/>
        <w:jc w:val="left"/>
      </w:pPr>
    </w:p>
    <w:p w14:paraId="31501FE3" w14:textId="77777777" w:rsidR="00A42CA7" w:rsidRPr="00A42CA7" w:rsidRDefault="00A42CA7" w:rsidP="00A42CA7">
      <w:pPr>
        <w:numPr>
          <w:ilvl w:val="0"/>
          <w:numId w:val="18"/>
        </w:numPr>
        <w:spacing w:line="240" w:lineRule="auto"/>
        <w:jc w:val="left"/>
        <w:rPr>
          <w:b/>
          <w:bCs/>
          <w:u w:val="single"/>
        </w:rPr>
      </w:pPr>
      <w:hyperlink r:id="rId9" w:anchor="Entreprises" w:history="1">
        <w:r w:rsidRPr="00A42CA7">
          <w:rPr>
            <w:rStyle w:val="Lienhypertexte"/>
            <w:b/>
            <w:bCs/>
          </w:rPr>
          <w:t>Fiscalité des entreprises</w:t>
        </w:r>
      </w:hyperlink>
    </w:p>
    <w:p w14:paraId="69E40CC5" w14:textId="77777777" w:rsidR="00A42CA7" w:rsidRPr="00A42CA7" w:rsidRDefault="00A42CA7" w:rsidP="00A42CA7">
      <w:pPr>
        <w:spacing w:line="240" w:lineRule="auto"/>
        <w:jc w:val="left"/>
        <w:rPr>
          <w:b/>
        </w:rPr>
      </w:pPr>
    </w:p>
    <w:p w14:paraId="6CCAE271" w14:textId="77777777" w:rsidR="00A42CA7" w:rsidRPr="00A42CA7" w:rsidRDefault="00A42CA7" w:rsidP="00A42CA7">
      <w:pPr>
        <w:numPr>
          <w:ilvl w:val="0"/>
          <w:numId w:val="19"/>
        </w:numPr>
        <w:spacing w:line="240" w:lineRule="auto"/>
        <w:jc w:val="left"/>
      </w:pPr>
      <w:r w:rsidRPr="00A42CA7">
        <w:t>Seuils et limites 2023-2025</w:t>
      </w:r>
    </w:p>
    <w:p w14:paraId="3E5DF313" w14:textId="77777777" w:rsidR="00A42CA7" w:rsidRPr="00A42CA7" w:rsidRDefault="00A42CA7" w:rsidP="00A42CA7">
      <w:pPr>
        <w:numPr>
          <w:ilvl w:val="0"/>
          <w:numId w:val="19"/>
        </w:numPr>
        <w:spacing w:line="240" w:lineRule="auto"/>
        <w:jc w:val="left"/>
      </w:pPr>
      <w:r w:rsidRPr="00A42CA7">
        <w:t>TVA : régime de la franchise en base</w:t>
      </w:r>
    </w:p>
    <w:p w14:paraId="3542FAA4" w14:textId="77777777" w:rsidR="00A42CA7" w:rsidRPr="00A42CA7" w:rsidRDefault="00A42CA7" w:rsidP="00A42CA7">
      <w:pPr>
        <w:numPr>
          <w:ilvl w:val="0"/>
          <w:numId w:val="19"/>
        </w:numPr>
        <w:spacing w:line="240" w:lineRule="auto"/>
        <w:jc w:val="left"/>
      </w:pPr>
      <w:r w:rsidRPr="00A42CA7">
        <w:t>TVA : régime simplifié de déclaration</w:t>
      </w:r>
    </w:p>
    <w:p w14:paraId="65963E24" w14:textId="77777777" w:rsidR="00A42CA7" w:rsidRPr="00A42CA7" w:rsidRDefault="00A42CA7" w:rsidP="00A42CA7">
      <w:pPr>
        <w:numPr>
          <w:ilvl w:val="0"/>
          <w:numId w:val="19"/>
        </w:numPr>
        <w:spacing w:line="240" w:lineRule="auto"/>
        <w:jc w:val="left"/>
      </w:pPr>
      <w:r w:rsidRPr="00A42CA7">
        <w:t>TVA : mesures diverses (modifications de taux)</w:t>
      </w:r>
    </w:p>
    <w:p w14:paraId="4FDADFBE" w14:textId="77777777" w:rsidR="00A42CA7" w:rsidRPr="00A42CA7" w:rsidRDefault="00A42CA7" w:rsidP="00A42CA7">
      <w:pPr>
        <w:numPr>
          <w:ilvl w:val="0"/>
          <w:numId w:val="19"/>
        </w:numPr>
        <w:spacing w:line="240" w:lineRule="auto"/>
        <w:jc w:val="left"/>
      </w:pPr>
      <w:r w:rsidRPr="00A42CA7">
        <w:t>IS : contribution exceptionnelle temporaire</w:t>
      </w:r>
    </w:p>
    <w:p w14:paraId="1AC64EBF" w14:textId="77777777" w:rsidR="00A42CA7" w:rsidRPr="00A42CA7" w:rsidRDefault="00A42CA7" w:rsidP="00A42CA7">
      <w:pPr>
        <w:numPr>
          <w:ilvl w:val="0"/>
          <w:numId w:val="19"/>
        </w:numPr>
        <w:spacing w:line="240" w:lineRule="auto"/>
        <w:jc w:val="left"/>
      </w:pPr>
      <w:r w:rsidRPr="00A42CA7">
        <w:t>IS : report de déficit</w:t>
      </w:r>
    </w:p>
    <w:p w14:paraId="44C7BD3E" w14:textId="77777777" w:rsidR="00A42CA7" w:rsidRPr="00A42CA7" w:rsidRDefault="00A42CA7" w:rsidP="00A42CA7">
      <w:pPr>
        <w:numPr>
          <w:ilvl w:val="0"/>
          <w:numId w:val="19"/>
        </w:numPr>
        <w:spacing w:line="240" w:lineRule="auto"/>
        <w:jc w:val="left"/>
      </w:pPr>
      <w:r w:rsidRPr="00A42CA7">
        <w:t>BA : quelques mesures concernant les bénéfices agricoles</w:t>
      </w:r>
    </w:p>
    <w:p w14:paraId="3DB3D4C8" w14:textId="77777777" w:rsidR="00A42CA7" w:rsidRPr="00A42CA7" w:rsidRDefault="00A42CA7" w:rsidP="00A42CA7">
      <w:pPr>
        <w:numPr>
          <w:ilvl w:val="0"/>
          <w:numId w:val="19"/>
        </w:numPr>
        <w:spacing w:line="240" w:lineRule="auto"/>
        <w:jc w:val="left"/>
      </w:pPr>
      <w:r w:rsidRPr="00A42CA7">
        <w:t>Mesures diverses (RI/CI, impôts locaux)</w:t>
      </w:r>
    </w:p>
    <w:p w14:paraId="36F6CDA8" w14:textId="77777777" w:rsidR="00A42CA7" w:rsidRDefault="00A42CA7" w:rsidP="00A42CA7">
      <w:pPr>
        <w:spacing w:line="240" w:lineRule="auto"/>
        <w:jc w:val="left"/>
      </w:pPr>
    </w:p>
    <w:p w14:paraId="6203543E" w14:textId="77777777" w:rsidR="00030A77" w:rsidRDefault="00030A77" w:rsidP="00A42CA7">
      <w:pPr>
        <w:spacing w:line="240" w:lineRule="auto"/>
        <w:jc w:val="left"/>
      </w:pPr>
    </w:p>
    <w:p w14:paraId="537D4E2B" w14:textId="77777777" w:rsidR="00030A77" w:rsidRDefault="00030A77" w:rsidP="00A42CA7">
      <w:pPr>
        <w:spacing w:line="240" w:lineRule="auto"/>
        <w:jc w:val="left"/>
      </w:pPr>
    </w:p>
    <w:p w14:paraId="12154834" w14:textId="77777777" w:rsidR="00030A77" w:rsidRDefault="00030A77" w:rsidP="00A42CA7">
      <w:pPr>
        <w:spacing w:line="240" w:lineRule="auto"/>
        <w:jc w:val="left"/>
      </w:pPr>
    </w:p>
    <w:p w14:paraId="1EA2445D" w14:textId="77777777" w:rsidR="00030A77" w:rsidRDefault="00030A77" w:rsidP="00A42CA7">
      <w:pPr>
        <w:spacing w:line="240" w:lineRule="auto"/>
        <w:jc w:val="left"/>
      </w:pPr>
    </w:p>
    <w:p w14:paraId="005D36D0" w14:textId="77777777" w:rsidR="00030A77" w:rsidRDefault="00030A77" w:rsidP="00A42CA7">
      <w:pPr>
        <w:spacing w:line="240" w:lineRule="auto"/>
        <w:jc w:val="left"/>
      </w:pPr>
    </w:p>
    <w:p w14:paraId="62874A66" w14:textId="77777777" w:rsidR="00030A77" w:rsidRPr="00A42CA7" w:rsidRDefault="00030A77" w:rsidP="00A42CA7">
      <w:pPr>
        <w:spacing w:line="240" w:lineRule="auto"/>
        <w:jc w:val="left"/>
      </w:pPr>
    </w:p>
    <w:p w14:paraId="353C6712" w14:textId="77777777" w:rsidR="00A42CA7" w:rsidRPr="00A42CA7" w:rsidRDefault="00A42CA7" w:rsidP="00A42CA7">
      <w:pPr>
        <w:spacing w:line="240" w:lineRule="auto"/>
        <w:jc w:val="left"/>
        <w:rPr>
          <w:b/>
          <w:bCs/>
          <w:i/>
          <w:u w:val="single"/>
        </w:rPr>
      </w:pPr>
      <w:r w:rsidRPr="00A42CA7">
        <w:rPr>
          <w:b/>
          <w:bCs/>
          <w:i/>
          <w:u w:val="single"/>
        </w:rPr>
        <w:t>Abréviations utilisées :</w:t>
      </w:r>
    </w:p>
    <w:p w14:paraId="694AEA7D" w14:textId="77777777" w:rsidR="00A42CA7" w:rsidRPr="00A42CA7" w:rsidRDefault="00A42CA7" w:rsidP="00A42CA7">
      <w:pPr>
        <w:spacing w:line="240" w:lineRule="auto"/>
        <w:jc w:val="left"/>
        <w:rPr>
          <w:bCs/>
          <w:i/>
        </w:rPr>
      </w:pPr>
      <w:r w:rsidRPr="00A42CA7">
        <w:rPr>
          <w:bCs/>
          <w:i/>
        </w:rPr>
        <w:t>CVD : Célibataire, Veuf, Divorcé</w:t>
      </w:r>
    </w:p>
    <w:p w14:paraId="7A12AC27" w14:textId="77777777" w:rsidR="00A42CA7" w:rsidRPr="00A42CA7" w:rsidRDefault="00A42CA7" w:rsidP="00A42CA7">
      <w:pPr>
        <w:spacing w:line="240" w:lineRule="auto"/>
        <w:jc w:val="left"/>
        <w:rPr>
          <w:bCs/>
          <w:i/>
        </w:rPr>
      </w:pPr>
      <w:r w:rsidRPr="00A42CA7">
        <w:rPr>
          <w:bCs/>
          <w:i/>
        </w:rPr>
        <w:t>MP : Marié, Pacsé</w:t>
      </w:r>
    </w:p>
    <w:p w14:paraId="39633FD7" w14:textId="77777777" w:rsidR="00A42CA7" w:rsidRPr="00A42CA7" w:rsidRDefault="00A42CA7" w:rsidP="00A42CA7">
      <w:pPr>
        <w:spacing w:line="240" w:lineRule="auto"/>
        <w:jc w:val="left"/>
        <w:rPr>
          <w:bCs/>
          <w:i/>
        </w:rPr>
      </w:pPr>
      <w:r w:rsidRPr="00A42CA7">
        <w:rPr>
          <w:bCs/>
          <w:i/>
        </w:rPr>
        <w:t>RFR : Revenu Fiscal de Référence</w:t>
      </w:r>
    </w:p>
    <w:p w14:paraId="2F94F5B2" w14:textId="77777777" w:rsidR="00A42CA7" w:rsidRPr="00A42CA7" w:rsidRDefault="00A42CA7" w:rsidP="00A42CA7">
      <w:pPr>
        <w:spacing w:line="240" w:lineRule="auto"/>
        <w:jc w:val="left"/>
        <w:rPr>
          <w:bCs/>
          <w:i/>
        </w:rPr>
      </w:pPr>
      <w:r w:rsidRPr="00A42CA7">
        <w:rPr>
          <w:bCs/>
          <w:i/>
        </w:rPr>
        <w:t>PV : Plus-value</w:t>
      </w:r>
    </w:p>
    <w:p w14:paraId="00A2784C" w14:textId="77777777" w:rsidR="00A42CA7" w:rsidRPr="00A42CA7" w:rsidRDefault="00A42CA7" w:rsidP="00A42CA7">
      <w:pPr>
        <w:spacing w:line="240" w:lineRule="auto"/>
        <w:jc w:val="left"/>
        <w:rPr>
          <w:bCs/>
          <w:i/>
        </w:rPr>
      </w:pPr>
      <w:r w:rsidRPr="00A42CA7">
        <w:rPr>
          <w:bCs/>
          <w:i/>
        </w:rPr>
        <w:t>PAS : Prélèvements à la source</w:t>
      </w:r>
    </w:p>
    <w:p w14:paraId="73EDABC9" w14:textId="77777777" w:rsidR="00A42CA7" w:rsidRPr="00A42CA7" w:rsidRDefault="00A42CA7" w:rsidP="00A42CA7">
      <w:pPr>
        <w:spacing w:line="240" w:lineRule="auto"/>
        <w:jc w:val="left"/>
        <w:rPr>
          <w:bCs/>
          <w:i/>
        </w:rPr>
      </w:pPr>
      <w:r w:rsidRPr="00A42CA7">
        <w:rPr>
          <w:bCs/>
          <w:i/>
        </w:rPr>
        <w:t>OSBL : Organisme Sans But Lucratif</w:t>
      </w:r>
    </w:p>
    <w:p w14:paraId="7FE4365A" w14:textId="77777777" w:rsidR="00A42CA7" w:rsidRPr="00A42CA7" w:rsidRDefault="00A42CA7" w:rsidP="00A42CA7">
      <w:pPr>
        <w:spacing w:line="240" w:lineRule="auto"/>
        <w:jc w:val="left"/>
        <w:rPr>
          <w:bCs/>
          <w:i/>
        </w:rPr>
      </w:pPr>
      <w:r w:rsidRPr="00A42CA7">
        <w:rPr>
          <w:bCs/>
          <w:i/>
        </w:rPr>
        <w:t>LB : Livraisons de Biens</w:t>
      </w:r>
    </w:p>
    <w:p w14:paraId="1B7A732A" w14:textId="77777777" w:rsidR="00433C96" w:rsidRDefault="00A42CA7" w:rsidP="00A42CA7">
      <w:pPr>
        <w:spacing w:line="240" w:lineRule="auto"/>
        <w:jc w:val="left"/>
        <w:rPr>
          <w:bCs/>
          <w:i/>
        </w:rPr>
      </w:pPr>
      <w:r w:rsidRPr="00A42CA7">
        <w:rPr>
          <w:bCs/>
          <w:i/>
        </w:rPr>
        <w:t>PS : Prestations de Services</w:t>
      </w:r>
    </w:p>
    <w:p w14:paraId="0D46C703" w14:textId="77777777" w:rsidR="00433C96" w:rsidRDefault="00433C96" w:rsidP="00A42CA7">
      <w:pPr>
        <w:spacing w:line="240" w:lineRule="auto"/>
        <w:jc w:val="left"/>
        <w:rPr>
          <w:bCs/>
          <w:i/>
        </w:rPr>
      </w:pPr>
    </w:p>
    <w:p w14:paraId="76E70090" w14:textId="77777777" w:rsidR="00433C96" w:rsidRDefault="00433C96" w:rsidP="00A42CA7">
      <w:pPr>
        <w:spacing w:line="240" w:lineRule="auto"/>
        <w:jc w:val="left"/>
      </w:pPr>
    </w:p>
    <w:p w14:paraId="006BCDAB" w14:textId="77777777" w:rsidR="00CC4090" w:rsidRPr="00CC4090" w:rsidRDefault="00CC4090" w:rsidP="00CC4090"/>
    <w:p w14:paraId="05818538" w14:textId="77777777" w:rsidR="00CC4090" w:rsidRPr="00CC4090" w:rsidRDefault="00CC4090" w:rsidP="00CC4090"/>
    <w:p w14:paraId="3D986F30" w14:textId="77777777" w:rsidR="00CC4090" w:rsidRPr="00CC4090" w:rsidRDefault="00CC4090" w:rsidP="00CC4090"/>
    <w:p w14:paraId="242A89E1" w14:textId="77777777" w:rsidR="00CC4090" w:rsidRPr="00CC4090" w:rsidRDefault="00CC4090" w:rsidP="00CC4090"/>
    <w:p w14:paraId="648C2690" w14:textId="77777777" w:rsidR="00CC4090" w:rsidRDefault="00CC4090" w:rsidP="00CC4090"/>
    <w:p w14:paraId="57DAEC03" w14:textId="166F6F84" w:rsidR="00CC4090" w:rsidRDefault="00CC4090" w:rsidP="00CC4090">
      <w:pPr>
        <w:tabs>
          <w:tab w:val="left" w:pos="8220"/>
        </w:tabs>
      </w:pPr>
      <w:r>
        <w:tab/>
      </w:r>
    </w:p>
    <w:p w14:paraId="6F4D69B2" w14:textId="049D0257" w:rsidR="00CC4090" w:rsidRPr="00CC4090" w:rsidRDefault="00CC4090" w:rsidP="00CC4090">
      <w:pPr>
        <w:tabs>
          <w:tab w:val="left" w:pos="8220"/>
        </w:tabs>
        <w:sectPr w:rsidR="00CC4090" w:rsidRPr="00CC4090" w:rsidSect="00CC4090">
          <w:headerReference w:type="default" r:id="rId10"/>
          <w:footerReference w:type="default" r:id="rId11"/>
          <w:headerReference w:type="first" r:id="rId12"/>
          <w:footerReference w:type="first" r:id="rId13"/>
          <w:pgSz w:w="11906" w:h="16838"/>
          <w:pgMar w:top="851" w:right="709" w:bottom="709" w:left="1134" w:header="709" w:footer="419" w:gutter="0"/>
          <w:cols w:space="708"/>
          <w:titlePg/>
          <w:docGrid w:linePitch="360"/>
        </w:sectPr>
      </w:pPr>
      <w:r>
        <w:tab/>
      </w:r>
    </w:p>
    <w:p w14:paraId="1259BA45" w14:textId="77777777" w:rsidR="00A42CA7" w:rsidRPr="00A42CA7" w:rsidRDefault="00A42CA7" w:rsidP="003E538D">
      <w:pPr>
        <w:pStyle w:val="Titre"/>
        <w:jc w:val="center"/>
      </w:pPr>
      <w:bookmarkStart w:id="0" w:name="particuliers"/>
      <w:bookmarkEnd w:id="0"/>
      <w:r w:rsidRPr="00A42CA7">
        <w:lastRenderedPageBreak/>
        <w:t>Fiscalité des particuliers</w:t>
      </w:r>
    </w:p>
    <w:p w14:paraId="174BA889" w14:textId="77777777" w:rsidR="00A42CA7" w:rsidRPr="00A42CA7" w:rsidRDefault="00A42CA7" w:rsidP="00A42CA7">
      <w:pPr>
        <w:spacing w:line="240" w:lineRule="auto"/>
        <w:jc w:val="left"/>
        <w:rPr>
          <w:sz w:val="10"/>
          <w:szCs w:val="10"/>
        </w:rPr>
      </w:pPr>
    </w:p>
    <w:tbl>
      <w:tblPr>
        <w:tblW w:w="1108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0"/>
        <w:gridCol w:w="9866"/>
      </w:tblGrid>
      <w:tr w:rsidR="00A42CA7" w:rsidRPr="00A42CA7" w14:paraId="2FD9D7E3" w14:textId="77777777" w:rsidTr="00433C96">
        <w:trPr>
          <w:trHeight w:val="3389"/>
        </w:trPr>
        <w:tc>
          <w:tcPr>
            <w:tcW w:w="12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8D3D7A" w14:textId="77777777" w:rsidR="00A42CA7" w:rsidRPr="00A42CA7" w:rsidRDefault="00A42CA7" w:rsidP="00A42CA7">
            <w:pPr>
              <w:spacing w:line="240" w:lineRule="auto"/>
              <w:jc w:val="center"/>
              <w:rPr>
                <w:b/>
                <w:i/>
              </w:rPr>
            </w:pPr>
            <w:r w:rsidRPr="00A42CA7">
              <w:rPr>
                <w:b/>
                <w:i/>
              </w:rPr>
              <w:t>Barème de l’impôt sur le revenu 2024</w:t>
            </w:r>
          </w:p>
        </w:tc>
        <w:tc>
          <w:tcPr>
            <w:tcW w:w="9866" w:type="dxa"/>
            <w:tcBorders>
              <w:top w:val="single" w:sz="4" w:space="0" w:color="auto"/>
              <w:left w:val="single" w:sz="4" w:space="0" w:color="auto"/>
              <w:bottom w:val="single" w:sz="4" w:space="0" w:color="auto"/>
              <w:right w:val="single" w:sz="4" w:space="0" w:color="auto"/>
            </w:tcBorders>
            <w:vAlign w:val="center"/>
          </w:tcPr>
          <w:p w14:paraId="3A47E8CC" w14:textId="77777777" w:rsidR="00433C96" w:rsidRPr="00433C96" w:rsidRDefault="00433C96" w:rsidP="00A42CA7">
            <w:pPr>
              <w:spacing w:line="240" w:lineRule="auto"/>
              <w:jc w:val="left"/>
              <w:rPr>
                <w:sz w:val="10"/>
                <w:szCs w:val="10"/>
              </w:rPr>
            </w:pPr>
          </w:p>
          <w:p w14:paraId="617C4384" w14:textId="4DFB3C5F" w:rsidR="00A42CA7" w:rsidRPr="00A42CA7" w:rsidRDefault="00A42CA7" w:rsidP="00A42CA7">
            <w:pPr>
              <w:spacing w:line="240" w:lineRule="auto"/>
              <w:jc w:val="left"/>
            </w:pPr>
            <w:r w:rsidRPr="00A42CA7">
              <w:t>Les tranches du barème de l’impôt sur le revenu 2024 sont revalorisées de 1,80 %.</w:t>
            </w:r>
          </w:p>
          <w:p w14:paraId="773702C1" w14:textId="77777777" w:rsidR="00A42CA7" w:rsidRPr="00A42CA7" w:rsidRDefault="00A42CA7" w:rsidP="00A42CA7">
            <w:pPr>
              <w:spacing w:line="240" w:lineRule="auto"/>
              <w:jc w:val="left"/>
              <w:rPr>
                <w:sz w:val="10"/>
                <w:szCs w:val="10"/>
              </w:rPr>
            </w:pPr>
          </w:p>
          <w:p w14:paraId="06C6E75C" w14:textId="77777777" w:rsidR="00030A77" w:rsidRDefault="00A42CA7" w:rsidP="00A42CA7">
            <w:pPr>
              <w:spacing w:line="240" w:lineRule="auto"/>
              <w:jc w:val="left"/>
              <w:rPr>
                <w:i/>
              </w:rPr>
            </w:pPr>
            <w:r w:rsidRPr="00A42CA7">
              <w:rPr>
                <w:i/>
              </w:rPr>
              <w:t xml:space="preserve">       Barème de l’IR pour une part</w:t>
            </w:r>
          </w:p>
          <w:tbl>
            <w:tblPr>
              <w:tblpPr w:leftFromText="141" w:rightFromText="141" w:bottomFromText="200" w:vertAnchor="text" w:horzAnchor="margin" w:tblpXSpec="right" w:tblpY="36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2835"/>
            </w:tblGrid>
            <w:tr w:rsidR="00433C96" w:rsidRPr="00A42CA7" w14:paraId="50096CEA" w14:textId="77777777" w:rsidTr="00433C96">
              <w:tc>
                <w:tcPr>
                  <w:tcW w:w="2689" w:type="dxa"/>
                  <w:tcBorders>
                    <w:top w:val="single" w:sz="4" w:space="0" w:color="auto"/>
                    <w:left w:val="single" w:sz="4" w:space="0" w:color="auto"/>
                    <w:bottom w:val="single" w:sz="4" w:space="0" w:color="auto"/>
                    <w:right w:val="single" w:sz="4" w:space="0" w:color="auto"/>
                  </w:tcBorders>
                  <w:shd w:val="clear" w:color="auto" w:fill="BFBFBF"/>
                  <w:hideMark/>
                </w:tcPr>
                <w:p w14:paraId="1850E17D" w14:textId="77777777" w:rsidR="00433C96" w:rsidRPr="00A42CA7" w:rsidRDefault="00433C96" w:rsidP="00433C96">
                  <w:pPr>
                    <w:spacing w:line="240" w:lineRule="auto"/>
                    <w:jc w:val="center"/>
                    <w:rPr>
                      <w:b/>
                    </w:rPr>
                  </w:pPr>
                  <w:r w:rsidRPr="00A42CA7">
                    <w:rPr>
                      <w:b/>
                    </w:rPr>
                    <w:t>Quotient Familial</w:t>
                  </w:r>
                </w:p>
              </w:tc>
              <w:tc>
                <w:tcPr>
                  <w:tcW w:w="2835" w:type="dxa"/>
                  <w:tcBorders>
                    <w:top w:val="single" w:sz="4" w:space="0" w:color="auto"/>
                    <w:left w:val="single" w:sz="4" w:space="0" w:color="auto"/>
                    <w:bottom w:val="single" w:sz="4" w:space="0" w:color="auto"/>
                    <w:right w:val="single" w:sz="4" w:space="0" w:color="auto"/>
                  </w:tcBorders>
                  <w:shd w:val="clear" w:color="auto" w:fill="BFBFBF"/>
                  <w:hideMark/>
                </w:tcPr>
                <w:p w14:paraId="71E74330" w14:textId="77777777" w:rsidR="00433C96" w:rsidRPr="00A42CA7" w:rsidRDefault="00433C96" w:rsidP="00433C96">
                  <w:pPr>
                    <w:spacing w:line="240" w:lineRule="auto"/>
                    <w:jc w:val="center"/>
                    <w:rPr>
                      <w:b/>
                    </w:rPr>
                  </w:pPr>
                  <w:r w:rsidRPr="00A42CA7">
                    <w:rPr>
                      <w:b/>
                    </w:rPr>
                    <w:t>Impôt brut</w:t>
                  </w:r>
                </w:p>
              </w:tc>
            </w:tr>
            <w:tr w:rsidR="00433C96" w:rsidRPr="00A42CA7" w14:paraId="524385AB" w14:textId="77777777" w:rsidTr="00433C96">
              <w:tc>
                <w:tcPr>
                  <w:tcW w:w="2689" w:type="dxa"/>
                  <w:tcBorders>
                    <w:top w:val="single" w:sz="4" w:space="0" w:color="auto"/>
                    <w:left w:val="single" w:sz="4" w:space="0" w:color="auto"/>
                    <w:bottom w:val="single" w:sz="4" w:space="0" w:color="auto"/>
                    <w:right w:val="single" w:sz="4" w:space="0" w:color="auto"/>
                  </w:tcBorders>
                  <w:vAlign w:val="center"/>
                  <w:hideMark/>
                </w:tcPr>
                <w:p w14:paraId="14A43D2E" w14:textId="77777777" w:rsidR="00433C96" w:rsidRPr="00A42CA7" w:rsidRDefault="00433C96" w:rsidP="00433C96">
                  <w:pPr>
                    <w:spacing w:line="240" w:lineRule="auto"/>
                    <w:jc w:val="left"/>
                    <w:rPr>
                      <w:sz w:val="22"/>
                    </w:rPr>
                  </w:pPr>
                  <w:r w:rsidRPr="00A42CA7">
                    <w:rPr>
                      <w:sz w:val="22"/>
                    </w:rPr>
                    <w:t>Jusqu’à 11 497 €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BCBBDF6" w14:textId="77777777" w:rsidR="00433C96" w:rsidRPr="00A42CA7" w:rsidRDefault="00433C96" w:rsidP="00433C96">
                  <w:pPr>
                    <w:spacing w:line="240" w:lineRule="auto"/>
                    <w:jc w:val="left"/>
                    <w:rPr>
                      <w:sz w:val="22"/>
                    </w:rPr>
                  </w:pPr>
                  <w:r w:rsidRPr="00A42CA7">
                    <w:rPr>
                      <w:sz w:val="22"/>
                    </w:rPr>
                    <w:t>0</w:t>
                  </w:r>
                </w:p>
              </w:tc>
            </w:tr>
            <w:tr w:rsidR="00433C96" w:rsidRPr="00A42CA7" w14:paraId="3BA993E9" w14:textId="77777777" w:rsidTr="00433C96">
              <w:tc>
                <w:tcPr>
                  <w:tcW w:w="2689" w:type="dxa"/>
                  <w:tcBorders>
                    <w:top w:val="single" w:sz="4" w:space="0" w:color="auto"/>
                    <w:left w:val="single" w:sz="4" w:space="0" w:color="auto"/>
                    <w:bottom w:val="single" w:sz="4" w:space="0" w:color="auto"/>
                    <w:right w:val="single" w:sz="4" w:space="0" w:color="auto"/>
                  </w:tcBorders>
                  <w:vAlign w:val="center"/>
                  <w:hideMark/>
                </w:tcPr>
                <w:p w14:paraId="036BE257" w14:textId="77777777" w:rsidR="00433C96" w:rsidRPr="00A42CA7" w:rsidRDefault="00433C96" w:rsidP="00433C96">
                  <w:pPr>
                    <w:spacing w:line="240" w:lineRule="auto"/>
                    <w:jc w:val="left"/>
                    <w:rPr>
                      <w:sz w:val="22"/>
                    </w:rPr>
                  </w:pPr>
                  <w:r w:rsidRPr="00A42CA7">
                    <w:rPr>
                      <w:sz w:val="22"/>
                    </w:rPr>
                    <w:t>De 11 497 € à 29 315 €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CD6E8B0" w14:textId="77777777" w:rsidR="00433C96" w:rsidRPr="00A42CA7" w:rsidRDefault="00433C96" w:rsidP="00433C96">
                  <w:pPr>
                    <w:spacing w:line="240" w:lineRule="auto"/>
                    <w:jc w:val="left"/>
                    <w:rPr>
                      <w:sz w:val="22"/>
                    </w:rPr>
                  </w:pPr>
                  <w:r w:rsidRPr="00A42CA7">
                    <w:rPr>
                      <w:sz w:val="22"/>
                    </w:rPr>
                    <w:t>(R x 0,11) – (1 264,67 x N)</w:t>
                  </w:r>
                </w:p>
              </w:tc>
            </w:tr>
            <w:tr w:rsidR="00433C96" w:rsidRPr="00A42CA7" w14:paraId="57090DA1" w14:textId="77777777" w:rsidTr="00433C96">
              <w:tc>
                <w:tcPr>
                  <w:tcW w:w="2689" w:type="dxa"/>
                  <w:tcBorders>
                    <w:top w:val="single" w:sz="4" w:space="0" w:color="auto"/>
                    <w:left w:val="single" w:sz="4" w:space="0" w:color="auto"/>
                    <w:bottom w:val="single" w:sz="4" w:space="0" w:color="auto"/>
                    <w:right w:val="single" w:sz="4" w:space="0" w:color="auto"/>
                  </w:tcBorders>
                  <w:vAlign w:val="center"/>
                  <w:hideMark/>
                </w:tcPr>
                <w:p w14:paraId="739C21AA" w14:textId="77777777" w:rsidR="00433C96" w:rsidRPr="00A42CA7" w:rsidRDefault="00433C96" w:rsidP="00433C96">
                  <w:pPr>
                    <w:spacing w:line="240" w:lineRule="auto"/>
                    <w:jc w:val="left"/>
                    <w:rPr>
                      <w:sz w:val="22"/>
                    </w:rPr>
                  </w:pPr>
                  <w:r w:rsidRPr="00A42CA7">
                    <w:rPr>
                      <w:sz w:val="22"/>
                    </w:rPr>
                    <w:t>De 29 315 € à 83 823 €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7C476A9" w14:textId="77777777" w:rsidR="00433C96" w:rsidRPr="00A42CA7" w:rsidRDefault="00433C96" w:rsidP="00433C96">
                  <w:pPr>
                    <w:spacing w:line="240" w:lineRule="auto"/>
                    <w:jc w:val="left"/>
                    <w:rPr>
                      <w:sz w:val="22"/>
                    </w:rPr>
                  </w:pPr>
                  <w:r w:rsidRPr="00A42CA7">
                    <w:rPr>
                      <w:sz w:val="22"/>
                    </w:rPr>
                    <w:t>(R x 0,30) – (6 834,52 x N)</w:t>
                  </w:r>
                </w:p>
              </w:tc>
            </w:tr>
            <w:tr w:rsidR="00433C96" w:rsidRPr="00A42CA7" w14:paraId="161F5A43" w14:textId="77777777" w:rsidTr="00433C96">
              <w:tc>
                <w:tcPr>
                  <w:tcW w:w="2689" w:type="dxa"/>
                  <w:tcBorders>
                    <w:top w:val="single" w:sz="4" w:space="0" w:color="auto"/>
                    <w:left w:val="single" w:sz="4" w:space="0" w:color="auto"/>
                    <w:bottom w:val="single" w:sz="4" w:space="0" w:color="auto"/>
                    <w:right w:val="single" w:sz="4" w:space="0" w:color="auto"/>
                  </w:tcBorders>
                  <w:vAlign w:val="center"/>
                  <w:hideMark/>
                </w:tcPr>
                <w:p w14:paraId="115CCA55" w14:textId="77777777" w:rsidR="00433C96" w:rsidRPr="00A42CA7" w:rsidRDefault="00433C96" w:rsidP="00433C96">
                  <w:pPr>
                    <w:spacing w:line="240" w:lineRule="auto"/>
                    <w:jc w:val="left"/>
                    <w:rPr>
                      <w:sz w:val="22"/>
                    </w:rPr>
                  </w:pPr>
                  <w:r w:rsidRPr="00A42CA7">
                    <w:rPr>
                      <w:sz w:val="22"/>
                    </w:rPr>
                    <w:t>De 83 823 € à 180 294 €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FCAE77C" w14:textId="77777777" w:rsidR="00433C96" w:rsidRPr="00A42CA7" w:rsidRDefault="00433C96" w:rsidP="00433C96">
                  <w:pPr>
                    <w:spacing w:line="240" w:lineRule="auto"/>
                    <w:jc w:val="left"/>
                    <w:rPr>
                      <w:sz w:val="22"/>
                    </w:rPr>
                  </w:pPr>
                  <w:r w:rsidRPr="00A42CA7">
                    <w:rPr>
                      <w:sz w:val="22"/>
                    </w:rPr>
                    <w:t>(R x 0,41) – (16 055,05 x N)</w:t>
                  </w:r>
                </w:p>
              </w:tc>
            </w:tr>
            <w:tr w:rsidR="00433C96" w:rsidRPr="00A42CA7" w14:paraId="0D99E60D" w14:textId="77777777" w:rsidTr="00433C96">
              <w:tc>
                <w:tcPr>
                  <w:tcW w:w="2689" w:type="dxa"/>
                  <w:tcBorders>
                    <w:top w:val="single" w:sz="4" w:space="0" w:color="auto"/>
                    <w:left w:val="single" w:sz="4" w:space="0" w:color="auto"/>
                    <w:bottom w:val="single" w:sz="4" w:space="0" w:color="auto"/>
                    <w:right w:val="single" w:sz="4" w:space="0" w:color="auto"/>
                  </w:tcBorders>
                  <w:vAlign w:val="center"/>
                  <w:hideMark/>
                </w:tcPr>
                <w:p w14:paraId="4BD68A7D" w14:textId="77777777" w:rsidR="00433C96" w:rsidRPr="00A42CA7" w:rsidRDefault="00433C96" w:rsidP="00433C96">
                  <w:pPr>
                    <w:spacing w:line="240" w:lineRule="auto"/>
                    <w:jc w:val="left"/>
                    <w:rPr>
                      <w:sz w:val="22"/>
                    </w:rPr>
                  </w:pPr>
                  <w:r w:rsidRPr="00A42CA7">
                    <w:rPr>
                      <w:sz w:val="22"/>
                    </w:rPr>
                    <w:t>Supérieure à 180 294 €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08BC890" w14:textId="77777777" w:rsidR="00433C96" w:rsidRPr="00A42CA7" w:rsidRDefault="00433C96" w:rsidP="00433C96">
                  <w:pPr>
                    <w:spacing w:line="240" w:lineRule="auto"/>
                    <w:jc w:val="left"/>
                    <w:rPr>
                      <w:sz w:val="22"/>
                    </w:rPr>
                  </w:pPr>
                  <w:r w:rsidRPr="00A42CA7">
                    <w:rPr>
                      <w:sz w:val="22"/>
                    </w:rPr>
                    <w:t>(R x 0,45) – (23 266,81 x N)</w:t>
                  </w:r>
                </w:p>
              </w:tc>
            </w:tr>
          </w:tbl>
          <w:p w14:paraId="66B5C6CB" w14:textId="752321A6" w:rsidR="00A42CA7" w:rsidRDefault="00A42CA7" w:rsidP="00A42CA7">
            <w:pPr>
              <w:spacing w:line="240" w:lineRule="auto"/>
              <w:jc w:val="left"/>
              <w:rPr>
                <w:i/>
              </w:rPr>
            </w:pPr>
            <w:r w:rsidRPr="00A42CA7">
              <w:rPr>
                <w:i/>
              </w:rPr>
              <w:t xml:space="preserve">     </w:t>
            </w:r>
            <w:r w:rsidR="00030A77">
              <w:rPr>
                <w:i/>
              </w:rPr>
              <w:t xml:space="preserve">                                                   </w:t>
            </w:r>
            <w:r w:rsidRPr="00A42CA7">
              <w:rPr>
                <w:i/>
              </w:rPr>
              <w:t xml:space="preserve">               Calcul de l’impôt brut (formule « directe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2"/>
              <w:gridCol w:w="818"/>
            </w:tblGrid>
            <w:tr w:rsidR="00A42CA7" w:rsidRPr="00A42CA7" w14:paraId="5F5C6FB2" w14:textId="77777777" w:rsidTr="00030A77">
              <w:tc>
                <w:tcPr>
                  <w:tcW w:w="266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6983A67" w14:textId="77777777" w:rsidR="00A42CA7" w:rsidRPr="00A42CA7" w:rsidRDefault="00A42CA7" w:rsidP="00030A77">
                  <w:pPr>
                    <w:spacing w:line="240" w:lineRule="auto"/>
                    <w:jc w:val="center"/>
                    <w:rPr>
                      <w:b/>
                    </w:rPr>
                  </w:pPr>
                  <w:r w:rsidRPr="00A42CA7">
                    <w:rPr>
                      <w:b/>
                    </w:rPr>
                    <w:t>Fraction du revenu imposable en 2024</w:t>
                  </w:r>
                </w:p>
              </w:tc>
              <w:tc>
                <w:tcPr>
                  <w:tcW w:w="81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9056764" w14:textId="77777777" w:rsidR="00A42CA7" w:rsidRPr="00A42CA7" w:rsidRDefault="00A42CA7" w:rsidP="00030A77">
                  <w:pPr>
                    <w:spacing w:line="240" w:lineRule="auto"/>
                    <w:jc w:val="center"/>
                    <w:rPr>
                      <w:b/>
                    </w:rPr>
                  </w:pPr>
                  <w:r w:rsidRPr="00A42CA7">
                    <w:rPr>
                      <w:b/>
                    </w:rPr>
                    <w:t>Taux</w:t>
                  </w:r>
                </w:p>
              </w:tc>
            </w:tr>
            <w:tr w:rsidR="00A42CA7" w:rsidRPr="00A42CA7" w14:paraId="0073A783" w14:textId="77777777" w:rsidTr="00030A77">
              <w:tc>
                <w:tcPr>
                  <w:tcW w:w="2662" w:type="dxa"/>
                  <w:tcBorders>
                    <w:top w:val="single" w:sz="4" w:space="0" w:color="auto"/>
                    <w:left w:val="single" w:sz="4" w:space="0" w:color="auto"/>
                    <w:bottom w:val="single" w:sz="4" w:space="0" w:color="auto"/>
                    <w:right w:val="single" w:sz="4" w:space="0" w:color="auto"/>
                  </w:tcBorders>
                  <w:vAlign w:val="center"/>
                  <w:hideMark/>
                </w:tcPr>
                <w:p w14:paraId="7835EFFA" w14:textId="77777777" w:rsidR="00A42CA7" w:rsidRPr="00A42CA7" w:rsidRDefault="00A42CA7" w:rsidP="00A42CA7">
                  <w:pPr>
                    <w:spacing w:line="240" w:lineRule="auto"/>
                    <w:jc w:val="left"/>
                    <w:rPr>
                      <w:sz w:val="22"/>
                    </w:rPr>
                  </w:pPr>
                  <w:r w:rsidRPr="00A42CA7">
                    <w:rPr>
                      <w:sz w:val="22"/>
                    </w:rPr>
                    <w:t>Jusqu’à 11 497 €</w:t>
                  </w:r>
                </w:p>
              </w:tc>
              <w:tc>
                <w:tcPr>
                  <w:tcW w:w="818" w:type="dxa"/>
                  <w:tcBorders>
                    <w:top w:val="single" w:sz="4" w:space="0" w:color="auto"/>
                    <w:left w:val="single" w:sz="4" w:space="0" w:color="auto"/>
                    <w:bottom w:val="single" w:sz="4" w:space="0" w:color="auto"/>
                    <w:right w:val="single" w:sz="4" w:space="0" w:color="auto"/>
                  </w:tcBorders>
                  <w:vAlign w:val="center"/>
                  <w:hideMark/>
                </w:tcPr>
                <w:p w14:paraId="484454BD" w14:textId="77777777" w:rsidR="00A42CA7" w:rsidRPr="00A42CA7" w:rsidRDefault="00A42CA7" w:rsidP="00030A77">
                  <w:pPr>
                    <w:spacing w:line="240" w:lineRule="auto"/>
                    <w:jc w:val="center"/>
                    <w:rPr>
                      <w:sz w:val="22"/>
                    </w:rPr>
                  </w:pPr>
                  <w:r w:rsidRPr="00A42CA7">
                    <w:rPr>
                      <w:b/>
                      <w:sz w:val="22"/>
                    </w:rPr>
                    <w:t>0%</w:t>
                  </w:r>
                </w:p>
              </w:tc>
            </w:tr>
            <w:tr w:rsidR="00A42CA7" w:rsidRPr="00A42CA7" w14:paraId="280E2162" w14:textId="77777777" w:rsidTr="00030A77">
              <w:tc>
                <w:tcPr>
                  <w:tcW w:w="2662" w:type="dxa"/>
                  <w:tcBorders>
                    <w:top w:val="single" w:sz="4" w:space="0" w:color="auto"/>
                    <w:left w:val="single" w:sz="4" w:space="0" w:color="auto"/>
                    <w:bottom w:val="single" w:sz="4" w:space="0" w:color="auto"/>
                    <w:right w:val="single" w:sz="4" w:space="0" w:color="auto"/>
                  </w:tcBorders>
                  <w:vAlign w:val="center"/>
                  <w:hideMark/>
                </w:tcPr>
                <w:p w14:paraId="6FEDFFB0" w14:textId="77777777" w:rsidR="00A42CA7" w:rsidRPr="00A42CA7" w:rsidRDefault="00A42CA7" w:rsidP="00A42CA7">
                  <w:pPr>
                    <w:spacing w:line="240" w:lineRule="auto"/>
                    <w:jc w:val="left"/>
                    <w:rPr>
                      <w:sz w:val="22"/>
                    </w:rPr>
                  </w:pPr>
                  <w:r w:rsidRPr="00A42CA7">
                    <w:rPr>
                      <w:sz w:val="22"/>
                    </w:rPr>
                    <w:t>De 11 497 € à 29 315 €</w:t>
                  </w:r>
                </w:p>
              </w:tc>
              <w:tc>
                <w:tcPr>
                  <w:tcW w:w="818" w:type="dxa"/>
                  <w:tcBorders>
                    <w:top w:val="single" w:sz="4" w:space="0" w:color="auto"/>
                    <w:left w:val="single" w:sz="4" w:space="0" w:color="auto"/>
                    <w:bottom w:val="single" w:sz="4" w:space="0" w:color="auto"/>
                    <w:right w:val="single" w:sz="4" w:space="0" w:color="auto"/>
                  </w:tcBorders>
                  <w:vAlign w:val="center"/>
                  <w:hideMark/>
                </w:tcPr>
                <w:p w14:paraId="1876FE80" w14:textId="77777777" w:rsidR="00A42CA7" w:rsidRPr="00A42CA7" w:rsidRDefault="00A42CA7" w:rsidP="00030A77">
                  <w:pPr>
                    <w:spacing w:line="240" w:lineRule="auto"/>
                    <w:jc w:val="center"/>
                    <w:rPr>
                      <w:sz w:val="22"/>
                    </w:rPr>
                  </w:pPr>
                  <w:r w:rsidRPr="00A42CA7">
                    <w:rPr>
                      <w:b/>
                      <w:sz w:val="22"/>
                    </w:rPr>
                    <w:t>11%</w:t>
                  </w:r>
                </w:p>
              </w:tc>
            </w:tr>
            <w:tr w:rsidR="00A42CA7" w:rsidRPr="00A42CA7" w14:paraId="3681C1A4" w14:textId="77777777" w:rsidTr="00030A77">
              <w:tc>
                <w:tcPr>
                  <w:tcW w:w="2662" w:type="dxa"/>
                  <w:tcBorders>
                    <w:top w:val="single" w:sz="4" w:space="0" w:color="auto"/>
                    <w:left w:val="single" w:sz="4" w:space="0" w:color="auto"/>
                    <w:bottom w:val="single" w:sz="4" w:space="0" w:color="auto"/>
                    <w:right w:val="single" w:sz="4" w:space="0" w:color="auto"/>
                  </w:tcBorders>
                  <w:vAlign w:val="center"/>
                  <w:hideMark/>
                </w:tcPr>
                <w:p w14:paraId="41237EE0" w14:textId="77777777" w:rsidR="00A42CA7" w:rsidRPr="00A42CA7" w:rsidRDefault="00A42CA7" w:rsidP="00A42CA7">
                  <w:pPr>
                    <w:spacing w:line="240" w:lineRule="auto"/>
                    <w:jc w:val="left"/>
                    <w:rPr>
                      <w:sz w:val="22"/>
                    </w:rPr>
                  </w:pPr>
                  <w:r w:rsidRPr="00A42CA7">
                    <w:rPr>
                      <w:sz w:val="22"/>
                    </w:rPr>
                    <w:t>De 29 315 € à 83 823 €</w:t>
                  </w:r>
                </w:p>
              </w:tc>
              <w:tc>
                <w:tcPr>
                  <w:tcW w:w="818" w:type="dxa"/>
                  <w:tcBorders>
                    <w:top w:val="single" w:sz="4" w:space="0" w:color="auto"/>
                    <w:left w:val="single" w:sz="4" w:space="0" w:color="auto"/>
                    <w:bottom w:val="single" w:sz="4" w:space="0" w:color="auto"/>
                    <w:right w:val="single" w:sz="4" w:space="0" w:color="auto"/>
                  </w:tcBorders>
                  <w:vAlign w:val="center"/>
                  <w:hideMark/>
                </w:tcPr>
                <w:p w14:paraId="09C71BCA" w14:textId="77777777" w:rsidR="00A42CA7" w:rsidRPr="00A42CA7" w:rsidRDefault="00A42CA7" w:rsidP="00030A77">
                  <w:pPr>
                    <w:spacing w:line="240" w:lineRule="auto"/>
                    <w:jc w:val="center"/>
                    <w:rPr>
                      <w:sz w:val="22"/>
                    </w:rPr>
                  </w:pPr>
                  <w:r w:rsidRPr="00A42CA7">
                    <w:rPr>
                      <w:b/>
                      <w:sz w:val="22"/>
                    </w:rPr>
                    <w:t>30%</w:t>
                  </w:r>
                </w:p>
              </w:tc>
            </w:tr>
            <w:tr w:rsidR="00A42CA7" w:rsidRPr="00A42CA7" w14:paraId="43700211" w14:textId="77777777" w:rsidTr="00030A77">
              <w:tc>
                <w:tcPr>
                  <w:tcW w:w="2662" w:type="dxa"/>
                  <w:tcBorders>
                    <w:top w:val="single" w:sz="4" w:space="0" w:color="auto"/>
                    <w:left w:val="single" w:sz="4" w:space="0" w:color="auto"/>
                    <w:bottom w:val="single" w:sz="4" w:space="0" w:color="auto"/>
                    <w:right w:val="single" w:sz="4" w:space="0" w:color="auto"/>
                  </w:tcBorders>
                  <w:vAlign w:val="center"/>
                  <w:hideMark/>
                </w:tcPr>
                <w:p w14:paraId="2AEE7F54" w14:textId="77777777" w:rsidR="00A42CA7" w:rsidRPr="00A42CA7" w:rsidRDefault="00A42CA7" w:rsidP="00A42CA7">
                  <w:pPr>
                    <w:spacing w:line="240" w:lineRule="auto"/>
                    <w:jc w:val="left"/>
                    <w:rPr>
                      <w:sz w:val="22"/>
                    </w:rPr>
                  </w:pPr>
                  <w:r w:rsidRPr="00A42CA7">
                    <w:rPr>
                      <w:sz w:val="22"/>
                    </w:rPr>
                    <w:t>De 83 823 € à 180 294 €</w:t>
                  </w:r>
                </w:p>
              </w:tc>
              <w:tc>
                <w:tcPr>
                  <w:tcW w:w="818" w:type="dxa"/>
                  <w:tcBorders>
                    <w:top w:val="single" w:sz="4" w:space="0" w:color="auto"/>
                    <w:left w:val="single" w:sz="4" w:space="0" w:color="auto"/>
                    <w:bottom w:val="single" w:sz="4" w:space="0" w:color="auto"/>
                    <w:right w:val="single" w:sz="4" w:space="0" w:color="auto"/>
                  </w:tcBorders>
                  <w:vAlign w:val="center"/>
                  <w:hideMark/>
                </w:tcPr>
                <w:p w14:paraId="1A978FB0" w14:textId="77777777" w:rsidR="00A42CA7" w:rsidRPr="00A42CA7" w:rsidRDefault="00A42CA7" w:rsidP="00030A77">
                  <w:pPr>
                    <w:spacing w:line="240" w:lineRule="auto"/>
                    <w:jc w:val="center"/>
                    <w:rPr>
                      <w:sz w:val="22"/>
                    </w:rPr>
                  </w:pPr>
                  <w:r w:rsidRPr="00A42CA7">
                    <w:rPr>
                      <w:b/>
                      <w:sz w:val="22"/>
                    </w:rPr>
                    <w:t>41%</w:t>
                  </w:r>
                </w:p>
              </w:tc>
            </w:tr>
            <w:tr w:rsidR="00A42CA7" w:rsidRPr="00A42CA7" w14:paraId="2E73FFE9" w14:textId="77777777" w:rsidTr="00030A77">
              <w:tc>
                <w:tcPr>
                  <w:tcW w:w="2662" w:type="dxa"/>
                  <w:tcBorders>
                    <w:top w:val="single" w:sz="4" w:space="0" w:color="auto"/>
                    <w:left w:val="single" w:sz="4" w:space="0" w:color="auto"/>
                    <w:bottom w:val="single" w:sz="4" w:space="0" w:color="auto"/>
                    <w:right w:val="single" w:sz="4" w:space="0" w:color="auto"/>
                  </w:tcBorders>
                  <w:vAlign w:val="center"/>
                  <w:hideMark/>
                </w:tcPr>
                <w:p w14:paraId="3B0C29AE" w14:textId="77777777" w:rsidR="00A42CA7" w:rsidRPr="00A42CA7" w:rsidRDefault="00A42CA7" w:rsidP="00A42CA7">
                  <w:pPr>
                    <w:spacing w:line="240" w:lineRule="auto"/>
                    <w:jc w:val="left"/>
                    <w:rPr>
                      <w:sz w:val="22"/>
                    </w:rPr>
                  </w:pPr>
                  <w:r w:rsidRPr="00A42CA7">
                    <w:rPr>
                      <w:sz w:val="22"/>
                    </w:rPr>
                    <w:t>Supérieure à 180 294 €</w:t>
                  </w:r>
                </w:p>
              </w:tc>
              <w:tc>
                <w:tcPr>
                  <w:tcW w:w="818" w:type="dxa"/>
                  <w:tcBorders>
                    <w:top w:val="single" w:sz="4" w:space="0" w:color="auto"/>
                    <w:left w:val="single" w:sz="4" w:space="0" w:color="auto"/>
                    <w:bottom w:val="single" w:sz="4" w:space="0" w:color="auto"/>
                    <w:right w:val="single" w:sz="4" w:space="0" w:color="auto"/>
                  </w:tcBorders>
                  <w:vAlign w:val="center"/>
                  <w:hideMark/>
                </w:tcPr>
                <w:p w14:paraId="5CA7DA71" w14:textId="77777777" w:rsidR="00A42CA7" w:rsidRPr="00A42CA7" w:rsidRDefault="00A42CA7" w:rsidP="00030A77">
                  <w:pPr>
                    <w:spacing w:line="240" w:lineRule="auto"/>
                    <w:jc w:val="center"/>
                    <w:rPr>
                      <w:sz w:val="22"/>
                    </w:rPr>
                  </w:pPr>
                  <w:r w:rsidRPr="00A42CA7">
                    <w:rPr>
                      <w:b/>
                      <w:sz w:val="22"/>
                    </w:rPr>
                    <w:t>45%</w:t>
                  </w:r>
                </w:p>
              </w:tc>
            </w:tr>
          </w:tbl>
          <w:p w14:paraId="332D65D6" w14:textId="77777777" w:rsidR="00A42CA7" w:rsidRPr="00A42CA7" w:rsidRDefault="00A42CA7" w:rsidP="00A42CA7">
            <w:pPr>
              <w:spacing w:line="240" w:lineRule="auto"/>
              <w:jc w:val="left"/>
              <w:rPr>
                <w:sz w:val="10"/>
                <w:szCs w:val="10"/>
              </w:rPr>
            </w:pPr>
          </w:p>
          <w:p w14:paraId="592F4A22" w14:textId="77777777" w:rsidR="00A42CA7" w:rsidRDefault="00A42CA7" w:rsidP="00A42CA7">
            <w:pPr>
              <w:spacing w:line="240" w:lineRule="auto"/>
              <w:jc w:val="left"/>
            </w:pPr>
            <w:r w:rsidRPr="00A42CA7">
              <w:t>L’impôt brut signifie avant plafonnement des effets du QF, décote, réductions d’impôt…</w:t>
            </w:r>
          </w:p>
          <w:p w14:paraId="2C395E0D" w14:textId="77777777" w:rsidR="00433C96" w:rsidRPr="00A42CA7" w:rsidRDefault="00433C96" w:rsidP="00A42CA7">
            <w:pPr>
              <w:spacing w:line="240" w:lineRule="auto"/>
              <w:jc w:val="left"/>
              <w:rPr>
                <w:i/>
                <w:sz w:val="10"/>
                <w:szCs w:val="10"/>
              </w:rPr>
            </w:pPr>
          </w:p>
        </w:tc>
      </w:tr>
      <w:tr w:rsidR="00A42CA7" w:rsidRPr="00A42CA7" w14:paraId="76D58201" w14:textId="77777777" w:rsidTr="00433C96">
        <w:trPr>
          <w:trHeight w:val="7857"/>
        </w:trPr>
        <w:tc>
          <w:tcPr>
            <w:tcW w:w="12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3BFE06" w14:textId="77777777" w:rsidR="00A42CA7" w:rsidRPr="00A42CA7" w:rsidRDefault="00A42CA7" w:rsidP="00433C96">
            <w:pPr>
              <w:spacing w:line="240" w:lineRule="auto"/>
              <w:jc w:val="center"/>
              <w:rPr>
                <w:b/>
                <w:i/>
              </w:rPr>
            </w:pPr>
            <w:r w:rsidRPr="00A42CA7">
              <w:rPr>
                <w:b/>
                <w:i/>
              </w:rPr>
              <w:t>Seuils et limites pour l’imposition des revenus 2024</w:t>
            </w:r>
          </w:p>
        </w:tc>
        <w:tc>
          <w:tcPr>
            <w:tcW w:w="9866" w:type="dxa"/>
            <w:tcBorders>
              <w:top w:val="single" w:sz="4" w:space="0" w:color="auto"/>
              <w:left w:val="single" w:sz="4" w:space="0" w:color="auto"/>
              <w:bottom w:val="single" w:sz="4" w:space="0" w:color="auto"/>
              <w:right w:val="single" w:sz="4" w:space="0" w:color="auto"/>
            </w:tcBorders>
          </w:tcPr>
          <w:p w14:paraId="3F8D0EDC" w14:textId="77777777" w:rsidR="00A42CA7" w:rsidRPr="00A42CA7" w:rsidRDefault="00A42CA7" w:rsidP="00A42CA7">
            <w:pPr>
              <w:spacing w:line="240" w:lineRule="auto"/>
              <w:jc w:val="left"/>
              <w:rPr>
                <w:b/>
                <w:bCs/>
                <w:sz w:val="10"/>
                <w:szCs w:val="10"/>
                <w:u w:val="single"/>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3"/>
              <w:gridCol w:w="2953"/>
              <w:gridCol w:w="3894"/>
            </w:tblGrid>
            <w:tr w:rsidR="00433C96" w:rsidRPr="00A42CA7" w14:paraId="4DA920D4" w14:textId="77777777" w:rsidTr="00433C96">
              <w:trPr>
                <w:trHeight w:val="604"/>
                <w:jc w:val="center"/>
              </w:trPr>
              <w:tc>
                <w:tcPr>
                  <w:tcW w:w="147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42FC6E6" w14:textId="77777777" w:rsidR="00A42CA7" w:rsidRPr="00A42CA7" w:rsidRDefault="00A42CA7" w:rsidP="00433C96">
                  <w:pPr>
                    <w:spacing w:line="240" w:lineRule="auto"/>
                    <w:jc w:val="center"/>
                    <w:rPr>
                      <w:b/>
                      <w:sz w:val="22"/>
                    </w:rPr>
                  </w:pPr>
                  <w:r w:rsidRPr="00A42CA7">
                    <w:rPr>
                      <w:b/>
                      <w:sz w:val="22"/>
                    </w:rPr>
                    <w:t>Éléments</w:t>
                  </w:r>
                </w:p>
              </w:tc>
              <w:tc>
                <w:tcPr>
                  <w:tcW w:w="151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7EE399F" w14:textId="77777777" w:rsidR="00A42CA7" w:rsidRPr="00A42CA7" w:rsidRDefault="00A42CA7" w:rsidP="00433C96">
                  <w:pPr>
                    <w:spacing w:line="240" w:lineRule="auto"/>
                    <w:jc w:val="center"/>
                    <w:rPr>
                      <w:b/>
                      <w:sz w:val="22"/>
                    </w:rPr>
                  </w:pPr>
                  <w:r w:rsidRPr="00A42CA7">
                    <w:rPr>
                      <w:b/>
                      <w:sz w:val="22"/>
                    </w:rPr>
                    <w:t>Déduction,</w:t>
                  </w:r>
                </w:p>
                <w:p w14:paraId="09258153" w14:textId="77777777" w:rsidR="00A42CA7" w:rsidRPr="00A42CA7" w:rsidRDefault="00A42CA7" w:rsidP="00433C96">
                  <w:pPr>
                    <w:spacing w:line="240" w:lineRule="auto"/>
                    <w:jc w:val="center"/>
                    <w:rPr>
                      <w:b/>
                      <w:sz w:val="22"/>
                    </w:rPr>
                  </w:pPr>
                  <w:r w:rsidRPr="00A42CA7">
                    <w:rPr>
                      <w:b/>
                      <w:sz w:val="22"/>
                    </w:rPr>
                    <w:t>abattement ou autre</w:t>
                  </w:r>
                </w:p>
              </w:tc>
              <w:tc>
                <w:tcPr>
                  <w:tcW w:w="2003"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EDF0AAA" w14:textId="77777777" w:rsidR="00A42CA7" w:rsidRPr="00A42CA7" w:rsidRDefault="00A42CA7" w:rsidP="00433C96">
                  <w:pPr>
                    <w:spacing w:line="240" w:lineRule="auto"/>
                    <w:jc w:val="center"/>
                    <w:rPr>
                      <w:b/>
                      <w:sz w:val="22"/>
                    </w:rPr>
                  </w:pPr>
                  <w:r w:rsidRPr="00A42CA7">
                    <w:rPr>
                      <w:b/>
                      <w:sz w:val="22"/>
                    </w:rPr>
                    <w:t>Montant</w:t>
                  </w:r>
                </w:p>
              </w:tc>
            </w:tr>
            <w:tr w:rsidR="00433C96" w:rsidRPr="00A42CA7" w14:paraId="292B5073" w14:textId="77777777" w:rsidTr="00433C96">
              <w:trPr>
                <w:trHeight w:val="556"/>
                <w:jc w:val="center"/>
              </w:trPr>
              <w:tc>
                <w:tcPr>
                  <w:tcW w:w="1478" w:type="pct"/>
                  <w:tcBorders>
                    <w:top w:val="single" w:sz="4" w:space="0" w:color="auto"/>
                    <w:left w:val="single" w:sz="4" w:space="0" w:color="auto"/>
                    <w:bottom w:val="single" w:sz="4" w:space="0" w:color="auto"/>
                    <w:right w:val="single" w:sz="4" w:space="0" w:color="auto"/>
                  </w:tcBorders>
                  <w:vAlign w:val="center"/>
                  <w:hideMark/>
                </w:tcPr>
                <w:p w14:paraId="6C5D55A1" w14:textId="77777777" w:rsidR="00A42CA7" w:rsidRPr="00A42CA7" w:rsidRDefault="00A42CA7" w:rsidP="00433C96">
                  <w:pPr>
                    <w:spacing w:line="240" w:lineRule="auto"/>
                    <w:jc w:val="center"/>
                    <w:rPr>
                      <w:sz w:val="22"/>
                    </w:rPr>
                  </w:pPr>
                  <w:r w:rsidRPr="00A42CA7">
                    <w:rPr>
                      <w:sz w:val="22"/>
                    </w:rPr>
                    <w:t>Traitements et salaires</w:t>
                  </w:r>
                </w:p>
              </w:tc>
              <w:tc>
                <w:tcPr>
                  <w:tcW w:w="1519" w:type="pct"/>
                  <w:tcBorders>
                    <w:top w:val="single" w:sz="4" w:space="0" w:color="auto"/>
                    <w:left w:val="single" w:sz="4" w:space="0" w:color="auto"/>
                    <w:bottom w:val="single" w:sz="4" w:space="0" w:color="auto"/>
                    <w:right w:val="single" w:sz="4" w:space="0" w:color="auto"/>
                  </w:tcBorders>
                  <w:vAlign w:val="center"/>
                  <w:hideMark/>
                </w:tcPr>
                <w:p w14:paraId="53AB01EA" w14:textId="77777777" w:rsidR="00A42CA7" w:rsidRPr="00A42CA7" w:rsidRDefault="00A42CA7" w:rsidP="00433C96">
                  <w:pPr>
                    <w:spacing w:line="240" w:lineRule="auto"/>
                    <w:jc w:val="center"/>
                    <w:rPr>
                      <w:sz w:val="22"/>
                    </w:rPr>
                  </w:pPr>
                  <w:r w:rsidRPr="00A42CA7">
                    <w:rPr>
                      <w:sz w:val="22"/>
                    </w:rPr>
                    <w:t>Déduction forfaitaire de 10 %</w:t>
                  </w:r>
                </w:p>
              </w:tc>
              <w:tc>
                <w:tcPr>
                  <w:tcW w:w="2003" w:type="pct"/>
                  <w:tcBorders>
                    <w:top w:val="single" w:sz="4" w:space="0" w:color="auto"/>
                    <w:left w:val="single" w:sz="4" w:space="0" w:color="auto"/>
                    <w:bottom w:val="single" w:sz="4" w:space="0" w:color="auto"/>
                    <w:right w:val="single" w:sz="4" w:space="0" w:color="auto"/>
                  </w:tcBorders>
                  <w:vAlign w:val="center"/>
                  <w:hideMark/>
                </w:tcPr>
                <w:p w14:paraId="627554BC" w14:textId="77777777" w:rsidR="00A42CA7" w:rsidRPr="00A42CA7" w:rsidRDefault="00A42CA7" w:rsidP="00A42CA7">
                  <w:pPr>
                    <w:spacing w:line="240" w:lineRule="auto"/>
                    <w:jc w:val="left"/>
                    <w:rPr>
                      <w:sz w:val="22"/>
                    </w:rPr>
                  </w:pPr>
                  <w:r w:rsidRPr="00A42CA7">
                    <w:rPr>
                      <w:sz w:val="22"/>
                    </w:rPr>
                    <w:t>Min = 504 €</w:t>
                  </w:r>
                </w:p>
                <w:p w14:paraId="4A408B42" w14:textId="77777777" w:rsidR="00A42CA7" w:rsidRPr="00A42CA7" w:rsidRDefault="00A42CA7" w:rsidP="00A42CA7">
                  <w:pPr>
                    <w:spacing w:line="240" w:lineRule="auto"/>
                    <w:jc w:val="left"/>
                    <w:rPr>
                      <w:sz w:val="22"/>
                    </w:rPr>
                  </w:pPr>
                  <w:r w:rsidRPr="00A42CA7">
                    <w:rPr>
                      <w:sz w:val="22"/>
                    </w:rPr>
                    <w:t>Max = 14 426 €</w:t>
                  </w:r>
                </w:p>
              </w:tc>
            </w:tr>
            <w:tr w:rsidR="00433C96" w:rsidRPr="00A42CA7" w14:paraId="2909A1DF" w14:textId="77777777" w:rsidTr="00433C96">
              <w:trPr>
                <w:trHeight w:val="692"/>
                <w:jc w:val="center"/>
              </w:trPr>
              <w:tc>
                <w:tcPr>
                  <w:tcW w:w="1478" w:type="pct"/>
                  <w:tcBorders>
                    <w:top w:val="single" w:sz="4" w:space="0" w:color="auto"/>
                    <w:left w:val="single" w:sz="4" w:space="0" w:color="auto"/>
                    <w:bottom w:val="single" w:sz="4" w:space="0" w:color="auto"/>
                    <w:right w:val="single" w:sz="4" w:space="0" w:color="auto"/>
                  </w:tcBorders>
                  <w:vAlign w:val="center"/>
                  <w:hideMark/>
                </w:tcPr>
                <w:p w14:paraId="7DBA0DB6" w14:textId="77777777" w:rsidR="00A42CA7" w:rsidRPr="00A42CA7" w:rsidRDefault="00A42CA7" w:rsidP="00433C96">
                  <w:pPr>
                    <w:spacing w:line="240" w:lineRule="auto"/>
                    <w:jc w:val="center"/>
                    <w:rPr>
                      <w:sz w:val="22"/>
                    </w:rPr>
                  </w:pPr>
                  <w:r w:rsidRPr="00A42CA7">
                    <w:rPr>
                      <w:sz w:val="22"/>
                    </w:rPr>
                    <w:t>Pensions et retraites</w:t>
                  </w:r>
                </w:p>
              </w:tc>
              <w:tc>
                <w:tcPr>
                  <w:tcW w:w="1519" w:type="pct"/>
                  <w:tcBorders>
                    <w:top w:val="single" w:sz="4" w:space="0" w:color="auto"/>
                    <w:left w:val="single" w:sz="4" w:space="0" w:color="auto"/>
                    <w:bottom w:val="single" w:sz="4" w:space="0" w:color="auto"/>
                    <w:right w:val="single" w:sz="4" w:space="0" w:color="auto"/>
                  </w:tcBorders>
                  <w:vAlign w:val="center"/>
                  <w:hideMark/>
                </w:tcPr>
                <w:p w14:paraId="65ACF953" w14:textId="77777777" w:rsidR="00A42CA7" w:rsidRPr="00A42CA7" w:rsidRDefault="00A42CA7" w:rsidP="00433C96">
                  <w:pPr>
                    <w:spacing w:line="240" w:lineRule="auto"/>
                    <w:jc w:val="center"/>
                    <w:rPr>
                      <w:sz w:val="22"/>
                    </w:rPr>
                  </w:pPr>
                  <w:r w:rsidRPr="00A42CA7">
                    <w:rPr>
                      <w:sz w:val="22"/>
                    </w:rPr>
                    <w:t>Abattement de 10 %</w:t>
                  </w:r>
                </w:p>
              </w:tc>
              <w:tc>
                <w:tcPr>
                  <w:tcW w:w="2003" w:type="pct"/>
                  <w:tcBorders>
                    <w:top w:val="single" w:sz="4" w:space="0" w:color="auto"/>
                    <w:left w:val="single" w:sz="4" w:space="0" w:color="auto"/>
                    <w:bottom w:val="single" w:sz="4" w:space="0" w:color="auto"/>
                    <w:right w:val="single" w:sz="4" w:space="0" w:color="auto"/>
                  </w:tcBorders>
                  <w:vAlign w:val="center"/>
                  <w:hideMark/>
                </w:tcPr>
                <w:p w14:paraId="37E5C8E2" w14:textId="77777777" w:rsidR="00A42CA7" w:rsidRPr="00A42CA7" w:rsidRDefault="00A42CA7" w:rsidP="00433C96">
                  <w:pPr>
                    <w:spacing w:line="240" w:lineRule="auto"/>
                    <w:rPr>
                      <w:sz w:val="22"/>
                    </w:rPr>
                  </w:pPr>
                  <w:r w:rsidRPr="00A42CA7">
                    <w:rPr>
                      <w:sz w:val="22"/>
                    </w:rPr>
                    <w:t>Min = 450 €</w:t>
                  </w:r>
                </w:p>
                <w:p w14:paraId="055856E1" w14:textId="77777777" w:rsidR="00A42CA7" w:rsidRPr="00A42CA7" w:rsidRDefault="00A42CA7" w:rsidP="00433C96">
                  <w:pPr>
                    <w:spacing w:line="240" w:lineRule="auto"/>
                    <w:rPr>
                      <w:sz w:val="22"/>
                    </w:rPr>
                  </w:pPr>
                  <w:r w:rsidRPr="00A42CA7">
                    <w:rPr>
                      <w:sz w:val="22"/>
                    </w:rPr>
                    <w:t>Max = 4 399 € (limite pour le foyer fiscal)</w:t>
                  </w:r>
                </w:p>
              </w:tc>
            </w:tr>
            <w:tr w:rsidR="00433C96" w:rsidRPr="00A42CA7" w14:paraId="2514CE22" w14:textId="77777777" w:rsidTr="00433C96">
              <w:trPr>
                <w:trHeight w:val="716"/>
                <w:jc w:val="center"/>
              </w:trPr>
              <w:tc>
                <w:tcPr>
                  <w:tcW w:w="1478" w:type="pct"/>
                  <w:tcBorders>
                    <w:top w:val="single" w:sz="4" w:space="0" w:color="auto"/>
                    <w:left w:val="single" w:sz="4" w:space="0" w:color="auto"/>
                    <w:bottom w:val="single" w:sz="4" w:space="0" w:color="auto"/>
                    <w:right w:val="single" w:sz="4" w:space="0" w:color="auto"/>
                  </w:tcBorders>
                  <w:vAlign w:val="center"/>
                  <w:hideMark/>
                </w:tcPr>
                <w:p w14:paraId="7193C153" w14:textId="77777777" w:rsidR="00A42CA7" w:rsidRPr="00A42CA7" w:rsidRDefault="00A42CA7" w:rsidP="00433C96">
                  <w:pPr>
                    <w:spacing w:line="240" w:lineRule="auto"/>
                    <w:jc w:val="center"/>
                    <w:rPr>
                      <w:sz w:val="22"/>
                    </w:rPr>
                  </w:pPr>
                  <w:r w:rsidRPr="00A42CA7">
                    <w:rPr>
                      <w:sz w:val="22"/>
                    </w:rPr>
                    <w:t>Personnes âgées (+ 65 ans) ou invalides</w:t>
                  </w:r>
                </w:p>
              </w:tc>
              <w:tc>
                <w:tcPr>
                  <w:tcW w:w="1519" w:type="pct"/>
                  <w:tcBorders>
                    <w:top w:val="single" w:sz="4" w:space="0" w:color="auto"/>
                    <w:left w:val="single" w:sz="4" w:space="0" w:color="auto"/>
                    <w:bottom w:val="single" w:sz="4" w:space="0" w:color="auto"/>
                    <w:right w:val="single" w:sz="4" w:space="0" w:color="auto"/>
                  </w:tcBorders>
                  <w:vAlign w:val="center"/>
                  <w:hideMark/>
                </w:tcPr>
                <w:p w14:paraId="4C6C7AC6" w14:textId="77777777" w:rsidR="00A42CA7" w:rsidRPr="00A42CA7" w:rsidRDefault="00A42CA7" w:rsidP="00433C96">
                  <w:pPr>
                    <w:spacing w:line="240" w:lineRule="auto"/>
                    <w:jc w:val="center"/>
                    <w:rPr>
                      <w:sz w:val="22"/>
                    </w:rPr>
                  </w:pPr>
                  <w:r w:rsidRPr="00A42CA7">
                    <w:rPr>
                      <w:sz w:val="22"/>
                    </w:rPr>
                    <w:t>Abattement</w:t>
                  </w:r>
                </w:p>
              </w:tc>
              <w:tc>
                <w:tcPr>
                  <w:tcW w:w="2003" w:type="pct"/>
                  <w:tcBorders>
                    <w:top w:val="single" w:sz="4" w:space="0" w:color="auto"/>
                    <w:left w:val="single" w:sz="4" w:space="0" w:color="auto"/>
                    <w:bottom w:val="single" w:sz="4" w:space="0" w:color="auto"/>
                    <w:right w:val="single" w:sz="4" w:space="0" w:color="auto"/>
                  </w:tcBorders>
                  <w:vAlign w:val="center"/>
                  <w:hideMark/>
                </w:tcPr>
                <w:p w14:paraId="78AECDE0" w14:textId="77777777" w:rsidR="00A42CA7" w:rsidRPr="00A42CA7" w:rsidRDefault="00A42CA7" w:rsidP="00433C96">
                  <w:pPr>
                    <w:spacing w:line="240" w:lineRule="auto"/>
                    <w:rPr>
                      <w:sz w:val="22"/>
                    </w:rPr>
                  </w:pPr>
                  <w:r w:rsidRPr="00A42CA7">
                    <w:rPr>
                      <w:sz w:val="22"/>
                    </w:rPr>
                    <w:t>2 796 € (si R ≤ 17 510 €)</w:t>
                  </w:r>
                </w:p>
                <w:p w14:paraId="651D034F" w14:textId="77777777" w:rsidR="00A42CA7" w:rsidRPr="00A42CA7" w:rsidRDefault="00A42CA7" w:rsidP="00433C96">
                  <w:pPr>
                    <w:spacing w:line="240" w:lineRule="auto"/>
                    <w:rPr>
                      <w:sz w:val="22"/>
                    </w:rPr>
                  </w:pPr>
                  <w:r w:rsidRPr="00A42CA7">
                    <w:rPr>
                      <w:sz w:val="22"/>
                    </w:rPr>
                    <w:t>1 398 € (si 17 510 € &lt; R ≤ 28 170 €)</w:t>
                  </w:r>
                </w:p>
              </w:tc>
            </w:tr>
            <w:tr w:rsidR="00433C96" w:rsidRPr="00A42CA7" w14:paraId="301DC4D6" w14:textId="77777777" w:rsidTr="00433C96">
              <w:trPr>
                <w:trHeight w:val="1110"/>
                <w:jc w:val="center"/>
              </w:trPr>
              <w:tc>
                <w:tcPr>
                  <w:tcW w:w="1478" w:type="pct"/>
                  <w:tcBorders>
                    <w:top w:val="single" w:sz="4" w:space="0" w:color="auto"/>
                    <w:left w:val="single" w:sz="4" w:space="0" w:color="auto"/>
                    <w:bottom w:val="single" w:sz="4" w:space="0" w:color="auto"/>
                    <w:right w:val="single" w:sz="4" w:space="0" w:color="auto"/>
                  </w:tcBorders>
                  <w:vAlign w:val="center"/>
                  <w:hideMark/>
                </w:tcPr>
                <w:p w14:paraId="2A34BF6D" w14:textId="77777777" w:rsidR="00A42CA7" w:rsidRPr="00A42CA7" w:rsidRDefault="00A42CA7" w:rsidP="00433C96">
                  <w:pPr>
                    <w:spacing w:line="240" w:lineRule="auto"/>
                    <w:jc w:val="center"/>
                    <w:rPr>
                      <w:sz w:val="22"/>
                    </w:rPr>
                  </w:pPr>
                  <w:r w:rsidRPr="00A42CA7">
                    <w:rPr>
                      <w:sz w:val="22"/>
                    </w:rPr>
                    <w:t>Frais d’accueil des personnes âgées (+ 75 ans)</w:t>
                  </w:r>
                </w:p>
              </w:tc>
              <w:tc>
                <w:tcPr>
                  <w:tcW w:w="1519" w:type="pct"/>
                  <w:tcBorders>
                    <w:top w:val="single" w:sz="4" w:space="0" w:color="auto"/>
                    <w:left w:val="single" w:sz="4" w:space="0" w:color="auto"/>
                    <w:bottom w:val="single" w:sz="4" w:space="0" w:color="auto"/>
                    <w:right w:val="single" w:sz="4" w:space="0" w:color="auto"/>
                  </w:tcBorders>
                  <w:vAlign w:val="center"/>
                  <w:hideMark/>
                </w:tcPr>
                <w:p w14:paraId="44A0809B" w14:textId="77777777" w:rsidR="00A42CA7" w:rsidRPr="00A42CA7" w:rsidRDefault="00A42CA7" w:rsidP="00433C96">
                  <w:pPr>
                    <w:spacing w:line="240" w:lineRule="auto"/>
                    <w:jc w:val="center"/>
                    <w:rPr>
                      <w:sz w:val="22"/>
                    </w:rPr>
                  </w:pPr>
                  <w:r w:rsidRPr="00A42CA7">
                    <w:rPr>
                      <w:sz w:val="22"/>
                    </w:rPr>
                    <w:t>Déduction</w:t>
                  </w:r>
                </w:p>
              </w:tc>
              <w:tc>
                <w:tcPr>
                  <w:tcW w:w="2003" w:type="pct"/>
                  <w:tcBorders>
                    <w:top w:val="single" w:sz="4" w:space="0" w:color="auto"/>
                    <w:left w:val="single" w:sz="4" w:space="0" w:color="auto"/>
                    <w:bottom w:val="single" w:sz="4" w:space="0" w:color="auto"/>
                    <w:right w:val="single" w:sz="4" w:space="0" w:color="auto"/>
                  </w:tcBorders>
                  <w:vAlign w:val="center"/>
                  <w:hideMark/>
                </w:tcPr>
                <w:p w14:paraId="5C728323" w14:textId="77777777" w:rsidR="00A42CA7" w:rsidRPr="00A42CA7" w:rsidRDefault="00A42CA7" w:rsidP="00433C96">
                  <w:pPr>
                    <w:spacing w:line="240" w:lineRule="auto"/>
                    <w:rPr>
                      <w:sz w:val="22"/>
                    </w:rPr>
                  </w:pPr>
                  <w:r w:rsidRPr="00A42CA7">
                    <w:rPr>
                      <w:sz w:val="22"/>
                    </w:rPr>
                    <w:t>4 039 € (sous condition de ressources : 12 144 € personne seule ou 18 854 € pour un couple / seuils après abattement 10% et abattement personnes âgées)</w:t>
                  </w:r>
                </w:p>
              </w:tc>
            </w:tr>
            <w:tr w:rsidR="00433C96" w:rsidRPr="00A42CA7" w14:paraId="3D61BBED" w14:textId="77777777" w:rsidTr="00433C96">
              <w:trPr>
                <w:trHeight w:val="767"/>
                <w:jc w:val="center"/>
              </w:trPr>
              <w:tc>
                <w:tcPr>
                  <w:tcW w:w="1478" w:type="pct"/>
                  <w:tcBorders>
                    <w:top w:val="single" w:sz="4" w:space="0" w:color="auto"/>
                    <w:left w:val="single" w:sz="4" w:space="0" w:color="auto"/>
                    <w:bottom w:val="single" w:sz="4" w:space="0" w:color="auto"/>
                    <w:right w:val="single" w:sz="4" w:space="0" w:color="auto"/>
                  </w:tcBorders>
                  <w:vAlign w:val="center"/>
                  <w:hideMark/>
                </w:tcPr>
                <w:p w14:paraId="01150789" w14:textId="77777777" w:rsidR="00A42CA7" w:rsidRPr="00A42CA7" w:rsidRDefault="00A42CA7" w:rsidP="00433C96">
                  <w:pPr>
                    <w:spacing w:line="240" w:lineRule="auto"/>
                    <w:jc w:val="center"/>
                    <w:rPr>
                      <w:sz w:val="22"/>
                    </w:rPr>
                  </w:pPr>
                  <w:r w:rsidRPr="00A42CA7">
                    <w:rPr>
                      <w:sz w:val="22"/>
                    </w:rPr>
                    <w:t>Frais d’entretien d’ascendants (parents) ou de descendants (enfant majeur) dans le besoin</w:t>
                  </w:r>
                </w:p>
              </w:tc>
              <w:tc>
                <w:tcPr>
                  <w:tcW w:w="1519" w:type="pct"/>
                  <w:tcBorders>
                    <w:top w:val="single" w:sz="4" w:space="0" w:color="auto"/>
                    <w:left w:val="single" w:sz="4" w:space="0" w:color="auto"/>
                    <w:bottom w:val="single" w:sz="4" w:space="0" w:color="auto"/>
                    <w:right w:val="single" w:sz="4" w:space="0" w:color="auto"/>
                  </w:tcBorders>
                  <w:vAlign w:val="center"/>
                  <w:hideMark/>
                </w:tcPr>
                <w:p w14:paraId="1ECEB251" w14:textId="77777777" w:rsidR="00A42CA7" w:rsidRPr="00A42CA7" w:rsidRDefault="00A42CA7" w:rsidP="00433C96">
                  <w:pPr>
                    <w:spacing w:line="240" w:lineRule="auto"/>
                    <w:jc w:val="center"/>
                    <w:rPr>
                      <w:sz w:val="22"/>
                    </w:rPr>
                  </w:pPr>
                  <w:r w:rsidRPr="00A42CA7">
                    <w:rPr>
                      <w:sz w:val="22"/>
                    </w:rPr>
                    <w:t>Déduction</w:t>
                  </w:r>
                </w:p>
              </w:tc>
              <w:tc>
                <w:tcPr>
                  <w:tcW w:w="2003" w:type="pct"/>
                  <w:tcBorders>
                    <w:top w:val="single" w:sz="4" w:space="0" w:color="auto"/>
                    <w:left w:val="single" w:sz="4" w:space="0" w:color="auto"/>
                    <w:bottom w:val="single" w:sz="4" w:space="0" w:color="auto"/>
                    <w:right w:val="single" w:sz="4" w:space="0" w:color="auto"/>
                  </w:tcBorders>
                  <w:vAlign w:val="center"/>
                  <w:hideMark/>
                </w:tcPr>
                <w:p w14:paraId="7A9B92F5" w14:textId="77777777" w:rsidR="00A42CA7" w:rsidRPr="00A42CA7" w:rsidRDefault="00A42CA7" w:rsidP="00433C96">
                  <w:pPr>
                    <w:spacing w:line="240" w:lineRule="auto"/>
                    <w:rPr>
                      <w:sz w:val="22"/>
                    </w:rPr>
                  </w:pPr>
                  <w:r w:rsidRPr="00A42CA7">
                    <w:rPr>
                      <w:sz w:val="22"/>
                    </w:rPr>
                    <w:t>4 039 €</w:t>
                  </w:r>
                </w:p>
              </w:tc>
            </w:tr>
            <w:tr w:rsidR="00433C96" w:rsidRPr="00A42CA7" w14:paraId="3CA686C2" w14:textId="77777777" w:rsidTr="00433C96">
              <w:trPr>
                <w:trHeight w:val="538"/>
                <w:jc w:val="center"/>
              </w:trPr>
              <w:tc>
                <w:tcPr>
                  <w:tcW w:w="1478" w:type="pct"/>
                  <w:tcBorders>
                    <w:top w:val="single" w:sz="4" w:space="0" w:color="auto"/>
                    <w:left w:val="single" w:sz="4" w:space="0" w:color="auto"/>
                    <w:bottom w:val="single" w:sz="4" w:space="0" w:color="auto"/>
                    <w:right w:val="single" w:sz="4" w:space="0" w:color="auto"/>
                  </w:tcBorders>
                  <w:vAlign w:val="center"/>
                  <w:hideMark/>
                </w:tcPr>
                <w:p w14:paraId="69733927" w14:textId="77777777" w:rsidR="00A42CA7" w:rsidRPr="00A42CA7" w:rsidRDefault="00A42CA7" w:rsidP="00433C96">
                  <w:pPr>
                    <w:spacing w:line="240" w:lineRule="auto"/>
                    <w:jc w:val="center"/>
                    <w:rPr>
                      <w:sz w:val="22"/>
                    </w:rPr>
                  </w:pPr>
                  <w:r w:rsidRPr="00A42CA7">
                    <w:rPr>
                      <w:sz w:val="22"/>
                    </w:rPr>
                    <w:t>Pension alimentaire versée à un enfant majeur célibataire, marié ou pacsé</w:t>
                  </w:r>
                </w:p>
              </w:tc>
              <w:tc>
                <w:tcPr>
                  <w:tcW w:w="1519" w:type="pct"/>
                  <w:tcBorders>
                    <w:top w:val="single" w:sz="4" w:space="0" w:color="auto"/>
                    <w:left w:val="single" w:sz="4" w:space="0" w:color="auto"/>
                    <w:bottom w:val="single" w:sz="4" w:space="0" w:color="auto"/>
                    <w:right w:val="single" w:sz="4" w:space="0" w:color="auto"/>
                  </w:tcBorders>
                  <w:vAlign w:val="center"/>
                  <w:hideMark/>
                </w:tcPr>
                <w:p w14:paraId="04648701" w14:textId="77777777" w:rsidR="00A42CA7" w:rsidRPr="00A42CA7" w:rsidRDefault="00A42CA7" w:rsidP="00433C96">
                  <w:pPr>
                    <w:spacing w:line="240" w:lineRule="auto"/>
                    <w:jc w:val="center"/>
                    <w:rPr>
                      <w:sz w:val="22"/>
                    </w:rPr>
                  </w:pPr>
                  <w:r w:rsidRPr="00A42CA7">
                    <w:rPr>
                      <w:sz w:val="22"/>
                    </w:rPr>
                    <w:t>Déduction</w:t>
                  </w:r>
                </w:p>
              </w:tc>
              <w:tc>
                <w:tcPr>
                  <w:tcW w:w="2003" w:type="pct"/>
                  <w:tcBorders>
                    <w:top w:val="single" w:sz="4" w:space="0" w:color="auto"/>
                    <w:left w:val="single" w:sz="4" w:space="0" w:color="auto"/>
                    <w:bottom w:val="single" w:sz="4" w:space="0" w:color="auto"/>
                    <w:right w:val="single" w:sz="4" w:space="0" w:color="auto"/>
                  </w:tcBorders>
                  <w:vAlign w:val="center"/>
                  <w:hideMark/>
                </w:tcPr>
                <w:p w14:paraId="1F9BF22E" w14:textId="77777777" w:rsidR="00A42CA7" w:rsidRPr="00A42CA7" w:rsidRDefault="00A42CA7" w:rsidP="00433C96">
                  <w:pPr>
                    <w:spacing w:line="240" w:lineRule="auto"/>
                    <w:rPr>
                      <w:sz w:val="22"/>
                    </w:rPr>
                  </w:pPr>
                  <w:r w:rsidRPr="00A42CA7">
                    <w:rPr>
                      <w:sz w:val="22"/>
                    </w:rPr>
                    <w:t>6 794 €</w:t>
                  </w:r>
                </w:p>
              </w:tc>
            </w:tr>
            <w:tr w:rsidR="00433C96" w:rsidRPr="00A42CA7" w14:paraId="6081DFA7" w14:textId="77777777" w:rsidTr="00433C96">
              <w:trPr>
                <w:trHeight w:val="892"/>
                <w:jc w:val="center"/>
              </w:trPr>
              <w:tc>
                <w:tcPr>
                  <w:tcW w:w="1478" w:type="pct"/>
                  <w:tcBorders>
                    <w:top w:val="single" w:sz="4" w:space="0" w:color="auto"/>
                    <w:left w:val="single" w:sz="4" w:space="0" w:color="auto"/>
                    <w:bottom w:val="single" w:sz="4" w:space="0" w:color="auto"/>
                    <w:right w:val="single" w:sz="4" w:space="0" w:color="auto"/>
                  </w:tcBorders>
                  <w:vAlign w:val="center"/>
                  <w:hideMark/>
                </w:tcPr>
                <w:p w14:paraId="5B8C9538" w14:textId="77777777" w:rsidR="00A42CA7" w:rsidRPr="00A42CA7" w:rsidRDefault="00A42CA7" w:rsidP="00433C96">
                  <w:pPr>
                    <w:spacing w:line="240" w:lineRule="auto"/>
                    <w:jc w:val="center"/>
                    <w:rPr>
                      <w:sz w:val="22"/>
                    </w:rPr>
                  </w:pPr>
                  <w:r w:rsidRPr="00A42CA7">
                    <w:rPr>
                      <w:sz w:val="22"/>
                    </w:rPr>
                    <w:t>Plafonnement des effets du quotient familial</w:t>
                  </w:r>
                </w:p>
                <w:p w14:paraId="3B456FE4" w14:textId="77777777" w:rsidR="00A42CA7" w:rsidRPr="00A42CA7" w:rsidRDefault="00A42CA7" w:rsidP="00433C96">
                  <w:pPr>
                    <w:spacing w:line="240" w:lineRule="auto"/>
                    <w:jc w:val="center"/>
                    <w:rPr>
                      <w:sz w:val="22"/>
                    </w:rPr>
                  </w:pPr>
                  <w:r w:rsidRPr="00A42CA7">
                    <w:rPr>
                      <w:sz w:val="22"/>
                    </w:rPr>
                    <w:t>(cas généraux)</w:t>
                  </w:r>
                </w:p>
              </w:tc>
              <w:tc>
                <w:tcPr>
                  <w:tcW w:w="1519" w:type="pct"/>
                  <w:tcBorders>
                    <w:top w:val="single" w:sz="4" w:space="0" w:color="auto"/>
                    <w:left w:val="single" w:sz="4" w:space="0" w:color="auto"/>
                    <w:bottom w:val="single" w:sz="4" w:space="0" w:color="auto"/>
                    <w:right w:val="single" w:sz="4" w:space="0" w:color="auto"/>
                  </w:tcBorders>
                  <w:vAlign w:val="center"/>
                  <w:hideMark/>
                </w:tcPr>
                <w:p w14:paraId="381BACBC" w14:textId="42528617" w:rsidR="00A42CA7" w:rsidRPr="00A42CA7" w:rsidRDefault="00A42CA7" w:rsidP="00433C96">
                  <w:pPr>
                    <w:spacing w:line="240" w:lineRule="auto"/>
                    <w:jc w:val="center"/>
                    <w:rPr>
                      <w:sz w:val="22"/>
                    </w:rPr>
                  </w:pPr>
                  <w:r w:rsidRPr="00A42CA7">
                    <w:rPr>
                      <w:sz w:val="22"/>
                    </w:rPr>
                    <w:t>Avantage fiscal limité pour</w:t>
                  </w:r>
                  <w:r w:rsidR="00433C96">
                    <w:rPr>
                      <w:sz w:val="22"/>
                    </w:rPr>
                    <w:t xml:space="preserve"> </w:t>
                  </w:r>
                  <w:r w:rsidRPr="00A42CA7">
                    <w:rPr>
                      <w:sz w:val="22"/>
                    </w:rPr>
                    <w:t>chaque demi-part</w:t>
                  </w:r>
                  <w:r w:rsidR="00433C96">
                    <w:rPr>
                      <w:sz w:val="22"/>
                    </w:rPr>
                    <w:t xml:space="preserve"> </w:t>
                  </w:r>
                  <w:r w:rsidRPr="00A42CA7">
                    <w:rPr>
                      <w:sz w:val="22"/>
                    </w:rPr>
                    <w:t>au-delà de 1 part ou de 2 parts</w:t>
                  </w:r>
                </w:p>
              </w:tc>
              <w:tc>
                <w:tcPr>
                  <w:tcW w:w="2003" w:type="pct"/>
                  <w:tcBorders>
                    <w:top w:val="single" w:sz="4" w:space="0" w:color="auto"/>
                    <w:left w:val="single" w:sz="4" w:space="0" w:color="auto"/>
                    <w:bottom w:val="single" w:sz="4" w:space="0" w:color="auto"/>
                    <w:right w:val="single" w:sz="4" w:space="0" w:color="auto"/>
                  </w:tcBorders>
                  <w:vAlign w:val="center"/>
                  <w:hideMark/>
                </w:tcPr>
                <w:p w14:paraId="18BE885C" w14:textId="3A66C730" w:rsidR="00A42CA7" w:rsidRPr="00A42CA7" w:rsidRDefault="00A42CA7" w:rsidP="00433C96">
                  <w:pPr>
                    <w:spacing w:line="240" w:lineRule="auto"/>
                    <w:rPr>
                      <w:sz w:val="22"/>
                    </w:rPr>
                  </w:pPr>
                  <w:r w:rsidRPr="00A42CA7">
                    <w:rPr>
                      <w:sz w:val="22"/>
                    </w:rPr>
                    <w:t xml:space="preserve">1 791 € (4 224 € pour une part entière </w:t>
                  </w:r>
                  <w:r w:rsidR="00433C96">
                    <w:rPr>
                      <w:sz w:val="22"/>
                    </w:rPr>
                    <w:t xml:space="preserve">= </w:t>
                  </w:r>
                  <w:r w:rsidRPr="00A42CA7">
                    <w:rPr>
                      <w:sz w:val="22"/>
                    </w:rPr>
                    <w:t>1</w:t>
                  </w:r>
                  <w:r w:rsidRPr="00A42CA7">
                    <w:rPr>
                      <w:sz w:val="22"/>
                      <w:vertAlign w:val="superscript"/>
                    </w:rPr>
                    <w:t>er</w:t>
                  </w:r>
                  <w:r w:rsidRPr="00A42CA7">
                    <w:rPr>
                      <w:sz w:val="22"/>
                    </w:rPr>
                    <w:t xml:space="preserve"> enfant des CVD qui supportent à titre exclusif la charge)</w:t>
                  </w:r>
                </w:p>
              </w:tc>
            </w:tr>
            <w:tr w:rsidR="00A42CA7" w:rsidRPr="00A42CA7" w14:paraId="7D40B482" w14:textId="77777777" w:rsidTr="00433C96">
              <w:trPr>
                <w:trHeight w:val="647"/>
                <w:jc w:val="center"/>
              </w:trPr>
              <w:tc>
                <w:tcPr>
                  <w:tcW w:w="1478" w:type="pct"/>
                  <w:tcBorders>
                    <w:top w:val="single" w:sz="4" w:space="0" w:color="auto"/>
                    <w:left w:val="single" w:sz="4" w:space="0" w:color="auto"/>
                    <w:bottom w:val="single" w:sz="4" w:space="0" w:color="auto"/>
                    <w:right w:val="single" w:sz="4" w:space="0" w:color="auto"/>
                  </w:tcBorders>
                  <w:vAlign w:val="center"/>
                  <w:hideMark/>
                </w:tcPr>
                <w:p w14:paraId="716DE647" w14:textId="77777777" w:rsidR="00A42CA7" w:rsidRPr="00A42CA7" w:rsidRDefault="00A42CA7" w:rsidP="00433C96">
                  <w:pPr>
                    <w:spacing w:line="240" w:lineRule="auto"/>
                    <w:jc w:val="center"/>
                    <w:rPr>
                      <w:sz w:val="22"/>
                    </w:rPr>
                  </w:pPr>
                  <w:r w:rsidRPr="00A42CA7">
                    <w:rPr>
                      <w:sz w:val="22"/>
                    </w:rPr>
                    <w:t>Décote (seuils / montants)</w:t>
                  </w:r>
                </w:p>
              </w:tc>
              <w:tc>
                <w:tcPr>
                  <w:tcW w:w="3522" w:type="pct"/>
                  <w:gridSpan w:val="2"/>
                  <w:tcBorders>
                    <w:top w:val="single" w:sz="4" w:space="0" w:color="auto"/>
                    <w:left w:val="single" w:sz="4" w:space="0" w:color="auto"/>
                    <w:bottom w:val="single" w:sz="4" w:space="0" w:color="auto"/>
                    <w:right w:val="single" w:sz="4" w:space="0" w:color="auto"/>
                  </w:tcBorders>
                  <w:vAlign w:val="center"/>
                  <w:hideMark/>
                </w:tcPr>
                <w:p w14:paraId="20281F1E" w14:textId="77777777" w:rsidR="00A42CA7" w:rsidRPr="00A42CA7" w:rsidRDefault="00A42CA7" w:rsidP="00433C96">
                  <w:pPr>
                    <w:spacing w:line="240" w:lineRule="auto"/>
                    <w:rPr>
                      <w:sz w:val="22"/>
                    </w:rPr>
                  </w:pPr>
                  <w:r w:rsidRPr="00A42CA7">
                    <w:rPr>
                      <w:sz w:val="22"/>
                    </w:rPr>
                    <w:t>CVD (impôt brut &lt; 1 965 €) : 889 € – (45,25% impôt brut)</w:t>
                  </w:r>
                </w:p>
                <w:p w14:paraId="3E3E75F9" w14:textId="77777777" w:rsidR="00A42CA7" w:rsidRPr="00A42CA7" w:rsidRDefault="00A42CA7" w:rsidP="00433C96">
                  <w:pPr>
                    <w:spacing w:line="240" w:lineRule="auto"/>
                    <w:rPr>
                      <w:sz w:val="22"/>
                    </w:rPr>
                  </w:pPr>
                  <w:r w:rsidRPr="00A42CA7">
                    <w:rPr>
                      <w:sz w:val="22"/>
                    </w:rPr>
                    <w:t>MP (impôt brut &lt; 3 249 €) : 1 470 € – (45,25% impôt brut)</w:t>
                  </w:r>
                </w:p>
              </w:tc>
            </w:tr>
            <w:tr w:rsidR="00A42CA7" w:rsidRPr="00A42CA7" w14:paraId="23955CE6" w14:textId="77777777" w:rsidTr="00433C96">
              <w:trPr>
                <w:trHeight w:val="693"/>
                <w:jc w:val="center"/>
              </w:trPr>
              <w:tc>
                <w:tcPr>
                  <w:tcW w:w="1478" w:type="pct"/>
                  <w:tcBorders>
                    <w:top w:val="single" w:sz="4" w:space="0" w:color="auto"/>
                    <w:left w:val="single" w:sz="4" w:space="0" w:color="auto"/>
                    <w:bottom w:val="single" w:sz="4" w:space="0" w:color="auto"/>
                    <w:right w:val="single" w:sz="4" w:space="0" w:color="auto"/>
                  </w:tcBorders>
                  <w:vAlign w:val="center"/>
                  <w:hideMark/>
                </w:tcPr>
                <w:p w14:paraId="3659E460" w14:textId="77777777" w:rsidR="00A42CA7" w:rsidRPr="00A42CA7" w:rsidRDefault="00A42CA7" w:rsidP="00433C96">
                  <w:pPr>
                    <w:spacing w:line="240" w:lineRule="auto"/>
                    <w:jc w:val="center"/>
                    <w:rPr>
                      <w:sz w:val="22"/>
                    </w:rPr>
                  </w:pPr>
                  <w:r w:rsidRPr="00A42CA7">
                    <w:rPr>
                      <w:sz w:val="22"/>
                    </w:rPr>
                    <w:t>Déficit BA</w:t>
                  </w:r>
                </w:p>
              </w:tc>
              <w:tc>
                <w:tcPr>
                  <w:tcW w:w="3522" w:type="pct"/>
                  <w:gridSpan w:val="2"/>
                  <w:tcBorders>
                    <w:top w:val="single" w:sz="4" w:space="0" w:color="auto"/>
                    <w:left w:val="single" w:sz="4" w:space="0" w:color="auto"/>
                    <w:bottom w:val="single" w:sz="4" w:space="0" w:color="auto"/>
                    <w:right w:val="single" w:sz="4" w:space="0" w:color="auto"/>
                  </w:tcBorders>
                  <w:vAlign w:val="center"/>
                  <w:hideMark/>
                </w:tcPr>
                <w:p w14:paraId="319B082C" w14:textId="77777777" w:rsidR="00A42CA7" w:rsidRPr="00A42CA7" w:rsidRDefault="00A42CA7" w:rsidP="00433C96">
                  <w:pPr>
                    <w:spacing w:line="240" w:lineRule="auto"/>
                    <w:rPr>
                      <w:sz w:val="22"/>
                    </w:rPr>
                  </w:pPr>
                  <w:r w:rsidRPr="00A42CA7">
                    <w:rPr>
                      <w:sz w:val="22"/>
                    </w:rPr>
                    <w:t>Total des revenus nets d’autres sources que les BA n’autorisant pas l’imputation d’un déficit agricole = 127 677 €</w:t>
                  </w:r>
                </w:p>
              </w:tc>
            </w:tr>
          </w:tbl>
          <w:p w14:paraId="3419A006" w14:textId="77777777" w:rsidR="00A42CA7" w:rsidRPr="00A42CA7" w:rsidRDefault="00A42CA7" w:rsidP="00A42CA7">
            <w:pPr>
              <w:spacing w:line="240" w:lineRule="auto"/>
              <w:jc w:val="left"/>
              <w:rPr>
                <w:b/>
                <w:bCs/>
                <w:sz w:val="22"/>
                <w:u w:val="single"/>
              </w:rPr>
            </w:pPr>
          </w:p>
          <w:tbl>
            <w:tblPr>
              <w:tblStyle w:val="Grilledutableau"/>
              <w:tblW w:w="0" w:type="auto"/>
              <w:jc w:val="center"/>
              <w:tblLayout w:type="fixed"/>
              <w:tblLook w:val="04A0" w:firstRow="1" w:lastRow="0" w:firstColumn="1" w:lastColumn="0" w:noHBand="0" w:noVBand="1"/>
            </w:tblPr>
            <w:tblGrid>
              <w:gridCol w:w="3291"/>
              <w:gridCol w:w="3402"/>
              <w:gridCol w:w="2238"/>
            </w:tblGrid>
            <w:tr w:rsidR="00A42CA7" w:rsidRPr="00A42CA7" w14:paraId="40090717" w14:textId="77777777" w:rsidTr="00433C96">
              <w:trPr>
                <w:trHeight w:val="307"/>
                <w:jc w:val="center"/>
              </w:trPr>
              <w:tc>
                <w:tcPr>
                  <w:tcW w:w="893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14:paraId="2A66AD09" w14:textId="77777777" w:rsidR="00A42CA7" w:rsidRPr="00A42CA7" w:rsidRDefault="00A42CA7" w:rsidP="00433C96">
                  <w:pPr>
                    <w:jc w:val="center"/>
                    <w:rPr>
                      <w:b/>
                      <w:sz w:val="22"/>
                    </w:rPr>
                  </w:pPr>
                  <w:r w:rsidRPr="00A42CA7">
                    <w:rPr>
                      <w:b/>
                      <w:sz w:val="22"/>
                    </w:rPr>
                    <w:t>Retenue à la source des non-résidents (TS…)</w:t>
                  </w:r>
                </w:p>
              </w:tc>
            </w:tr>
            <w:tr w:rsidR="00A42CA7" w:rsidRPr="00A42CA7" w14:paraId="00FE17D7" w14:textId="77777777" w:rsidTr="00433C96">
              <w:trPr>
                <w:trHeight w:val="307"/>
                <w:jc w:val="center"/>
              </w:trPr>
              <w:tc>
                <w:tcPr>
                  <w:tcW w:w="32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61C882" w14:textId="77777777" w:rsidR="00A42CA7" w:rsidRPr="00A42CA7" w:rsidRDefault="00A42CA7" w:rsidP="00433C96">
                  <w:pPr>
                    <w:jc w:val="center"/>
                    <w:rPr>
                      <w:sz w:val="22"/>
                    </w:rPr>
                  </w:pPr>
                  <w:r w:rsidRPr="00A42CA7">
                    <w:rPr>
                      <w:sz w:val="22"/>
                    </w:rPr>
                    <w:t>Rev. Imposables 2024</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560430" w14:textId="77777777" w:rsidR="00A42CA7" w:rsidRPr="00A42CA7" w:rsidRDefault="00A42CA7" w:rsidP="00433C96">
                  <w:pPr>
                    <w:jc w:val="center"/>
                    <w:rPr>
                      <w:sz w:val="22"/>
                    </w:rPr>
                  </w:pPr>
                  <w:r w:rsidRPr="00A42CA7">
                    <w:rPr>
                      <w:sz w:val="22"/>
                    </w:rPr>
                    <w:t>Rev. Imposables 2025</w:t>
                  </w:r>
                </w:p>
              </w:tc>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EB5A91" w14:textId="77777777" w:rsidR="00A42CA7" w:rsidRPr="00A42CA7" w:rsidRDefault="00A42CA7" w:rsidP="00433C96">
                  <w:pPr>
                    <w:jc w:val="center"/>
                    <w:rPr>
                      <w:sz w:val="22"/>
                    </w:rPr>
                  </w:pPr>
                  <w:r w:rsidRPr="00A42CA7">
                    <w:rPr>
                      <w:sz w:val="22"/>
                    </w:rPr>
                    <w:t>Taux</w:t>
                  </w:r>
                </w:p>
              </w:tc>
            </w:tr>
            <w:tr w:rsidR="00A42CA7" w:rsidRPr="00A42CA7" w14:paraId="111819BB" w14:textId="77777777" w:rsidTr="00433C96">
              <w:trPr>
                <w:trHeight w:val="307"/>
                <w:jc w:val="center"/>
              </w:trPr>
              <w:tc>
                <w:tcPr>
                  <w:tcW w:w="32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E53832" w14:textId="77777777" w:rsidR="00A42CA7" w:rsidRPr="00A42CA7" w:rsidRDefault="00A42CA7" w:rsidP="00433C96">
                  <w:pPr>
                    <w:jc w:val="center"/>
                    <w:rPr>
                      <w:iCs/>
                      <w:sz w:val="22"/>
                    </w:rPr>
                  </w:pPr>
                  <w:r w:rsidRPr="00A42CA7">
                    <w:rPr>
                      <w:sz w:val="22"/>
                    </w:rPr>
                    <w:t>Inférieur à 16 820 €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A9ACA2" w14:textId="77777777" w:rsidR="00A42CA7" w:rsidRPr="00A42CA7" w:rsidRDefault="00A42CA7" w:rsidP="00433C96">
                  <w:pPr>
                    <w:jc w:val="center"/>
                    <w:rPr>
                      <w:sz w:val="22"/>
                    </w:rPr>
                  </w:pPr>
                  <w:r w:rsidRPr="00A42CA7">
                    <w:rPr>
                      <w:sz w:val="22"/>
                    </w:rPr>
                    <w:t>Inférieur à 17 122 €</w:t>
                  </w:r>
                </w:p>
              </w:tc>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50995B" w14:textId="77777777" w:rsidR="00A42CA7" w:rsidRPr="00A42CA7" w:rsidRDefault="00A42CA7" w:rsidP="00433C96">
                  <w:pPr>
                    <w:jc w:val="center"/>
                    <w:rPr>
                      <w:sz w:val="22"/>
                    </w:rPr>
                  </w:pPr>
                  <w:r w:rsidRPr="00A42CA7">
                    <w:rPr>
                      <w:sz w:val="22"/>
                    </w:rPr>
                    <w:t>0%</w:t>
                  </w:r>
                </w:p>
              </w:tc>
            </w:tr>
            <w:tr w:rsidR="00A42CA7" w:rsidRPr="00A42CA7" w14:paraId="76F0376D" w14:textId="77777777" w:rsidTr="00433C96">
              <w:trPr>
                <w:trHeight w:val="307"/>
                <w:jc w:val="center"/>
              </w:trPr>
              <w:tc>
                <w:tcPr>
                  <w:tcW w:w="32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9FD8AC" w14:textId="77777777" w:rsidR="00A42CA7" w:rsidRPr="00A42CA7" w:rsidRDefault="00A42CA7" w:rsidP="00433C96">
                  <w:pPr>
                    <w:jc w:val="center"/>
                    <w:rPr>
                      <w:iCs/>
                      <w:sz w:val="22"/>
                    </w:rPr>
                  </w:pPr>
                  <w:r w:rsidRPr="00A42CA7">
                    <w:rPr>
                      <w:sz w:val="22"/>
                    </w:rPr>
                    <w:t>De 16 820 € à 48 790 €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483219" w14:textId="77777777" w:rsidR="00A42CA7" w:rsidRPr="00A42CA7" w:rsidRDefault="00A42CA7" w:rsidP="00433C96">
                  <w:pPr>
                    <w:jc w:val="center"/>
                    <w:rPr>
                      <w:sz w:val="22"/>
                    </w:rPr>
                  </w:pPr>
                  <w:r w:rsidRPr="00A42CA7">
                    <w:rPr>
                      <w:sz w:val="22"/>
                    </w:rPr>
                    <w:t>De 17 122 € à 49 767 €</w:t>
                  </w:r>
                </w:p>
              </w:tc>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B6CD56" w14:textId="77777777" w:rsidR="00A42CA7" w:rsidRPr="00A42CA7" w:rsidRDefault="00A42CA7" w:rsidP="00433C96">
                  <w:pPr>
                    <w:jc w:val="center"/>
                    <w:rPr>
                      <w:sz w:val="22"/>
                    </w:rPr>
                  </w:pPr>
                  <w:r w:rsidRPr="00A42CA7">
                    <w:rPr>
                      <w:sz w:val="22"/>
                    </w:rPr>
                    <w:t>12%</w:t>
                  </w:r>
                </w:p>
              </w:tc>
            </w:tr>
            <w:tr w:rsidR="00A42CA7" w:rsidRPr="00A42CA7" w14:paraId="1CA4ED5C" w14:textId="77777777" w:rsidTr="00433C96">
              <w:trPr>
                <w:trHeight w:val="307"/>
                <w:jc w:val="center"/>
              </w:trPr>
              <w:tc>
                <w:tcPr>
                  <w:tcW w:w="32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8B52F8" w14:textId="77777777" w:rsidR="00A42CA7" w:rsidRPr="00A42CA7" w:rsidRDefault="00A42CA7" w:rsidP="00433C96">
                  <w:pPr>
                    <w:jc w:val="center"/>
                    <w:rPr>
                      <w:iCs/>
                      <w:sz w:val="22"/>
                    </w:rPr>
                  </w:pPr>
                  <w:r w:rsidRPr="00A42CA7">
                    <w:rPr>
                      <w:sz w:val="22"/>
                    </w:rPr>
                    <w:t>Supérieur à 48 790 €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FAF666" w14:textId="77777777" w:rsidR="00A42CA7" w:rsidRPr="00A42CA7" w:rsidRDefault="00A42CA7" w:rsidP="00433C96">
                  <w:pPr>
                    <w:jc w:val="center"/>
                    <w:rPr>
                      <w:sz w:val="22"/>
                    </w:rPr>
                  </w:pPr>
                  <w:r w:rsidRPr="00A42CA7">
                    <w:rPr>
                      <w:sz w:val="22"/>
                    </w:rPr>
                    <w:t>Supérieur à 49 767 €</w:t>
                  </w:r>
                </w:p>
              </w:tc>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CB55BD" w14:textId="77777777" w:rsidR="00A42CA7" w:rsidRPr="00A42CA7" w:rsidRDefault="00A42CA7" w:rsidP="00433C96">
                  <w:pPr>
                    <w:jc w:val="center"/>
                    <w:rPr>
                      <w:sz w:val="22"/>
                    </w:rPr>
                  </w:pPr>
                  <w:r w:rsidRPr="00A42CA7">
                    <w:rPr>
                      <w:sz w:val="22"/>
                    </w:rPr>
                    <w:t>20%</w:t>
                  </w:r>
                </w:p>
              </w:tc>
            </w:tr>
          </w:tbl>
          <w:p w14:paraId="7E3290A6" w14:textId="77777777" w:rsidR="00A42CA7" w:rsidRPr="00A42CA7" w:rsidRDefault="00A42CA7" w:rsidP="00433C96">
            <w:pPr>
              <w:spacing w:line="240" w:lineRule="auto"/>
              <w:jc w:val="center"/>
              <w:rPr>
                <w:b/>
                <w:bCs/>
                <w:sz w:val="22"/>
                <w:u w:val="single"/>
              </w:rPr>
            </w:pPr>
          </w:p>
          <w:tbl>
            <w:tblPr>
              <w:tblStyle w:val="Grilledutableau"/>
              <w:tblW w:w="9271" w:type="dxa"/>
              <w:jc w:val="center"/>
              <w:tblLayout w:type="fixed"/>
              <w:tblLook w:val="04A0" w:firstRow="1" w:lastRow="0" w:firstColumn="1" w:lastColumn="0" w:noHBand="0" w:noVBand="1"/>
            </w:tblPr>
            <w:tblGrid>
              <w:gridCol w:w="3137"/>
              <w:gridCol w:w="3158"/>
              <w:gridCol w:w="2976"/>
            </w:tblGrid>
            <w:tr w:rsidR="00A42CA7" w:rsidRPr="00A42CA7" w14:paraId="42ECA13F" w14:textId="77777777" w:rsidTr="00433C96">
              <w:trPr>
                <w:trHeight w:val="283"/>
                <w:jc w:val="center"/>
              </w:trPr>
              <w:tc>
                <w:tcPr>
                  <w:tcW w:w="31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90181C" w14:textId="6E11836D" w:rsidR="00A42CA7" w:rsidRPr="00A42CA7" w:rsidRDefault="00A42CA7" w:rsidP="00433C96">
                  <w:pPr>
                    <w:jc w:val="center"/>
                    <w:rPr>
                      <w:b/>
                      <w:sz w:val="22"/>
                    </w:rPr>
                  </w:pPr>
                  <w:r w:rsidRPr="00433C96">
                    <w:rPr>
                      <w:noProof/>
                      <w:sz w:val="22"/>
                    </w:rPr>
                    <mc:AlternateContent>
                      <mc:Choice Requires="wps">
                        <w:drawing>
                          <wp:anchor distT="0" distB="0" distL="114300" distR="114300" simplePos="0" relativeHeight="251659264" behindDoc="0" locked="0" layoutInCell="1" allowOverlap="1" wp14:anchorId="7F229E8D" wp14:editId="3E7FE995">
                            <wp:simplePos x="0" y="0"/>
                            <wp:positionH relativeFrom="column">
                              <wp:posOffset>5254625</wp:posOffset>
                            </wp:positionH>
                            <wp:positionV relativeFrom="paragraph">
                              <wp:posOffset>914400</wp:posOffset>
                            </wp:positionV>
                            <wp:extent cx="619125" cy="373380"/>
                            <wp:effectExtent l="38100" t="38100" r="123825" b="121920"/>
                            <wp:wrapNone/>
                            <wp:docPr id="374289012" name="Ellipse 14">
                              <a:hlinkClick xmlns:a="http://schemas.openxmlformats.org/drawingml/2006/main" r:id="rId14"/>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 cy="373380"/>
                                    </a:xfrm>
                                    <a:prstGeom prst="ellipse">
                                      <a:avLst/>
                                    </a:prstGeom>
                                    <a:solidFill>
                                      <a:schemeClr val="bg1">
                                        <a:lumMod val="95000"/>
                                      </a:schemeClr>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1D4897C" w14:textId="77777777" w:rsidR="00A42CA7" w:rsidRDefault="00A42CA7" w:rsidP="00A42CA7">
                                        <w:pPr>
                                          <w:jc w:val="center"/>
                                          <w:rPr>
                                            <w:color w:val="000000" w:themeColor="text1"/>
                                            <w:sz w:val="16"/>
                                            <w:szCs w:val="16"/>
                                          </w:rPr>
                                        </w:pPr>
                                        <w:r>
                                          <w:rPr>
                                            <w:color w:val="000000" w:themeColor="text1"/>
                                            <w:sz w:val="16"/>
                                            <w:szCs w:val="16"/>
                                          </w:rPr>
                                          <w:t>Retour sommaire</w:t>
                                        </w:r>
                                      </w:p>
                                    </w:txbxContent>
                                  </wps:txbx>
                                  <wps:bodyPr rot="0" spcFirstLastPara="0" vertOverflow="clip" horzOverflow="clip"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229E8D" id="Ellipse 14" o:spid="_x0000_s1026" href="#DEBUT" style="position:absolute;left:0;text-align:left;margin-left:413.75pt;margin-top:1in;width:48.75pt;height:2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" o:button="t" fillcolor="#f2f2f2 [3052]" strokecolor="black [3213]" strokeweight="1pt">
                            <v:fill o:detectmouseclick="t"/>
                            <v:stroke joinstyle="miter"/>
                            <v:shadow on="t" color="black" opacity="26214f" origin="-.5,-.5" offset=".74836mm,.74836mm"/>
                            <v:path arrowok="t"/>
                            <v:textbox inset="0,0,0,0">
                              <w:txbxContent>
                                <w:p w14:paraId="31D4897C" w14:textId="77777777" w:rsidR="00A42CA7" w:rsidRDefault="00A42CA7" w:rsidP="00A42CA7">
                                  <w:pPr>
                                    <w:jc w:val="center"/>
                                    <w:rPr>
                                      <w:color w:val="000000" w:themeColor="text1"/>
                                      <w:sz w:val="16"/>
                                      <w:szCs w:val="16"/>
                                    </w:rPr>
                                  </w:pPr>
                                  <w:r>
                                    <w:rPr>
                                      <w:color w:val="000000" w:themeColor="text1"/>
                                      <w:sz w:val="16"/>
                                      <w:szCs w:val="16"/>
                                    </w:rPr>
                                    <w:t>Retour sommaire</w:t>
                                  </w:r>
                                </w:p>
                              </w:txbxContent>
                            </v:textbox>
                          </v:oval>
                        </w:pict>
                      </mc:Fallback>
                    </mc:AlternateContent>
                  </w:r>
                </w:p>
              </w:tc>
              <w:tc>
                <w:tcPr>
                  <w:tcW w:w="31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F9EAF9" w14:textId="77777777" w:rsidR="00A42CA7" w:rsidRPr="00A42CA7" w:rsidRDefault="00A42CA7" w:rsidP="00433C96">
                  <w:pPr>
                    <w:jc w:val="center"/>
                    <w:rPr>
                      <w:bCs/>
                      <w:sz w:val="22"/>
                    </w:rPr>
                  </w:pPr>
                  <w:r w:rsidRPr="00A42CA7">
                    <w:rPr>
                      <w:bCs/>
                      <w:iCs/>
                      <w:sz w:val="22"/>
                    </w:rPr>
                    <w:t>01/01/2024 puis 01/11/2024</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B83596" w14:textId="77777777" w:rsidR="00A42CA7" w:rsidRPr="00A42CA7" w:rsidRDefault="00A42CA7" w:rsidP="00433C96">
                  <w:pPr>
                    <w:jc w:val="center"/>
                    <w:rPr>
                      <w:bCs/>
                      <w:sz w:val="22"/>
                    </w:rPr>
                  </w:pPr>
                  <w:r w:rsidRPr="00A42CA7">
                    <w:rPr>
                      <w:bCs/>
                      <w:sz w:val="22"/>
                    </w:rPr>
                    <w:t>au 01/01/2025</w:t>
                  </w:r>
                </w:p>
              </w:tc>
            </w:tr>
            <w:tr w:rsidR="00A42CA7" w:rsidRPr="00A42CA7" w14:paraId="2997DD8F" w14:textId="77777777" w:rsidTr="00433C96">
              <w:trPr>
                <w:trHeight w:val="611"/>
                <w:jc w:val="center"/>
              </w:trPr>
              <w:tc>
                <w:tcPr>
                  <w:tcW w:w="31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F2BB24" w14:textId="77777777" w:rsidR="00A42CA7" w:rsidRPr="00A42CA7" w:rsidRDefault="00A42CA7" w:rsidP="00433C96">
                  <w:pPr>
                    <w:jc w:val="center"/>
                    <w:rPr>
                      <w:b/>
                      <w:sz w:val="22"/>
                    </w:rPr>
                  </w:pPr>
                  <w:r w:rsidRPr="00A42CA7">
                    <w:rPr>
                      <w:b/>
                      <w:sz w:val="22"/>
                    </w:rPr>
                    <w:t xml:space="preserve">SMIC Brut </w:t>
                  </w:r>
                  <w:r w:rsidRPr="00A42CA7">
                    <w:rPr>
                      <w:sz w:val="22"/>
                    </w:rPr>
                    <w:t>(H / mensuel / annuel)</w:t>
                  </w:r>
                </w:p>
              </w:tc>
              <w:tc>
                <w:tcPr>
                  <w:tcW w:w="31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0211F9" w14:textId="77777777" w:rsidR="00A42CA7" w:rsidRPr="00A42CA7" w:rsidRDefault="00A42CA7" w:rsidP="00433C96">
                  <w:pPr>
                    <w:jc w:val="center"/>
                    <w:rPr>
                      <w:bCs/>
                      <w:iCs/>
                      <w:sz w:val="22"/>
                    </w:rPr>
                  </w:pPr>
                  <w:r w:rsidRPr="00A42CA7">
                    <w:rPr>
                      <w:bCs/>
                      <w:iCs/>
                      <w:sz w:val="22"/>
                    </w:rPr>
                    <w:t>11,65 / 1 766,92 / 21 203 €</w:t>
                  </w:r>
                </w:p>
                <w:p w14:paraId="73783247" w14:textId="77777777" w:rsidR="00A42CA7" w:rsidRPr="00A42CA7" w:rsidRDefault="00A42CA7" w:rsidP="00433C96">
                  <w:pPr>
                    <w:jc w:val="center"/>
                    <w:rPr>
                      <w:bCs/>
                      <w:sz w:val="22"/>
                    </w:rPr>
                  </w:pPr>
                  <w:r w:rsidRPr="00A42CA7">
                    <w:rPr>
                      <w:bCs/>
                      <w:iCs/>
                      <w:sz w:val="22"/>
                    </w:rPr>
                    <w:t>11,88 / 1 801,80 / 21 622 €</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2DD02B" w14:textId="77777777" w:rsidR="00A42CA7" w:rsidRPr="00A42CA7" w:rsidRDefault="00A42CA7" w:rsidP="00433C96">
                  <w:pPr>
                    <w:jc w:val="center"/>
                    <w:rPr>
                      <w:bCs/>
                      <w:sz w:val="22"/>
                    </w:rPr>
                  </w:pPr>
                  <w:r w:rsidRPr="00A42CA7">
                    <w:rPr>
                      <w:bCs/>
                      <w:iCs/>
                      <w:sz w:val="22"/>
                    </w:rPr>
                    <w:t>11,88 / 1 801,80 / 21 622 €</w:t>
                  </w:r>
                </w:p>
              </w:tc>
            </w:tr>
            <w:tr w:rsidR="00A42CA7" w:rsidRPr="00A42CA7" w14:paraId="21F2825E" w14:textId="77777777" w:rsidTr="00433C96">
              <w:trPr>
                <w:trHeight w:val="472"/>
                <w:jc w:val="center"/>
              </w:trPr>
              <w:tc>
                <w:tcPr>
                  <w:tcW w:w="31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1B8BEB" w14:textId="77777777" w:rsidR="00A42CA7" w:rsidRPr="00A42CA7" w:rsidRDefault="00A42CA7" w:rsidP="00433C96">
                  <w:pPr>
                    <w:jc w:val="center"/>
                    <w:rPr>
                      <w:b/>
                      <w:sz w:val="22"/>
                    </w:rPr>
                  </w:pPr>
                  <w:r w:rsidRPr="00A42CA7">
                    <w:rPr>
                      <w:b/>
                      <w:sz w:val="22"/>
                    </w:rPr>
                    <w:t>PASS (mensuel / annuel)</w:t>
                  </w:r>
                </w:p>
              </w:tc>
              <w:tc>
                <w:tcPr>
                  <w:tcW w:w="31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D38F76" w14:textId="77777777" w:rsidR="00A42CA7" w:rsidRPr="00A42CA7" w:rsidRDefault="00A42CA7" w:rsidP="00433C96">
                  <w:pPr>
                    <w:jc w:val="center"/>
                    <w:rPr>
                      <w:bCs/>
                      <w:sz w:val="22"/>
                    </w:rPr>
                  </w:pPr>
                  <w:r w:rsidRPr="00A42CA7">
                    <w:rPr>
                      <w:bCs/>
                      <w:iCs/>
                      <w:sz w:val="22"/>
                    </w:rPr>
                    <w:t>3 864 € / 46 368 €</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337A96" w14:textId="59695DB4" w:rsidR="00A42CA7" w:rsidRPr="00A42CA7" w:rsidRDefault="00A42CA7" w:rsidP="00433C96">
                  <w:pPr>
                    <w:jc w:val="center"/>
                    <w:rPr>
                      <w:bCs/>
                      <w:sz w:val="22"/>
                    </w:rPr>
                  </w:pPr>
                  <w:r w:rsidRPr="00A42CA7">
                    <w:rPr>
                      <w:bCs/>
                      <w:sz w:val="22"/>
                    </w:rPr>
                    <w:t>3 925 € / 47 100 €</w:t>
                  </w:r>
                </w:p>
              </w:tc>
            </w:tr>
          </w:tbl>
          <w:p w14:paraId="6F801AA0" w14:textId="77777777" w:rsidR="00A42CA7" w:rsidRPr="00A42CA7" w:rsidRDefault="00A42CA7" w:rsidP="00A42CA7">
            <w:pPr>
              <w:spacing w:line="240" w:lineRule="auto"/>
              <w:jc w:val="left"/>
              <w:rPr>
                <w:b/>
                <w:bCs/>
                <w:sz w:val="10"/>
                <w:szCs w:val="10"/>
                <w:u w:val="single"/>
              </w:rPr>
            </w:pPr>
          </w:p>
          <w:p w14:paraId="208A5B19" w14:textId="77777777" w:rsidR="00A42CA7" w:rsidRPr="00A42CA7" w:rsidRDefault="00A42CA7" w:rsidP="00A42CA7">
            <w:pPr>
              <w:spacing w:line="240" w:lineRule="auto"/>
              <w:jc w:val="left"/>
              <w:rPr>
                <w:b/>
                <w:bCs/>
                <w:sz w:val="10"/>
                <w:szCs w:val="10"/>
                <w:u w:val="single"/>
              </w:rPr>
            </w:pPr>
          </w:p>
        </w:tc>
      </w:tr>
    </w:tbl>
    <w:p w14:paraId="77E95BD8" w14:textId="77777777" w:rsidR="00A42CA7" w:rsidRPr="00A42CA7" w:rsidRDefault="00A42CA7" w:rsidP="00A42CA7">
      <w:pPr>
        <w:spacing w:line="240" w:lineRule="auto"/>
        <w:jc w:val="left"/>
        <w:rPr>
          <w:sz w:val="2"/>
          <w:szCs w:val="2"/>
        </w:rPr>
      </w:pPr>
      <w:r w:rsidRPr="00A42CA7">
        <w:rPr>
          <w:sz w:val="2"/>
          <w:szCs w:val="2"/>
        </w:rPr>
        <w:br w:type="page"/>
      </w:r>
    </w:p>
    <w:tbl>
      <w:tblPr>
        <w:tblW w:w="1080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9442"/>
      </w:tblGrid>
      <w:tr w:rsidR="00A42CA7" w:rsidRPr="00A42CA7" w14:paraId="233B4291" w14:textId="77777777" w:rsidTr="00B20C99">
        <w:trPr>
          <w:trHeight w:val="70"/>
        </w:trPr>
        <w:tc>
          <w:tcPr>
            <w:tcW w:w="13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75547F" w14:textId="77777777" w:rsidR="00A42CA7" w:rsidRPr="00A42CA7" w:rsidRDefault="00A42CA7" w:rsidP="00B20C99">
            <w:pPr>
              <w:spacing w:line="240" w:lineRule="auto"/>
              <w:jc w:val="center"/>
              <w:rPr>
                <w:b/>
                <w:i/>
                <w:iCs/>
              </w:rPr>
            </w:pPr>
            <w:r w:rsidRPr="00A42CA7">
              <w:rPr>
                <w:b/>
                <w:i/>
                <w:iCs/>
              </w:rPr>
              <w:lastRenderedPageBreak/>
              <w:t>Contribution différentielle sur les hauts revenus (CDHR)</w:t>
            </w:r>
          </w:p>
        </w:tc>
        <w:tc>
          <w:tcPr>
            <w:tcW w:w="9442" w:type="dxa"/>
            <w:tcBorders>
              <w:top w:val="single" w:sz="4" w:space="0" w:color="auto"/>
              <w:left w:val="single" w:sz="4" w:space="0" w:color="auto"/>
              <w:bottom w:val="single" w:sz="4" w:space="0" w:color="auto"/>
              <w:right w:val="single" w:sz="4" w:space="0" w:color="auto"/>
            </w:tcBorders>
          </w:tcPr>
          <w:p w14:paraId="14EB8988" w14:textId="77777777" w:rsidR="00A42CA7" w:rsidRPr="00A42CA7" w:rsidRDefault="00A42CA7" w:rsidP="00A42CA7">
            <w:pPr>
              <w:spacing w:line="240" w:lineRule="auto"/>
              <w:jc w:val="left"/>
              <w:rPr>
                <w:bCs/>
              </w:rPr>
            </w:pPr>
          </w:p>
          <w:p w14:paraId="2B07E5B9" w14:textId="77777777" w:rsidR="00A42CA7" w:rsidRPr="00A42CA7" w:rsidRDefault="00A42CA7" w:rsidP="00B20C99">
            <w:pPr>
              <w:spacing w:line="240" w:lineRule="auto"/>
              <w:rPr>
                <w:b/>
                <w:u w:val="single"/>
              </w:rPr>
            </w:pPr>
            <w:r w:rsidRPr="00A42CA7">
              <w:rPr>
                <w:b/>
                <w:u w:val="single"/>
              </w:rPr>
              <w:t>Contribution différentielle sur les hauts revenus (CDHR)</w:t>
            </w:r>
          </w:p>
          <w:p w14:paraId="6904B056" w14:textId="77777777" w:rsidR="00A42CA7" w:rsidRPr="00A42CA7" w:rsidRDefault="00A42CA7" w:rsidP="00B20C99">
            <w:pPr>
              <w:spacing w:line="240" w:lineRule="auto"/>
              <w:rPr>
                <w:bCs/>
              </w:rPr>
            </w:pPr>
          </w:p>
          <w:p w14:paraId="73EDD40B" w14:textId="77777777" w:rsidR="00A42CA7" w:rsidRPr="00A42CA7" w:rsidRDefault="00A42CA7" w:rsidP="00B20C99">
            <w:pPr>
              <w:spacing w:line="240" w:lineRule="auto"/>
              <w:rPr>
                <w:bCs/>
              </w:rPr>
            </w:pPr>
            <w:r w:rsidRPr="00A42CA7">
              <w:rPr>
                <w:bCs/>
              </w:rPr>
              <w:t xml:space="preserve">La loi de finances pour 2025 instaure, pour les revenus 2025, une nouvelle contribution basée sur un </w:t>
            </w:r>
            <w:r w:rsidRPr="00A42CA7">
              <w:rPr>
                <w:b/>
              </w:rPr>
              <w:t xml:space="preserve">revenu fiscal de référence </w:t>
            </w:r>
            <w:r w:rsidRPr="00A42CA7">
              <w:rPr>
                <w:bCs/>
              </w:rPr>
              <w:t xml:space="preserve">(corrigé) des contribuables aux </w:t>
            </w:r>
            <w:r w:rsidRPr="00A42CA7">
              <w:rPr>
                <w:b/>
              </w:rPr>
              <w:t>revenus les plus élevés</w:t>
            </w:r>
            <w:r w:rsidRPr="00A42CA7">
              <w:rPr>
                <w:bCs/>
              </w:rPr>
              <w:t xml:space="preserve">, afin d’assurer une </w:t>
            </w:r>
            <w:r w:rsidRPr="00A42CA7">
              <w:rPr>
                <w:b/>
              </w:rPr>
              <w:t>imposition minimale de 20%</w:t>
            </w:r>
            <w:r w:rsidRPr="00A42CA7">
              <w:rPr>
                <w:bCs/>
              </w:rPr>
              <w:t>.</w:t>
            </w:r>
          </w:p>
          <w:p w14:paraId="05EC8D0E" w14:textId="77777777" w:rsidR="00A42CA7" w:rsidRPr="00A42CA7" w:rsidRDefault="00A42CA7" w:rsidP="00B20C99">
            <w:pPr>
              <w:spacing w:line="240" w:lineRule="auto"/>
              <w:rPr>
                <w:bCs/>
              </w:rPr>
            </w:pPr>
          </w:p>
          <w:p w14:paraId="5EEC0AA8" w14:textId="77777777" w:rsidR="00A42CA7" w:rsidRPr="00A42CA7" w:rsidRDefault="00A42CA7" w:rsidP="00B20C99">
            <w:pPr>
              <w:spacing w:line="240" w:lineRule="auto"/>
              <w:rPr>
                <w:bCs/>
                <w:i/>
                <w:iCs/>
              </w:rPr>
            </w:pPr>
            <w:r w:rsidRPr="00A42CA7">
              <w:rPr>
                <w:bCs/>
                <w:i/>
                <w:iCs/>
              </w:rPr>
              <w:t>Cette contribution s’approche de la philosophie retenue pour l’instauration d’un impôt national complémentaire assurant une imposition minimale de 15% des groupes d’entreprises multinationales au sein de l’UE (voir résumé de la loi de finances pour 2024).</w:t>
            </w:r>
          </w:p>
          <w:p w14:paraId="2061AE31" w14:textId="77777777" w:rsidR="00A42CA7" w:rsidRPr="00A42CA7" w:rsidRDefault="00A42CA7" w:rsidP="00B20C99">
            <w:pPr>
              <w:spacing w:line="240" w:lineRule="auto"/>
              <w:rPr>
                <w:bCs/>
              </w:rPr>
            </w:pPr>
          </w:p>
          <w:p w14:paraId="5E645B80" w14:textId="77777777" w:rsidR="00A42CA7" w:rsidRPr="00A42CA7" w:rsidRDefault="00A42CA7" w:rsidP="00B20C99">
            <w:pPr>
              <w:numPr>
                <w:ilvl w:val="0"/>
                <w:numId w:val="20"/>
              </w:numPr>
              <w:spacing w:line="240" w:lineRule="auto"/>
              <w:rPr>
                <w:b/>
              </w:rPr>
            </w:pPr>
            <w:r w:rsidRPr="00A42CA7">
              <w:rPr>
                <w:b/>
              </w:rPr>
              <w:t>Contribuables concernés :</w:t>
            </w:r>
          </w:p>
          <w:p w14:paraId="4B172533" w14:textId="77777777" w:rsidR="00A42CA7" w:rsidRPr="00A42CA7" w:rsidRDefault="00A42CA7" w:rsidP="00B20C99">
            <w:pPr>
              <w:spacing w:line="240" w:lineRule="auto"/>
              <w:rPr>
                <w:b/>
              </w:rPr>
            </w:pPr>
          </w:p>
          <w:p w14:paraId="51FAFE5A" w14:textId="77777777" w:rsidR="00A42CA7" w:rsidRPr="00A42CA7" w:rsidRDefault="00A42CA7" w:rsidP="00B20C99">
            <w:pPr>
              <w:numPr>
                <w:ilvl w:val="0"/>
                <w:numId w:val="21"/>
              </w:numPr>
              <w:spacing w:line="240" w:lineRule="auto"/>
              <w:rPr>
                <w:bCs/>
              </w:rPr>
            </w:pPr>
            <w:r w:rsidRPr="00A42CA7">
              <w:rPr>
                <w:bCs/>
              </w:rPr>
              <w:t>domiciliation en France ;</w:t>
            </w:r>
          </w:p>
          <w:p w14:paraId="24FCA0F5" w14:textId="77777777" w:rsidR="00A42CA7" w:rsidRPr="00A42CA7" w:rsidRDefault="00A42CA7" w:rsidP="00B20C99">
            <w:pPr>
              <w:spacing w:line="240" w:lineRule="auto"/>
              <w:rPr>
                <w:bCs/>
              </w:rPr>
            </w:pPr>
          </w:p>
          <w:p w14:paraId="0AB79DD1" w14:textId="77777777" w:rsidR="00A42CA7" w:rsidRPr="00A42CA7" w:rsidRDefault="00A42CA7" w:rsidP="00B20C99">
            <w:pPr>
              <w:numPr>
                <w:ilvl w:val="0"/>
                <w:numId w:val="21"/>
              </w:numPr>
              <w:spacing w:line="240" w:lineRule="auto"/>
              <w:rPr>
                <w:bCs/>
              </w:rPr>
            </w:pPr>
            <w:r w:rsidRPr="00A42CA7">
              <w:rPr>
                <w:bCs/>
              </w:rPr>
              <w:t>revenu fiscal de référence (RFR) &gt; 250 000 € (CVD) / &gt; 500 000 € (MP) ;</w:t>
            </w:r>
          </w:p>
          <w:p w14:paraId="412E00FD" w14:textId="77777777" w:rsidR="00A42CA7" w:rsidRPr="00A42CA7" w:rsidRDefault="00A42CA7" w:rsidP="00B20C99">
            <w:pPr>
              <w:spacing w:line="240" w:lineRule="auto"/>
              <w:rPr>
                <w:bCs/>
              </w:rPr>
            </w:pPr>
          </w:p>
          <w:p w14:paraId="1CE8CE3E" w14:textId="77777777" w:rsidR="00A42CA7" w:rsidRPr="00A42CA7" w:rsidRDefault="00A42CA7" w:rsidP="00B20C99">
            <w:pPr>
              <w:numPr>
                <w:ilvl w:val="0"/>
                <w:numId w:val="21"/>
              </w:numPr>
              <w:spacing w:line="240" w:lineRule="auto"/>
              <w:rPr>
                <w:bCs/>
              </w:rPr>
            </w:pPr>
            <w:r w:rsidRPr="00A42CA7">
              <w:rPr>
                <w:bCs/>
              </w:rPr>
              <w:t>taux moyen d’imposition (IR + contribution exceptionnelle sur les hauts revenus (CEHR) + certains prélèvements libératoires) / RFR &lt; 20%.</w:t>
            </w:r>
          </w:p>
          <w:p w14:paraId="2A3CDC51" w14:textId="77777777" w:rsidR="00A42CA7" w:rsidRPr="00A42CA7" w:rsidRDefault="00A42CA7" w:rsidP="00B20C99">
            <w:pPr>
              <w:spacing w:line="240" w:lineRule="auto"/>
              <w:rPr>
                <w:bCs/>
              </w:rPr>
            </w:pPr>
          </w:p>
          <w:p w14:paraId="7BDCE750" w14:textId="77777777" w:rsidR="00A42CA7" w:rsidRPr="00A42CA7" w:rsidRDefault="00A42CA7" w:rsidP="00B20C99">
            <w:pPr>
              <w:spacing w:line="240" w:lineRule="auto"/>
              <w:rPr>
                <w:bCs/>
              </w:rPr>
            </w:pPr>
          </w:p>
          <w:p w14:paraId="64A2EABC" w14:textId="77777777" w:rsidR="00A42CA7" w:rsidRPr="00A42CA7" w:rsidRDefault="00A42CA7" w:rsidP="00B20C99">
            <w:pPr>
              <w:numPr>
                <w:ilvl w:val="0"/>
                <w:numId w:val="20"/>
              </w:numPr>
              <w:spacing w:line="240" w:lineRule="auto"/>
              <w:rPr>
                <w:b/>
              </w:rPr>
            </w:pPr>
            <w:r w:rsidRPr="00A42CA7">
              <w:rPr>
                <w:b/>
              </w:rPr>
              <w:t>Liquidation (simplifiée) de la CDHR :</w:t>
            </w:r>
          </w:p>
          <w:p w14:paraId="5914261B" w14:textId="77777777" w:rsidR="00A42CA7" w:rsidRPr="00A42CA7" w:rsidRDefault="00A42CA7" w:rsidP="00B20C99">
            <w:pPr>
              <w:spacing w:line="240" w:lineRule="auto"/>
              <w:rPr>
                <w:b/>
              </w:rPr>
            </w:pPr>
          </w:p>
          <w:p w14:paraId="7506C4A7" w14:textId="77777777" w:rsidR="00A42CA7" w:rsidRPr="00A42CA7" w:rsidRDefault="00A42CA7" w:rsidP="00B20C99">
            <w:pPr>
              <w:numPr>
                <w:ilvl w:val="0"/>
                <w:numId w:val="21"/>
              </w:numPr>
              <w:spacing w:line="240" w:lineRule="auto"/>
              <w:rPr>
                <w:bCs/>
              </w:rPr>
            </w:pPr>
            <w:r w:rsidRPr="00A42CA7">
              <w:rPr>
                <w:bCs/>
              </w:rPr>
              <w:t>CDHR = RFR x 20% - (IR + CEHR + certains prélèvements libératoires + 1 500 € par personne rattachée au foyer fiscal + 12 500 € pour les MP) ;</w:t>
            </w:r>
          </w:p>
          <w:p w14:paraId="1FB33B9F" w14:textId="77777777" w:rsidR="00A42CA7" w:rsidRPr="00A42CA7" w:rsidRDefault="00A42CA7" w:rsidP="00B20C99">
            <w:pPr>
              <w:spacing w:line="240" w:lineRule="auto"/>
              <w:rPr>
                <w:bCs/>
              </w:rPr>
            </w:pPr>
          </w:p>
          <w:p w14:paraId="3A030D77" w14:textId="77777777" w:rsidR="00A42CA7" w:rsidRPr="00A42CA7" w:rsidRDefault="00A42CA7" w:rsidP="00B20C99">
            <w:pPr>
              <w:numPr>
                <w:ilvl w:val="0"/>
                <w:numId w:val="21"/>
              </w:numPr>
              <w:spacing w:line="240" w:lineRule="auto"/>
              <w:rPr>
                <w:bCs/>
              </w:rPr>
            </w:pPr>
            <w:r w:rsidRPr="00A42CA7">
              <w:rPr>
                <w:bCs/>
              </w:rPr>
              <w:t>RFR calculé sur la base des revenus de l’année précédente en prenant en compte les revenus imposables, certains revenus exonérés, et en éliminant certains abattements et charges déductibles ;</w:t>
            </w:r>
          </w:p>
          <w:p w14:paraId="22286BBE" w14:textId="77777777" w:rsidR="00A42CA7" w:rsidRPr="00A42CA7" w:rsidRDefault="00A42CA7" w:rsidP="00B20C99">
            <w:pPr>
              <w:spacing w:line="240" w:lineRule="auto"/>
              <w:rPr>
                <w:bCs/>
              </w:rPr>
            </w:pPr>
          </w:p>
          <w:p w14:paraId="03BA25E1" w14:textId="77777777" w:rsidR="00A42CA7" w:rsidRPr="00A42CA7" w:rsidRDefault="00A42CA7" w:rsidP="00B20C99">
            <w:pPr>
              <w:numPr>
                <w:ilvl w:val="0"/>
                <w:numId w:val="21"/>
              </w:numPr>
              <w:spacing w:line="240" w:lineRule="auto"/>
              <w:rPr>
                <w:bCs/>
              </w:rPr>
            </w:pPr>
            <w:r w:rsidRPr="00A42CA7">
              <w:rPr>
                <w:bCs/>
              </w:rPr>
              <w:t>IR retraités de nombreux réductions et crédits d’impôt ;</w:t>
            </w:r>
          </w:p>
          <w:p w14:paraId="174BD1A7" w14:textId="77777777" w:rsidR="00A42CA7" w:rsidRPr="00A42CA7" w:rsidRDefault="00A42CA7" w:rsidP="00B20C99">
            <w:pPr>
              <w:spacing w:line="240" w:lineRule="auto"/>
              <w:rPr>
                <w:bCs/>
              </w:rPr>
            </w:pPr>
          </w:p>
          <w:p w14:paraId="52B6ADE3" w14:textId="77777777" w:rsidR="00A42CA7" w:rsidRPr="00A42CA7" w:rsidRDefault="00A42CA7" w:rsidP="00B20C99">
            <w:pPr>
              <w:numPr>
                <w:ilvl w:val="0"/>
                <w:numId w:val="21"/>
              </w:numPr>
              <w:spacing w:line="240" w:lineRule="auto"/>
              <w:rPr>
                <w:bCs/>
              </w:rPr>
            </w:pPr>
            <w:r w:rsidRPr="00A42CA7">
              <w:rPr>
                <w:bCs/>
              </w:rPr>
              <w:t>Mise en place d’un système de décote pour les RFR &lt; 330 000 € (CVD) ou &lt; 660 000 € (MP) applicable avant imputation de l’IR […] correspondant à 82,5% de l’écart entre le RFR retenu et le seuil d’imposition (soit par exemple pour un RFR de 320 000 € (CVD), une décote de (320 000 x 20%) – (320 000 – 250 000) x 82,5% = 6 250 €, donnant ainsi un RFR x 20% après décote de 320 000 x 20% - 6 250 = 57 750 €).</w:t>
            </w:r>
          </w:p>
          <w:p w14:paraId="4539BC79" w14:textId="77777777" w:rsidR="00A42CA7" w:rsidRPr="00A42CA7" w:rsidRDefault="00A42CA7" w:rsidP="00B20C99">
            <w:pPr>
              <w:spacing w:line="240" w:lineRule="auto"/>
              <w:rPr>
                <w:bCs/>
              </w:rPr>
            </w:pPr>
          </w:p>
          <w:p w14:paraId="53005415" w14:textId="77777777" w:rsidR="00A42CA7" w:rsidRPr="00A42CA7" w:rsidRDefault="00A42CA7" w:rsidP="00B20C99">
            <w:pPr>
              <w:spacing w:line="240" w:lineRule="auto"/>
              <w:rPr>
                <w:bCs/>
              </w:rPr>
            </w:pPr>
          </w:p>
          <w:p w14:paraId="4EA69992" w14:textId="77777777" w:rsidR="00A42CA7" w:rsidRPr="00A42CA7" w:rsidRDefault="00A42CA7" w:rsidP="00B20C99">
            <w:pPr>
              <w:numPr>
                <w:ilvl w:val="0"/>
                <w:numId w:val="20"/>
              </w:numPr>
              <w:spacing w:line="240" w:lineRule="auto"/>
              <w:rPr>
                <w:b/>
              </w:rPr>
            </w:pPr>
            <w:r w:rsidRPr="00A42CA7">
              <w:rPr>
                <w:b/>
              </w:rPr>
              <w:t>Recouvrement de la CDHR :</w:t>
            </w:r>
          </w:p>
          <w:p w14:paraId="685E5E1D" w14:textId="77777777" w:rsidR="00A42CA7" w:rsidRPr="00A42CA7" w:rsidRDefault="00A42CA7" w:rsidP="00B20C99">
            <w:pPr>
              <w:spacing w:line="240" w:lineRule="auto"/>
              <w:rPr>
                <w:b/>
              </w:rPr>
            </w:pPr>
          </w:p>
          <w:p w14:paraId="074D63D8" w14:textId="77777777" w:rsidR="00A42CA7" w:rsidRPr="00A42CA7" w:rsidRDefault="00A42CA7" w:rsidP="00B20C99">
            <w:pPr>
              <w:numPr>
                <w:ilvl w:val="0"/>
                <w:numId w:val="21"/>
              </w:numPr>
              <w:spacing w:line="240" w:lineRule="auto"/>
              <w:rPr>
                <w:bCs/>
              </w:rPr>
            </w:pPr>
            <w:r w:rsidRPr="00A42CA7">
              <w:rPr>
                <w:bCs/>
              </w:rPr>
              <w:t>Acompte au plus tard le 15/12/2025 : 95% de la CDHR estimée par le contribuable, basée sur les revenus au 01/01/2025 + revenus estimés jusqu’au 31/12/2025. Cet acompte est imputable sur la CDHR réelle déterminée selon les mêmes mécanismes que l’IR.</w:t>
            </w:r>
          </w:p>
          <w:p w14:paraId="3EFBF8C3" w14:textId="77777777" w:rsidR="00A42CA7" w:rsidRPr="00A42CA7" w:rsidRDefault="00A42CA7" w:rsidP="00B20C99">
            <w:pPr>
              <w:spacing w:line="240" w:lineRule="auto"/>
              <w:rPr>
                <w:bCs/>
              </w:rPr>
            </w:pPr>
          </w:p>
          <w:p w14:paraId="63831985" w14:textId="77777777" w:rsidR="00A42CA7" w:rsidRPr="00A42CA7" w:rsidRDefault="00A42CA7" w:rsidP="00B20C99">
            <w:pPr>
              <w:numPr>
                <w:ilvl w:val="0"/>
                <w:numId w:val="21"/>
              </w:numPr>
              <w:spacing w:line="240" w:lineRule="auto"/>
              <w:rPr>
                <w:bCs/>
              </w:rPr>
            </w:pPr>
            <w:r w:rsidRPr="00A42CA7">
              <w:rPr>
                <w:bCs/>
              </w:rPr>
              <w:t>Une majoration de 20% est prévue en cas de défaut ou de retard de paiement (sur 95% de la CDHR) ou en cas d’acompte insuffisant d’au moins 20% (sur l’insuffisance constatée).</w:t>
            </w:r>
          </w:p>
          <w:p w14:paraId="6728CC87" w14:textId="77777777" w:rsidR="00A42CA7" w:rsidRPr="00A42CA7" w:rsidRDefault="00A42CA7" w:rsidP="00A42CA7">
            <w:pPr>
              <w:spacing w:line="240" w:lineRule="auto"/>
              <w:jc w:val="left"/>
              <w:rPr>
                <w:bCs/>
              </w:rPr>
            </w:pPr>
          </w:p>
        </w:tc>
      </w:tr>
    </w:tbl>
    <w:p w14:paraId="33758141" w14:textId="75885C31" w:rsidR="00A42CA7" w:rsidRPr="00A42CA7" w:rsidRDefault="00A42CA7" w:rsidP="00A42CA7">
      <w:pPr>
        <w:spacing w:line="240" w:lineRule="auto"/>
        <w:jc w:val="left"/>
      </w:pPr>
      <w:r w:rsidRPr="00A42CA7">
        <w:rPr>
          <w:noProof/>
        </w:rPr>
        <mc:AlternateContent>
          <mc:Choice Requires="wps">
            <w:drawing>
              <wp:anchor distT="0" distB="0" distL="114300" distR="114300" simplePos="0" relativeHeight="251664384" behindDoc="0" locked="0" layoutInCell="1" allowOverlap="1" wp14:anchorId="6E29943C" wp14:editId="7916AA18">
                <wp:simplePos x="0" y="0"/>
                <wp:positionH relativeFrom="column">
                  <wp:posOffset>5657850</wp:posOffset>
                </wp:positionH>
                <wp:positionV relativeFrom="paragraph">
                  <wp:posOffset>104775</wp:posOffset>
                </wp:positionV>
                <wp:extent cx="619125" cy="373380"/>
                <wp:effectExtent l="38100" t="38100" r="123825" b="121920"/>
                <wp:wrapNone/>
                <wp:docPr id="204369400" name="Ellipse 13">
                  <a:hlinkClick xmlns:a="http://schemas.openxmlformats.org/drawingml/2006/main" r:id="rId14"/>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 cy="373380"/>
                        </a:xfrm>
                        <a:prstGeom prst="ellipse">
                          <a:avLst/>
                        </a:prstGeom>
                        <a:solidFill>
                          <a:schemeClr val="bg1">
                            <a:lumMod val="95000"/>
                          </a:schemeClr>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1AB317D" w14:textId="77777777" w:rsidR="00A42CA7" w:rsidRDefault="00A42CA7" w:rsidP="00A42CA7">
                            <w:pPr>
                              <w:jc w:val="center"/>
                              <w:rPr>
                                <w:color w:val="000000" w:themeColor="text1"/>
                                <w:sz w:val="16"/>
                                <w:szCs w:val="16"/>
                              </w:rPr>
                            </w:pPr>
                            <w:r>
                              <w:rPr>
                                <w:color w:val="000000" w:themeColor="text1"/>
                                <w:sz w:val="16"/>
                                <w:szCs w:val="16"/>
                              </w:rPr>
                              <w:t>Retour sommaire</w:t>
                            </w:r>
                          </w:p>
                        </w:txbxContent>
                      </wps:txbx>
                      <wps:bodyPr rot="0" spcFirstLastPara="0" vertOverflow="clip" horzOverflow="clip"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29943C" id="Ellipse 13" o:spid="_x0000_s1027" href="#DEBUT" style="position:absolute;margin-left:445.5pt;margin-top:8.25pt;width:48.75pt;height:29.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" o:button="t" fillcolor="#f2f2f2 [3052]" strokecolor="black [3213]" strokeweight="1pt">
                <v:fill o:detectmouseclick="t"/>
                <v:stroke joinstyle="miter"/>
                <v:shadow on="t" color="black" opacity="26214f" origin="-.5,-.5" offset=".74836mm,.74836mm"/>
                <v:path arrowok="t"/>
                <v:textbox inset="0,0,0,0">
                  <w:txbxContent>
                    <w:p w14:paraId="41AB317D" w14:textId="77777777" w:rsidR="00A42CA7" w:rsidRDefault="00A42CA7" w:rsidP="00A42CA7">
                      <w:pPr>
                        <w:jc w:val="center"/>
                        <w:rPr>
                          <w:color w:val="000000" w:themeColor="text1"/>
                          <w:sz w:val="16"/>
                          <w:szCs w:val="16"/>
                        </w:rPr>
                      </w:pPr>
                      <w:r>
                        <w:rPr>
                          <w:color w:val="000000" w:themeColor="text1"/>
                          <w:sz w:val="16"/>
                          <w:szCs w:val="16"/>
                        </w:rPr>
                        <w:t>Retour sommaire</w:t>
                      </w:r>
                    </w:p>
                  </w:txbxContent>
                </v:textbox>
              </v:oval>
            </w:pict>
          </mc:Fallback>
        </mc:AlternateContent>
      </w:r>
      <w:r w:rsidRPr="00A42CA7">
        <w:br w:type="page"/>
      </w:r>
    </w:p>
    <w:tbl>
      <w:tblPr>
        <w:tblW w:w="1080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9639"/>
      </w:tblGrid>
      <w:tr w:rsidR="00A42CA7" w:rsidRPr="00A42CA7" w14:paraId="0E906D67" w14:textId="77777777" w:rsidTr="00CC4090">
        <w:trPr>
          <w:trHeight w:val="70"/>
        </w:trPr>
        <w:tc>
          <w:tcPr>
            <w:tcW w:w="116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EC6684" w14:textId="77777777" w:rsidR="00A42CA7" w:rsidRPr="00A42CA7" w:rsidRDefault="00A42CA7" w:rsidP="00B20C99">
            <w:pPr>
              <w:spacing w:line="240" w:lineRule="auto"/>
              <w:jc w:val="center"/>
              <w:rPr>
                <w:b/>
                <w:i/>
                <w:iCs/>
              </w:rPr>
            </w:pPr>
            <w:r w:rsidRPr="00A42CA7">
              <w:rPr>
                <w:b/>
                <w:i/>
                <w:iCs/>
              </w:rPr>
              <w:lastRenderedPageBreak/>
              <w:t>IR</w:t>
            </w:r>
          </w:p>
          <w:p w14:paraId="3125AFDE" w14:textId="77777777" w:rsidR="00A42CA7" w:rsidRPr="00A42CA7" w:rsidRDefault="00A42CA7" w:rsidP="00B20C99">
            <w:pPr>
              <w:spacing w:line="240" w:lineRule="auto"/>
              <w:jc w:val="center"/>
              <w:rPr>
                <w:b/>
                <w:i/>
                <w:iCs/>
              </w:rPr>
            </w:pPr>
            <w:r w:rsidRPr="00A42CA7">
              <w:rPr>
                <w:b/>
                <w:i/>
                <w:iCs/>
              </w:rPr>
              <w:t>Mesures diverses</w:t>
            </w:r>
          </w:p>
        </w:tc>
        <w:tc>
          <w:tcPr>
            <w:tcW w:w="9639" w:type="dxa"/>
            <w:tcBorders>
              <w:top w:val="single" w:sz="4" w:space="0" w:color="auto"/>
              <w:left w:val="single" w:sz="4" w:space="0" w:color="auto"/>
              <w:bottom w:val="single" w:sz="4" w:space="0" w:color="auto"/>
              <w:right w:val="single" w:sz="4" w:space="0" w:color="auto"/>
            </w:tcBorders>
          </w:tcPr>
          <w:p w14:paraId="4CEFDC27" w14:textId="77777777" w:rsidR="00A42CA7" w:rsidRPr="00A42CA7" w:rsidRDefault="00A42CA7" w:rsidP="00B20C99">
            <w:pPr>
              <w:spacing w:line="240" w:lineRule="auto"/>
              <w:rPr>
                <w:bCs/>
              </w:rPr>
            </w:pPr>
          </w:p>
          <w:p w14:paraId="28DD92C5" w14:textId="77777777" w:rsidR="00A42CA7" w:rsidRPr="00A42CA7" w:rsidRDefault="00A42CA7" w:rsidP="00B20C99">
            <w:pPr>
              <w:spacing w:line="240" w:lineRule="auto"/>
              <w:rPr>
                <w:b/>
                <w:u w:val="single"/>
              </w:rPr>
            </w:pPr>
            <w:r w:rsidRPr="00A42CA7">
              <w:rPr>
                <w:b/>
                <w:u w:val="single"/>
              </w:rPr>
              <w:t>Loueurs en Meublé Non Professionnel (LMNP)</w:t>
            </w:r>
          </w:p>
          <w:p w14:paraId="575457CC" w14:textId="77777777" w:rsidR="00A42CA7" w:rsidRPr="00A42CA7" w:rsidRDefault="00A42CA7" w:rsidP="00B20C99">
            <w:pPr>
              <w:spacing w:line="240" w:lineRule="auto"/>
              <w:rPr>
                <w:bCs/>
              </w:rPr>
            </w:pPr>
          </w:p>
          <w:p w14:paraId="59B90AD8" w14:textId="77777777" w:rsidR="00A42CA7" w:rsidRPr="00A42CA7" w:rsidRDefault="00A42CA7" w:rsidP="00B20C99">
            <w:pPr>
              <w:spacing w:line="240" w:lineRule="auto"/>
              <w:rPr>
                <w:bCs/>
              </w:rPr>
            </w:pPr>
            <w:r w:rsidRPr="00A42CA7">
              <w:rPr>
                <w:b/>
              </w:rPr>
              <w:t>Suppression d’un avantage du statut</w:t>
            </w:r>
            <w:r w:rsidRPr="00A42CA7">
              <w:rPr>
                <w:bCs/>
              </w:rPr>
              <w:t xml:space="preserve"> qui consistait à pouvoir déduire les amortissements sur bien loué dans le cadre de l’imposition des revenus (dans le régime réel BIC), et à ne pas prendre en compte ces amortissements déduits dans le cadre d’une plus-value de cession (dans le régime des plus-values immobilières particuliers).</w:t>
            </w:r>
          </w:p>
          <w:p w14:paraId="2AE1E33A" w14:textId="77777777" w:rsidR="00A42CA7" w:rsidRPr="00A42CA7" w:rsidRDefault="00A42CA7" w:rsidP="00B20C99">
            <w:pPr>
              <w:spacing w:line="240" w:lineRule="auto"/>
              <w:rPr>
                <w:bCs/>
              </w:rPr>
            </w:pPr>
          </w:p>
          <w:p w14:paraId="36D6EAFB" w14:textId="77777777" w:rsidR="00A42CA7" w:rsidRPr="00A42CA7" w:rsidRDefault="00A42CA7" w:rsidP="00B20C99">
            <w:pPr>
              <w:spacing w:line="240" w:lineRule="auto"/>
              <w:rPr>
                <w:bCs/>
              </w:rPr>
            </w:pPr>
            <w:r w:rsidRPr="00A42CA7">
              <w:rPr>
                <w:bCs/>
              </w:rPr>
              <w:t xml:space="preserve">À compter du 15/02/2025, les cessions d’immeubles préalablement loués en LMNP (régime réel) font l’objet d’un calcul de </w:t>
            </w:r>
            <w:r w:rsidRPr="00A42CA7">
              <w:rPr>
                <w:b/>
              </w:rPr>
              <w:t>plus-value brute incluant les amortissements déduits des revenus</w:t>
            </w:r>
            <w:r w:rsidRPr="00A42CA7">
              <w:rPr>
                <w:bCs/>
              </w:rPr>
              <w:t>, et entraînant de fait une augmentation de la plus-value.</w:t>
            </w:r>
          </w:p>
          <w:p w14:paraId="4DF354B0" w14:textId="77777777" w:rsidR="00B20C99" w:rsidRDefault="00B20C99" w:rsidP="00B20C99">
            <w:pPr>
              <w:spacing w:line="240" w:lineRule="auto"/>
              <w:rPr>
                <w:bCs/>
              </w:rPr>
            </w:pPr>
          </w:p>
          <w:p w14:paraId="7E276457" w14:textId="77777777" w:rsidR="00B20C99" w:rsidRDefault="00A42CA7" w:rsidP="00B20C99">
            <w:pPr>
              <w:spacing w:line="240" w:lineRule="auto"/>
              <w:rPr>
                <w:bCs/>
              </w:rPr>
            </w:pPr>
            <w:r w:rsidRPr="00A42CA7">
              <w:rPr>
                <w:bCs/>
              </w:rPr>
              <w:t>PV brute pour les cessions avant le 15/02/205</w:t>
            </w:r>
          </w:p>
          <w:p w14:paraId="6E0180E3" w14:textId="56225518" w:rsidR="00A42CA7" w:rsidRPr="00A42CA7" w:rsidRDefault="00A42CA7" w:rsidP="00B20C99">
            <w:pPr>
              <w:spacing w:line="240" w:lineRule="auto"/>
              <w:rPr>
                <w:bCs/>
              </w:rPr>
            </w:pPr>
            <w:r w:rsidRPr="00A42CA7">
              <w:rPr>
                <w:bCs/>
              </w:rPr>
              <w:t>= prix de cession – prix d’acquisition</w:t>
            </w:r>
          </w:p>
          <w:p w14:paraId="5269B083" w14:textId="77777777" w:rsidR="00B20C99" w:rsidRDefault="00B20C99" w:rsidP="00B20C99">
            <w:pPr>
              <w:spacing w:line="240" w:lineRule="auto"/>
              <w:rPr>
                <w:bCs/>
              </w:rPr>
            </w:pPr>
          </w:p>
          <w:p w14:paraId="7BE2828D" w14:textId="77777777" w:rsidR="00B20C99" w:rsidRDefault="00A42CA7" w:rsidP="00B20C99">
            <w:pPr>
              <w:spacing w:line="240" w:lineRule="auto"/>
              <w:rPr>
                <w:bCs/>
              </w:rPr>
            </w:pPr>
            <w:r w:rsidRPr="00A42CA7">
              <w:rPr>
                <w:bCs/>
              </w:rPr>
              <w:t>PV brute pour les cessions à compter du 15/02/2025</w:t>
            </w:r>
          </w:p>
          <w:p w14:paraId="4ABA7F46" w14:textId="0BB362D0" w:rsidR="00A42CA7" w:rsidRPr="00A42CA7" w:rsidRDefault="00A42CA7" w:rsidP="00B20C99">
            <w:pPr>
              <w:spacing w:line="240" w:lineRule="auto"/>
              <w:rPr>
                <w:bCs/>
              </w:rPr>
            </w:pPr>
            <w:r w:rsidRPr="00A42CA7">
              <w:rPr>
                <w:bCs/>
              </w:rPr>
              <w:t>= prix de cession – (prix d’acquisition – amortissements déduits pendant la période de location).</w:t>
            </w:r>
          </w:p>
          <w:p w14:paraId="5DC84C64" w14:textId="77777777" w:rsidR="00B20C99" w:rsidRDefault="00B20C99" w:rsidP="00B20C99">
            <w:pPr>
              <w:spacing w:line="240" w:lineRule="auto"/>
              <w:rPr>
                <w:bCs/>
                <w:i/>
                <w:iCs/>
              </w:rPr>
            </w:pPr>
          </w:p>
          <w:p w14:paraId="6FB16F2D" w14:textId="4122594A" w:rsidR="00A42CA7" w:rsidRPr="00A42CA7" w:rsidRDefault="00A42CA7" w:rsidP="00B20C99">
            <w:pPr>
              <w:spacing w:line="240" w:lineRule="auto"/>
              <w:rPr>
                <w:bCs/>
                <w:i/>
                <w:iCs/>
              </w:rPr>
            </w:pPr>
            <w:r w:rsidRPr="00A42CA7">
              <w:rPr>
                <w:bCs/>
                <w:i/>
                <w:iCs/>
              </w:rPr>
              <w:t>Remarque : les amortissements des dépenses de construction, de reconstruction, d’agrandissement ou d’amélioration ne sont en revanche pas intégrés au calcul de la plus-value lorsque ces dépenses ont été prises en compte dans l’imposition des revenus (ils le sont si ces dépenses n’ont pas été déduites pour l’imposition des revenus mais le prix d’acquisition est majoré de ces dépenses).</w:t>
            </w:r>
          </w:p>
          <w:p w14:paraId="05030DE2" w14:textId="77777777" w:rsidR="00A42CA7" w:rsidRDefault="00A42CA7" w:rsidP="00B20C99">
            <w:pPr>
              <w:spacing w:line="240" w:lineRule="auto"/>
              <w:rPr>
                <w:bCs/>
              </w:rPr>
            </w:pPr>
          </w:p>
          <w:p w14:paraId="4DC67C9C" w14:textId="77777777" w:rsidR="00B20C99" w:rsidRPr="00A42CA7" w:rsidRDefault="00B20C99" w:rsidP="00B20C99">
            <w:pPr>
              <w:spacing w:line="240" w:lineRule="auto"/>
              <w:rPr>
                <w:bCs/>
              </w:rPr>
            </w:pPr>
          </w:p>
          <w:p w14:paraId="61384661" w14:textId="77777777" w:rsidR="00A42CA7" w:rsidRPr="00A42CA7" w:rsidRDefault="00A42CA7" w:rsidP="00B20C99">
            <w:pPr>
              <w:spacing w:line="240" w:lineRule="auto"/>
              <w:rPr>
                <w:b/>
                <w:u w:val="single"/>
              </w:rPr>
            </w:pPr>
            <w:r w:rsidRPr="00A42CA7">
              <w:rPr>
                <w:b/>
                <w:u w:val="single"/>
              </w:rPr>
              <w:t>PV mobilières : prorogation de l’abattement « retraite »</w:t>
            </w:r>
          </w:p>
          <w:p w14:paraId="46F0E8AE" w14:textId="77777777" w:rsidR="00A42CA7" w:rsidRPr="00A42CA7" w:rsidRDefault="00A42CA7" w:rsidP="00B20C99">
            <w:pPr>
              <w:spacing w:line="240" w:lineRule="auto"/>
              <w:rPr>
                <w:bCs/>
              </w:rPr>
            </w:pPr>
          </w:p>
          <w:p w14:paraId="231B3534" w14:textId="77777777" w:rsidR="00A42CA7" w:rsidRPr="00A42CA7" w:rsidRDefault="00A42CA7" w:rsidP="00B20C99">
            <w:pPr>
              <w:spacing w:line="240" w:lineRule="auto"/>
              <w:rPr>
                <w:bCs/>
              </w:rPr>
            </w:pPr>
            <w:r w:rsidRPr="00A42CA7">
              <w:rPr>
                <w:bCs/>
              </w:rPr>
              <w:t xml:space="preserve">L’abattement fixe de 500 000 € applicable sous certaines conditions aux plus-values (soumises au PFU ou au barème progressif) liées à la cession de titres de PME soumises à l’IS par des dirigeants partant à la retraite est </w:t>
            </w:r>
            <w:r w:rsidRPr="00A42CA7">
              <w:rPr>
                <w:b/>
              </w:rPr>
              <w:t>prorogé pour les cessions jusqu’au 31/12/2031</w:t>
            </w:r>
            <w:r w:rsidRPr="00A42CA7">
              <w:rPr>
                <w:bCs/>
              </w:rPr>
              <w:t>.</w:t>
            </w:r>
          </w:p>
          <w:p w14:paraId="77097898" w14:textId="77777777" w:rsidR="00B20C99" w:rsidRDefault="00B20C99" w:rsidP="00B20C99">
            <w:pPr>
              <w:spacing w:line="240" w:lineRule="auto"/>
              <w:rPr>
                <w:bCs/>
                <w:i/>
                <w:iCs/>
              </w:rPr>
            </w:pPr>
          </w:p>
          <w:p w14:paraId="65D4C522" w14:textId="52A74B88" w:rsidR="00A42CA7" w:rsidRPr="00A42CA7" w:rsidRDefault="00A42CA7" w:rsidP="00B20C99">
            <w:pPr>
              <w:spacing w:line="240" w:lineRule="auto"/>
              <w:rPr>
                <w:bCs/>
                <w:i/>
                <w:iCs/>
              </w:rPr>
            </w:pPr>
            <w:r w:rsidRPr="00A42CA7">
              <w:rPr>
                <w:bCs/>
                <w:i/>
                <w:iCs/>
              </w:rPr>
              <w:t>Remarque : cet abattement est porté à 600 000 € lorsqu’il s’agit d’une transmission d’exploitation agricole à compter du 01/01/2025.</w:t>
            </w:r>
          </w:p>
          <w:p w14:paraId="2E9BA0DD" w14:textId="77777777" w:rsidR="00A42CA7" w:rsidRDefault="00A42CA7" w:rsidP="00B20C99">
            <w:pPr>
              <w:spacing w:line="240" w:lineRule="auto"/>
              <w:rPr>
                <w:bCs/>
              </w:rPr>
            </w:pPr>
          </w:p>
          <w:p w14:paraId="4179F1BF" w14:textId="77777777" w:rsidR="00B20C99" w:rsidRPr="00A42CA7" w:rsidRDefault="00B20C99" w:rsidP="00B20C99">
            <w:pPr>
              <w:spacing w:line="240" w:lineRule="auto"/>
              <w:rPr>
                <w:bCs/>
              </w:rPr>
            </w:pPr>
          </w:p>
          <w:p w14:paraId="23770D43" w14:textId="77777777" w:rsidR="00A42CA7" w:rsidRPr="00A42CA7" w:rsidRDefault="00A42CA7" w:rsidP="00B20C99">
            <w:pPr>
              <w:spacing w:line="240" w:lineRule="auto"/>
              <w:rPr>
                <w:b/>
                <w:u w:val="single"/>
              </w:rPr>
            </w:pPr>
            <w:r w:rsidRPr="00A42CA7">
              <w:rPr>
                <w:b/>
                <w:u w:val="single"/>
              </w:rPr>
              <w:t>PV mobilières des non-résidents : mise en place d’une procédure de remboursement</w:t>
            </w:r>
          </w:p>
          <w:p w14:paraId="2944880D" w14:textId="77777777" w:rsidR="00A42CA7" w:rsidRPr="00A42CA7" w:rsidRDefault="00A42CA7" w:rsidP="00B20C99">
            <w:pPr>
              <w:spacing w:line="240" w:lineRule="auto"/>
              <w:rPr>
                <w:bCs/>
              </w:rPr>
            </w:pPr>
          </w:p>
          <w:p w14:paraId="452423DA" w14:textId="77777777" w:rsidR="00A42CA7" w:rsidRPr="00A42CA7" w:rsidRDefault="00A42CA7" w:rsidP="00B20C99">
            <w:pPr>
              <w:spacing w:line="240" w:lineRule="auto"/>
              <w:rPr>
                <w:bCs/>
              </w:rPr>
            </w:pPr>
            <w:r w:rsidRPr="00A42CA7">
              <w:rPr>
                <w:bCs/>
              </w:rPr>
              <w:t>N’ayant pas la possibilité d’opter pour une imposition au barème progressif des plus-values relatifs à certaines cessions de titres (et d’éventuels abattements avantageux), les non-résidents étaient soumis à un prélèvement forfaitaire de 12,8%.</w:t>
            </w:r>
          </w:p>
          <w:p w14:paraId="5CCDF303" w14:textId="77777777" w:rsidR="00B20C99" w:rsidRDefault="00B20C99" w:rsidP="00B20C99">
            <w:pPr>
              <w:spacing w:line="240" w:lineRule="auto"/>
              <w:rPr>
                <w:bCs/>
              </w:rPr>
            </w:pPr>
          </w:p>
          <w:p w14:paraId="168046D4" w14:textId="7E3BF25E" w:rsidR="00A42CA7" w:rsidRPr="00A42CA7" w:rsidRDefault="00A42CA7" w:rsidP="00B20C99">
            <w:pPr>
              <w:spacing w:line="240" w:lineRule="auto"/>
              <w:rPr>
                <w:bCs/>
              </w:rPr>
            </w:pPr>
            <w:r w:rsidRPr="00A42CA7">
              <w:rPr>
                <w:bCs/>
              </w:rPr>
              <w:t xml:space="preserve">La loi de finances pour 2025 instaure une </w:t>
            </w:r>
            <w:r w:rsidRPr="00A42CA7">
              <w:rPr>
                <w:b/>
              </w:rPr>
              <w:t>procédure de réclamation</w:t>
            </w:r>
            <w:r w:rsidRPr="00A42CA7">
              <w:rPr>
                <w:bCs/>
              </w:rPr>
              <w:t xml:space="preserve"> de la restitution de l’excédent de l’IR que les non-résidents personnes physiques ont supporté par rapport à une option pour le barème progressif avec application des abattements pour durée de détention tel un résident (réclamation au plus tard au 31/12 de la 2</w:t>
            </w:r>
            <w:r w:rsidRPr="00A42CA7">
              <w:rPr>
                <w:bCs/>
                <w:vertAlign w:val="superscript"/>
              </w:rPr>
              <w:t>ème</w:t>
            </w:r>
            <w:r w:rsidRPr="00A42CA7">
              <w:rPr>
                <w:bCs/>
              </w:rPr>
              <w:t xml:space="preserve"> année qui suit celle de la cession des titres).</w:t>
            </w:r>
          </w:p>
          <w:p w14:paraId="220884DF" w14:textId="77777777" w:rsidR="00B20C99" w:rsidRDefault="00B20C99" w:rsidP="00B20C99">
            <w:pPr>
              <w:spacing w:line="240" w:lineRule="auto"/>
              <w:rPr>
                <w:bCs/>
                <w:i/>
                <w:iCs/>
              </w:rPr>
            </w:pPr>
          </w:p>
          <w:p w14:paraId="5229E451" w14:textId="63F0A576" w:rsidR="00A42CA7" w:rsidRPr="00A42CA7" w:rsidRDefault="00A42CA7" w:rsidP="00B20C99">
            <w:pPr>
              <w:spacing w:line="240" w:lineRule="auto"/>
              <w:rPr>
                <w:bCs/>
                <w:i/>
                <w:iCs/>
              </w:rPr>
            </w:pPr>
            <w:r w:rsidRPr="00A42CA7">
              <w:rPr>
                <w:bCs/>
                <w:i/>
                <w:iCs/>
              </w:rPr>
              <w:t>Remarque : pour les personnes morales la procédure est identique en raisonnant sur un prélèvement forfaitaire de 25% et une demande de restitution de l’excédent par rapport un assujettissement à l’IS identique aux résidents (taux d’IS PME, application du régime des plus-value à long terme sur titres de participation…).</w:t>
            </w:r>
          </w:p>
          <w:p w14:paraId="2C28E532" w14:textId="77777777" w:rsidR="00A42CA7" w:rsidRPr="00A42CA7" w:rsidRDefault="00A42CA7" w:rsidP="00B20C99">
            <w:pPr>
              <w:spacing w:line="240" w:lineRule="auto"/>
              <w:rPr>
                <w:bCs/>
              </w:rPr>
            </w:pPr>
          </w:p>
          <w:p w14:paraId="01149B24" w14:textId="5199E07B" w:rsidR="00A42CA7" w:rsidRPr="00A42CA7" w:rsidRDefault="00A42CA7" w:rsidP="00B20C99">
            <w:pPr>
              <w:spacing w:line="240" w:lineRule="auto"/>
              <w:rPr>
                <w:bCs/>
              </w:rPr>
            </w:pPr>
            <w:r w:rsidRPr="00A42CA7">
              <w:rPr>
                <w:noProof/>
              </w:rPr>
              <mc:AlternateContent>
                <mc:Choice Requires="wps">
                  <w:drawing>
                    <wp:anchor distT="0" distB="0" distL="114300" distR="114300" simplePos="0" relativeHeight="251663360" behindDoc="0" locked="0" layoutInCell="1" allowOverlap="1" wp14:anchorId="4C28BC4E" wp14:editId="5509A85F">
                      <wp:simplePos x="0" y="0"/>
                      <wp:positionH relativeFrom="column">
                        <wp:posOffset>5082540</wp:posOffset>
                      </wp:positionH>
                      <wp:positionV relativeFrom="paragraph">
                        <wp:posOffset>40640</wp:posOffset>
                      </wp:positionV>
                      <wp:extent cx="619125" cy="373380"/>
                      <wp:effectExtent l="38100" t="38100" r="123825" b="121920"/>
                      <wp:wrapNone/>
                      <wp:docPr id="227108916" name="Ellipse 12">
                        <a:hlinkClick xmlns:a="http://schemas.openxmlformats.org/drawingml/2006/main" r:id="rId14"/>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 cy="373380"/>
                              </a:xfrm>
                              <a:prstGeom prst="ellipse">
                                <a:avLst/>
                              </a:prstGeom>
                              <a:solidFill>
                                <a:schemeClr val="bg1">
                                  <a:lumMod val="95000"/>
                                </a:schemeClr>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F966146" w14:textId="77777777" w:rsidR="00A42CA7" w:rsidRDefault="00A42CA7" w:rsidP="00A42CA7">
                                  <w:pPr>
                                    <w:jc w:val="center"/>
                                    <w:rPr>
                                      <w:color w:val="000000" w:themeColor="text1"/>
                                      <w:sz w:val="16"/>
                                      <w:szCs w:val="16"/>
                                    </w:rPr>
                                  </w:pPr>
                                  <w:r>
                                    <w:rPr>
                                      <w:color w:val="000000" w:themeColor="text1"/>
                                      <w:sz w:val="16"/>
                                      <w:szCs w:val="16"/>
                                    </w:rPr>
                                    <w:t>Retour sommaire</w:t>
                                  </w:r>
                                </w:p>
                              </w:txbxContent>
                            </wps:txbx>
                            <wps:bodyPr rot="0" spcFirstLastPara="0" vertOverflow="clip" horzOverflow="clip"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28BC4E" id="Ellipse 12" o:spid="_x0000_s1028" href="#DEBUT" style="position:absolute;margin-left:400.2pt;margin-top:3.2pt;width:48.75pt;height:29.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" o:button="t" fillcolor="#f2f2f2 [3052]" strokecolor="black [3213]" strokeweight="1pt">
                      <v:fill o:detectmouseclick="t"/>
                      <v:stroke joinstyle="miter"/>
                      <v:shadow on="t" color="black" opacity="26214f" origin="-.5,-.5" offset=".74836mm,.74836mm"/>
                      <v:path arrowok="t"/>
                      <v:textbox inset="0,0,0,0">
                        <w:txbxContent>
                          <w:p w14:paraId="5F966146" w14:textId="77777777" w:rsidR="00A42CA7" w:rsidRDefault="00A42CA7" w:rsidP="00A42CA7">
                            <w:pPr>
                              <w:jc w:val="center"/>
                              <w:rPr>
                                <w:color w:val="000000" w:themeColor="text1"/>
                                <w:sz w:val="16"/>
                                <w:szCs w:val="16"/>
                              </w:rPr>
                            </w:pPr>
                            <w:r>
                              <w:rPr>
                                <w:color w:val="000000" w:themeColor="text1"/>
                                <w:sz w:val="16"/>
                                <w:szCs w:val="16"/>
                              </w:rPr>
                              <w:t>Retour sommaire</w:t>
                            </w:r>
                          </w:p>
                        </w:txbxContent>
                      </v:textbox>
                    </v:oval>
                  </w:pict>
                </mc:Fallback>
              </mc:AlternateContent>
            </w:r>
          </w:p>
        </w:tc>
      </w:tr>
    </w:tbl>
    <w:p w14:paraId="65C69534" w14:textId="77777777" w:rsidR="00B20C99" w:rsidRDefault="00B20C99">
      <w:r>
        <w:br w:type="page"/>
      </w: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9327"/>
      </w:tblGrid>
      <w:tr w:rsidR="00B20C99" w:rsidRPr="00A42CA7" w14:paraId="25F0A391" w14:textId="77777777" w:rsidTr="00DB051A">
        <w:trPr>
          <w:trHeight w:val="70"/>
        </w:trPr>
        <w:tc>
          <w:tcPr>
            <w:tcW w:w="116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730BBD8" w14:textId="1745A48E" w:rsidR="00B20C99" w:rsidRPr="00A42CA7" w:rsidRDefault="00B20C99" w:rsidP="003C18DC">
            <w:pPr>
              <w:spacing w:line="240" w:lineRule="auto"/>
              <w:jc w:val="center"/>
              <w:rPr>
                <w:b/>
                <w:i/>
                <w:iCs/>
              </w:rPr>
            </w:pPr>
            <w:r w:rsidRPr="00A42CA7">
              <w:rPr>
                <w:b/>
                <w:i/>
                <w:iCs/>
              </w:rPr>
              <w:lastRenderedPageBreak/>
              <w:t>IR</w:t>
            </w:r>
          </w:p>
          <w:p w14:paraId="53A32AC1" w14:textId="77777777" w:rsidR="00B20C99" w:rsidRPr="00A42CA7" w:rsidRDefault="00B20C99" w:rsidP="003C18DC">
            <w:pPr>
              <w:spacing w:line="240" w:lineRule="auto"/>
              <w:jc w:val="center"/>
              <w:rPr>
                <w:b/>
                <w:i/>
                <w:iCs/>
              </w:rPr>
            </w:pPr>
            <w:r w:rsidRPr="00A42CA7">
              <w:rPr>
                <w:b/>
                <w:i/>
                <w:iCs/>
              </w:rPr>
              <w:t>Mesures diverses</w:t>
            </w:r>
          </w:p>
        </w:tc>
        <w:tc>
          <w:tcPr>
            <w:tcW w:w="9327" w:type="dxa"/>
            <w:tcBorders>
              <w:top w:val="single" w:sz="4" w:space="0" w:color="auto"/>
              <w:left w:val="single" w:sz="4" w:space="0" w:color="auto"/>
              <w:bottom w:val="single" w:sz="4" w:space="0" w:color="auto"/>
              <w:right w:val="single" w:sz="4" w:space="0" w:color="auto"/>
            </w:tcBorders>
          </w:tcPr>
          <w:p w14:paraId="35AC0D6C" w14:textId="77777777" w:rsidR="00B20C99" w:rsidRPr="00A42CA7" w:rsidRDefault="00B20C99" w:rsidP="003C18DC">
            <w:pPr>
              <w:spacing w:line="240" w:lineRule="auto"/>
              <w:rPr>
                <w:bCs/>
              </w:rPr>
            </w:pPr>
          </w:p>
          <w:p w14:paraId="496F0ABC" w14:textId="6D0F1463" w:rsidR="00B20C99" w:rsidRPr="00B20C99" w:rsidRDefault="00B20C99" w:rsidP="003C18DC">
            <w:pPr>
              <w:spacing w:line="240" w:lineRule="auto"/>
              <w:rPr>
                <w:b/>
                <w:u w:val="single"/>
              </w:rPr>
            </w:pPr>
            <w:r w:rsidRPr="00B20C99">
              <w:rPr>
                <w:b/>
                <w:u w:val="single"/>
              </w:rPr>
              <w:t>Dons, Réductions d’impôts, Crédits d’impôts</w:t>
            </w:r>
          </w:p>
          <w:p w14:paraId="43FB9E2C" w14:textId="77777777" w:rsidR="00B20C99" w:rsidRPr="00A42CA7" w:rsidRDefault="00B20C99" w:rsidP="003C18DC">
            <w:pPr>
              <w:spacing w:line="240" w:lineRule="auto"/>
              <w:rPr>
                <w:bCs/>
              </w:rPr>
            </w:pPr>
          </w:p>
          <w:p w14:paraId="0E79070A" w14:textId="77777777" w:rsidR="00B20C99" w:rsidRDefault="00B20C99" w:rsidP="003C18DC">
            <w:pPr>
              <w:numPr>
                <w:ilvl w:val="0"/>
                <w:numId w:val="22"/>
              </w:numPr>
              <w:spacing w:line="240" w:lineRule="auto"/>
              <w:rPr>
                <w:bCs/>
              </w:rPr>
            </w:pPr>
            <w:r w:rsidRPr="00B20C99">
              <w:rPr>
                <w:b/>
              </w:rPr>
              <w:t>Pérennisation du rehaussement du plafond de versements à des organismes sans but lucratif</w:t>
            </w:r>
            <w:r w:rsidRPr="00A42CA7">
              <w:rPr>
                <w:bCs/>
              </w:rPr>
              <w:t xml:space="preserve"> qui procèdent à la fourniture de repas ou de soins à des personnes en difficultés ou qui contribuent à leur logement (« Coluche ») à </w:t>
            </w:r>
            <w:r w:rsidRPr="00B20C99">
              <w:rPr>
                <w:bCs/>
              </w:rPr>
              <w:t>1 000 € sans date de fin prévue</w:t>
            </w:r>
            <w:r w:rsidRPr="00A42CA7">
              <w:rPr>
                <w:bCs/>
              </w:rPr>
              <w:t xml:space="preserve"> (RI = 75% puis 66% au-delà du plafond dans la limite de 20% du revenu imposable).</w:t>
            </w:r>
          </w:p>
          <w:p w14:paraId="581563E5" w14:textId="377E9724" w:rsidR="00B20C99" w:rsidRPr="00B20C99" w:rsidRDefault="00B20C99" w:rsidP="00B20C99">
            <w:pPr>
              <w:spacing w:line="240" w:lineRule="auto"/>
              <w:ind w:left="720"/>
              <w:rPr>
                <w:bCs/>
              </w:rPr>
            </w:pPr>
            <w:r w:rsidRPr="00B20C99">
              <w:rPr>
                <w:bCs/>
              </w:rPr>
              <w:t xml:space="preserve">Et </w:t>
            </w:r>
            <w:r w:rsidRPr="00B20C99">
              <w:rPr>
                <w:b/>
              </w:rPr>
              <w:t>élargissement de ce dispositif</w:t>
            </w:r>
            <w:r w:rsidRPr="00B20C99">
              <w:rPr>
                <w:bCs/>
              </w:rPr>
              <w:t xml:space="preserve"> aux dons au profit d’organismes d’intérêt général qui accompagnent les </w:t>
            </w:r>
            <w:r w:rsidRPr="00B20C99">
              <w:rPr>
                <w:b/>
              </w:rPr>
              <w:t>victimes de violence domestiques</w:t>
            </w:r>
            <w:r w:rsidRPr="00B20C99">
              <w:rPr>
                <w:bCs/>
              </w:rPr>
              <w:t xml:space="preserve"> à compter du 15/02/2025.</w:t>
            </w:r>
          </w:p>
          <w:p w14:paraId="47A63151" w14:textId="77777777" w:rsidR="00B20C99" w:rsidRPr="00A42CA7" w:rsidRDefault="00B20C99" w:rsidP="003C18DC">
            <w:pPr>
              <w:spacing w:line="240" w:lineRule="auto"/>
              <w:rPr>
                <w:bCs/>
              </w:rPr>
            </w:pPr>
          </w:p>
          <w:p w14:paraId="089C57D4" w14:textId="77777777" w:rsidR="00B20C99" w:rsidRDefault="00B20C99" w:rsidP="003C18DC">
            <w:pPr>
              <w:numPr>
                <w:ilvl w:val="0"/>
                <w:numId w:val="22"/>
              </w:numPr>
              <w:spacing w:line="240" w:lineRule="auto"/>
              <w:rPr>
                <w:b/>
              </w:rPr>
            </w:pPr>
            <w:r w:rsidRPr="00B20C99">
              <w:rPr>
                <w:b/>
              </w:rPr>
              <w:t>Suppression de la réduction d’impôt pour les adhérents d’un OGA :</w:t>
            </w:r>
          </w:p>
          <w:p w14:paraId="2A798EDA" w14:textId="25C4C3E8" w:rsidR="00B20C99" w:rsidRPr="00B20C99" w:rsidRDefault="00B20C99" w:rsidP="00B20C99">
            <w:pPr>
              <w:spacing w:line="240" w:lineRule="auto"/>
              <w:ind w:left="720"/>
              <w:rPr>
                <w:b/>
              </w:rPr>
            </w:pPr>
            <w:r w:rsidRPr="00B20C99">
              <w:rPr>
                <w:bCs/>
              </w:rPr>
              <w:t>Alors que l’adhésion à un OGA des titulaires de BA, BNC et BIC optant pour un régime réel d’imposition alors que leur CA ou recettes respectent la limite du régime micro, donnait droit à une réduction d’impôt de 2/3 des dépenses de tenue de comptabilité notamment (plafonnée à 915 €), la loi de finances pour 2025 supprime cette réduction d’impôt en contrepartie de la déductibilité totale des frais pour 2025.</w:t>
            </w:r>
          </w:p>
          <w:p w14:paraId="146A0F20" w14:textId="77777777" w:rsidR="00B20C99" w:rsidRPr="00B20C99" w:rsidRDefault="00B20C99" w:rsidP="003C18DC">
            <w:pPr>
              <w:spacing w:line="240" w:lineRule="auto"/>
              <w:rPr>
                <w:bCs/>
              </w:rPr>
            </w:pPr>
          </w:p>
          <w:p w14:paraId="43D2EE81" w14:textId="2AB9A9F7" w:rsidR="00B20C99" w:rsidRPr="00B20C99" w:rsidRDefault="00B20C99" w:rsidP="003C18DC">
            <w:pPr>
              <w:spacing w:line="240" w:lineRule="auto"/>
              <w:rPr>
                <w:b/>
                <w:u w:val="single"/>
              </w:rPr>
            </w:pPr>
            <w:r w:rsidRPr="00B20C99">
              <w:rPr>
                <w:b/>
                <w:u w:val="single"/>
              </w:rPr>
              <w:t>Pourboires</w:t>
            </w:r>
          </w:p>
          <w:p w14:paraId="0E14A754" w14:textId="77777777" w:rsidR="00B20C99" w:rsidRPr="00A42CA7" w:rsidRDefault="00B20C99" w:rsidP="003C18DC">
            <w:pPr>
              <w:spacing w:line="240" w:lineRule="auto"/>
              <w:rPr>
                <w:bCs/>
              </w:rPr>
            </w:pPr>
          </w:p>
          <w:p w14:paraId="4963FA89" w14:textId="77777777" w:rsidR="00B20C99" w:rsidRPr="00A42CA7" w:rsidRDefault="00B20C99" w:rsidP="003C18DC">
            <w:pPr>
              <w:spacing w:line="240" w:lineRule="auto"/>
              <w:rPr>
                <w:bCs/>
              </w:rPr>
            </w:pPr>
            <w:r w:rsidRPr="00A42CA7">
              <w:rPr>
                <w:bCs/>
              </w:rPr>
              <w:t>L’exonération d’IR et de cotisations sociales des pourboires pour les salariés dont la rémunération n’excède pas 1,6 x SMIC mensuel (heures supplémentaires comprises), est prolongée pour 2025.</w:t>
            </w:r>
          </w:p>
          <w:p w14:paraId="1B8F3C61" w14:textId="77777777" w:rsidR="00B20C99" w:rsidRPr="00A42CA7" w:rsidRDefault="00B20C99" w:rsidP="003C18DC">
            <w:pPr>
              <w:spacing w:line="240" w:lineRule="auto"/>
              <w:rPr>
                <w:bCs/>
              </w:rPr>
            </w:pPr>
            <w:r w:rsidRPr="00B20C99">
              <w:rPr>
                <w:bCs/>
              </w:rPr>
              <mc:AlternateContent>
                <mc:Choice Requires="wps">
                  <w:drawing>
                    <wp:anchor distT="0" distB="0" distL="114300" distR="114300" simplePos="0" relativeHeight="251667456" behindDoc="0" locked="0" layoutInCell="1" allowOverlap="1" wp14:anchorId="1BBFC560" wp14:editId="533A8819">
                      <wp:simplePos x="0" y="0"/>
                      <wp:positionH relativeFrom="column">
                        <wp:posOffset>5082540</wp:posOffset>
                      </wp:positionH>
                      <wp:positionV relativeFrom="paragraph">
                        <wp:posOffset>127000</wp:posOffset>
                      </wp:positionV>
                      <wp:extent cx="619125" cy="373380"/>
                      <wp:effectExtent l="38100" t="38100" r="123825" b="121920"/>
                      <wp:wrapNone/>
                      <wp:docPr id="1502266464" name="Ellipse 12">
                        <a:hlinkClick xmlns:a="http://schemas.openxmlformats.org/drawingml/2006/main" r:id="rId14"/>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 cy="373380"/>
                              </a:xfrm>
                              <a:prstGeom prst="ellipse">
                                <a:avLst/>
                              </a:prstGeom>
                              <a:solidFill>
                                <a:schemeClr val="bg1">
                                  <a:lumMod val="95000"/>
                                </a:schemeClr>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7ECF677" w14:textId="77777777" w:rsidR="00B20C99" w:rsidRDefault="00B20C99" w:rsidP="00B20C99">
                                  <w:pPr>
                                    <w:jc w:val="center"/>
                                    <w:rPr>
                                      <w:color w:val="000000" w:themeColor="text1"/>
                                      <w:sz w:val="16"/>
                                      <w:szCs w:val="16"/>
                                    </w:rPr>
                                  </w:pPr>
                                  <w:r>
                                    <w:rPr>
                                      <w:color w:val="000000" w:themeColor="text1"/>
                                      <w:sz w:val="16"/>
                                      <w:szCs w:val="16"/>
                                    </w:rPr>
                                    <w:t>Retour sommaire</w:t>
                                  </w:r>
                                </w:p>
                              </w:txbxContent>
                            </wps:txbx>
                            <wps:bodyPr rot="0" spcFirstLastPara="0" vertOverflow="clip" horzOverflow="clip"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BFC560" id="_x0000_s1029" href="#DEBUT" style="position:absolute;left:0;text-align:left;margin-left:400.2pt;margin-top:10pt;width:48.75pt;height:29.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" o:button="t" fillcolor="#f2f2f2 [3052]" strokecolor="black [3213]" strokeweight="1pt">
                      <v:fill o:detectmouseclick="t"/>
                      <v:stroke joinstyle="miter"/>
                      <v:shadow on="t" color="black" opacity="26214f" origin="-.5,-.5" offset=".74836mm,.74836mm"/>
                      <v:path arrowok="t"/>
                      <v:textbox inset="0,0,0,0">
                        <w:txbxContent>
                          <w:p w14:paraId="37ECF677" w14:textId="77777777" w:rsidR="00B20C99" w:rsidRDefault="00B20C99" w:rsidP="00B20C99">
                            <w:pPr>
                              <w:jc w:val="center"/>
                              <w:rPr>
                                <w:color w:val="000000" w:themeColor="text1"/>
                                <w:sz w:val="16"/>
                                <w:szCs w:val="16"/>
                              </w:rPr>
                            </w:pPr>
                            <w:r>
                              <w:rPr>
                                <w:color w:val="000000" w:themeColor="text1"/>
                                <w:sz w:val="16"/>
                                <w:szCs w:val="16"/>
                              </w:rPr>
                              <w:t>Retour sommaire</w:t>
                            </w:r>
                          </w:p>
                        </w:txbxContent>
                      </v:textbox>
                    </v:oval>
                  </w:pict>
                </mc:Fallback>
              </mc:AlternateContent>
            </w:r>
          </w:p>
          <w:p w14:paraId="610C0A36" w14:textId="77777777" w:rsidR="00B20C99" w:rsidRPr="00A42CA7" w:rsidRDefault="00B20C99" w:rsidP="003C18DC">
            <w:pPr>
              <w:spacing w:line="240" w:lineRule="auto"/>
              <w:rPr>
                <w:bCs/>
              </w:rPr>
            </w:pPr>
          </w:p>
        </w:tc>
      </w:tr>
    </w:tbl>
    <w:p w14:paraId="55C1BA2C" w14:textId="77777777" w:rsidR="00A42CA7" w:rsidRPr="00A42CA7" w:rsidRDefault="00A42CA7" w:rsidP="00B20C99">
      <w:pPr>
        <w:spacing w:line="240" w:lineRule="auto"/>
      </w:pPr>
      <w:r w:rsidRPr="00A42CA7">
        <w:br w:type="page"/>
      </w:r>
    </w:p>
    <w:p w14:paraId="04100058" w14:textId="77777777" w:rsidR="00A42CA7" w:rsidRPr="00A42CA7" w:rsidRDefault="00A42CA7" w:rsidP="003E538D">
      <w:pPr>
        <w:pStyle w:val="Titre"/>
        <w:jc w:val="center"/>
      </w:pPr>
      <w:bookmarkStart w:id="1" w:name="Entreprises"/>
      <w:bookmarkEnd w:id="1"/>
      <w:r w:rsidRPr="00A42CA7">
        <w:lastRenderedPageBreak/>
        <w:t>Fiscalité des entreprises</w:t>
      </w:r>
    </w:p>
    <w:p w14:paraId="7C7555EC" w14:textId="77777777" w:rsidR="003E538D" w:rsidRDefault="003E538D" w:rsidP="00A42CA7">
      <w:pPr>
        <w:spacing w:line="240" w:lineRule="auto"/>
        <w:jc w:val="left"/>
        <w:rPr>
          <w:b/>
          <w:bCs/>
        </w:rPr>
      </w:pPr>
    </w:p>
    <w:p w14:paraId="74E9DD5F" w14:textId="3B1A5681" w:rsidR="00A42CA7" w:rsidRPr="00A42CA7" w:rsidRDefault="00A42CA7" w:rsidP="00B20C99">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jc w:val="center"/>
        <w:rPr>
          <w:b/>
          <w:bCs/>
        </w:rPr>
      </w:pPr>
      <w:r w:rsidRPr="00A42CA7">
        <w:rPr>
          <w:b/>
          <w:bCs/>
        </w:rPr>
        <w:t>Seuils et limites 2025</w:t>
      </w:r>
    </w:p>
    <w:p w14:paraId="4ADE8890" w14:textId="77777777" w:rsidR="00A42CA7" w:rsidRPr="00A42CA7" w:rsidRDefault="00A42CA7" w:rsidP="00A42CA7">
      <w:pPr>
        <w:spacing w:line="240" w:lineRule="auto"/>
        <w:jc w:val="left"/>
        <w:rPr>
          <w:b/>
        </w:rPr>
      </w:pPr>
    </w:p>
    <w:p w14:paraId="1C433C47" w14:textId="77777777" w:rsidR="00A42CA7" w:rsidRPr="00A42CA7" w:rsidRDefault="00A42CA7" w:rsidP="00A42CA7">
      <w:pPr>
        <w:spacing w:line="240" w:lineRule="auto"/>
        <w:jc w:val="left"/>
      </w:pPr>
      <w:r w:rsidRPr="00A42CA7">
        <w:t xml:space="preserve">Sauf exception, les seuils des régimes d’imposition des bénéfices dans les différentes catégories ainsi que ceux liés aux régimes de TVA ne sont actualisés qu’au terme d’une </w:t>
      </w:r>
      <w:r w:rsidRPr="00A42CA7">
        <w:rPr>
          <w:b/>
        </w:rPr>
        <w:t>période triennale (2023-2025)</w:t>
      </w:r>
      <w:r w:rsidRPr="00A42CA7">
        <w:t>.</w:t>
      </w:r>
    </w:p>
    <w:p w14:paraId="01586254" w14:textId="77777777" w:rsidR="00A42CA7" w:rsidRPr="00A42CA7" w:rsidRDefault="00A42CA7" w:rsidP="00A42CA7">
      <w:pPr>
        <w:spacing w:line="240" w:lineRule="auto"/>
        <w:jc w:val="left"/>
        <w:rPr>
          <w:b/>
        </w:rPr>
      </w:pPr>
    </w:p>
    <w:p w14:paraId="36C0E93D" w14:textId="77777777" w:rsidR="00A42CA7" w:rsidRPr="00A42CA7" w:rsidRDefault="00A42CA7" w:rsidP="00B20C99">
      <w:pPr>
        <w:spacing w:line="240" w:lineRule="auto"/>
        <w:jc w:val="center"/>
        <w:rPr>
          <w:b/>
        </w:rPr>
      </w:pPr>
      <w:r w:rsidRPr="00A42CA7">
        <w:rPr>
          <w:b/>
        </w:rPr>
        <w:t>Régimes d’imposition BIC Source BOFiP</w:t>
      </w:r>
    </w:p>
    <w:p w14:paraId="21C08FE5" w14:textId="77777777" w:rsidR="00A42CA7" w:rsidRPr="00B20C99" w:rsidRDefault="00A42CA7" w:rsidP="00A42CA7">
      <w:pPr>
        <w:spacing w:line="240" w:lineRule="auto"/>
        <w:jc w:val="left"/>
        <w:rPr>
          <w:b/>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126"/>
        <w:gridCol w:w="3432"/>
        <w:gridCol w:w="1948"/>
      </w:tblGrid>
      <w:tr w:rsidR="00A42CA7" w:rsidRPr="00A42CA7" w14:paraId="59D79890" w14:textId="77777777" w:rsidTr="00B20C99">
        <w:trPr>
          <w:trHeight w:val="395"/>
          <w:jc w:val="center"/>
        </w:trPr>
        <w:tc>
          <w:tcPr>
            <w:tcW w:w="254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4FFD9F8" w14:textId="77777777" w:rsidR="00A42CA7" w:rsidRPr="00A42CA7" w:rsidRDefault="00A42CA7" w:rsidP="00B20C99">
            <w:pPr>
              <w:spacing w:line="240" w:lineRule="auto"/>
              <w:jc w:val="center"/>
              <w:rPr>
                <w:b/>
              </w:rPr>
            </w:pPr>
            <w:r w:rsidRPr="00A42CA7">
              <w:rPr>
                <w:b/>
              </w:rPr>
              <w:t>Activité</w:t>
            </w:r>
          </w:p>
        </w:tc>
        <w:tc>
          <w:tcPr>
            <w:tcW w:w="212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659D03D" w14:textId="77777777" w:rsidR="00A42CA7" w:rsidRPr="00A42CA7" w:rsidRDefault="00A42CA7" w:rsidP="00B20C99">
            <w:pPr>
              <w:spacing w:line="240" w:lineRule="auto"/>
              <w:jc w:val="center"/>
              <w:rPr>
                <w:b/>
              </w:rPr>
            </w:pPr>
            <w:r w:rsidRPr="00A42CA7">
              <w:rPr>
                <w:b/>
              </w:rPr>
              <w:t>Micro-BIC</w:t>
            </w:r>
          </w:p>
        </w:tc>
        <w:tc>
          <w:tcPr>
            <w:tcW w:w="343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E96A97F" w14:textId="77777777" w:rsidR="00A42CA7" w:rsidRPr="00A42CA7" w:rsidRDefault="00A42CA7" w:rsidP="00B20C99">
            <w:pPr>
              <w:spacing w:line="240" w:lineRule="auto"/>
              <w:jc w:val="center"/>
              <w:rPr>
                <w:b/>
              </w:rPr>
            </w:pPr>
            <w:r w:rsidRPr="00A42CA7">
              <w:rPr>
                <w:b/>
              </w:rPr>
              <w:t>Réel simplifié</w:t>
            </w:r>
          </w:p>
        </w:tc>
        <w:tc>
          <w:tcPr>
            <w:tcW w:w="194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4F1585C" w14:textId="77777777" w:rsidR="00A42CA7" w:rsidRPr="00A42CA7" w:rsidRDefault="00A42CA7" w:rsidP="00B20C99">
            <w:pPr>
              <w:spacing w:line="240" w:lineRule="auto"/>
              <w:jc w:val="center"/>
              <w:rPr>
                <w:b/>
              </w:rPr>
            </w:pPr>
            <w:r w:rsidRPr="00A42CA7">
              <w:rPr>
                <w:b/>
              </w:rPr>
              <w:t>Réel normal</w:t>
            </w:r>
          </w:p>
        </w:tc>
      </w:tr>
      <w:tr w:rsidR="00A42CA7" w:rsidRPr="00A42CA7" w14:paraId="3C247D67" w14:textId="77777777" w:rsidTr="00B20C99">
        <w:trPr>
          <w:trHeight w:val="654"/>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3F04AFAB" w14:textId="77777777" w:rsidR="00A42CA7" w:rsidRPr="00B20C99" w:rsidRDefault="00A42CA7" w:rsidP="00B20C99">
            <w:pPr>
              <w:spacing w:line="240" w:lineRule="auto"/>
              <w:jc w:val="center"/>
              <w:rPr>
                <w:sz w:val="22"/>
              </w:rPr>
            </w:pPr>
            <w:r w:rsidRPr="00B20C99">
              <w:rPr>
                <w:sz w:val="22"/>
              </w:rPr>
              <w:t>Ventes et fourniture de logement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1D4076B" w14:textId="77777777" w:rsidR="00A42CA7" w:rsidRPr="00B20C99" w:rsidRDefault="00A42CA7" w:rsidP="00B20C99">
            <w:pPr>
              <w:spacing w:line="240" w:lineRule="auto"/>
              <w:jc w:val="center"/>
              <w:rPr>
                <w:sz w:val="22"/>
              </w:rPr>
            </w:pPr>
            <w:r w:rsidRPr="00B20C99">
              <w:rPr>
                <w:sz w:val="22"/>
              </w:rPr>
              <w:t>CAHT ≤ 188 700 €</w:t>
            </w:r>
          </w:p>
        </w:tc>
        <w:tc>
          <w:tcPr>
            <w:tcW w:w="3432" w:type="dxa"/>
            <w:tcBorders>
              <w:top w:val="single" w:sz="4" w:space="0" w:color="auto"/>
              <w:left w:val="single" w:sz="4" w:space="0" w:color="auto"/>
              <w:bottom w:val="single" w:sz="4" w:space="0" w:color="auto"/>
              <w:right w:val="single" w:sz="4" w:space="0" w:color="auto"/>
            </w:tcBorders>
            <w:vAlign w:val="center"/>
            <w:hideMark/>
          </w:tcPr>
          <w:p w14:paraId="2E2D549C" w14:textId="77777777" w:rsidR="00A42CA7" w:rsidRPr="00B20C99" w:rsidRDefault="00A42CA7" w:rsidP="00B20C99">
            <w:pPr>
              <w:spacing w:line="240" w:lineRule="auto"/>
              <w:jc w:val="center"/>
              <w:rPr>
                <w:sz w:val="22"/>
              </w:rPr>
            </w:pPr>
            <w:r w:rsidRPr="00B20C99">
              <w:rPr>
                <w:sz w:val="22"/>
              </w:rPr>
              <w:t>188 700 € &lt; CAHT ≤ 840 000 €</w:t>
            </w:r>
          </w:p>
        </w:tc>
        <w:tc>
          <w:tcPr>
            <w:tcW w:w="1948" w:type="dxa"/>
            <w:tcBorders>
              <w:top w:val="single" w:sz="4" w:space="0" w:color="auto"/>
              <w:left w:val="single" w:sz="4" w:space="0" w:color="auto"/>
              <w:bottom w:val="single" w:sz="4" w:space="0" w:color="auto"/>
              <w:right w:val="single" w:sz="4" w:space="0" w:color="auto"/>
            </w:tcBorders>
            <w:vAlign w:val="center"/>
            <w:hideMark/>
          </w:tcPr>
          <w:p w14:paraId="1C13BC1E" w14:textId="77777777" w:rsidR="00A42CA7" w:rsidRPr="00B20C99" w:rsidRDefault="00A42CA7" w:rsidP="00B20C99">
            <w:pPr>
              <w:spacing w:line="240" w:lineRule="auto"/>
              <w:jc w:val="center"/>
              <w:rPr>
                <w:sz w:val="22"/>
              </w:rPr>
            </w:pPr>
            <w:r w:rsidRPr="00B20C99">
              <w:rPr>
                <w:sz w:val="22"/>
              </w:rPr>
              <w:t>CAHT &gt; 840 000 €</w:t>
            </w:r>
          </w:p>
        </w:tc>
      </w:tr>
      <w:tr w:rsidR="00A42CA7" w:rsidRPr="00A42CA7" w14:paraId="70020E18" w14:textId="77777777" w:rsidTr="00B20C99">
        <w:trPr>
          <w:trHeight w:val="654"/>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5EEB9C3A" w14:textId="77777777" w:rsidR="00A42CA7" w:rsidRPr="00B20C99" w:rsidRDefault="00A42CA7" w:rsidP="00B20C99">
            <w:pPr>
              <w:spacing w:line="240" w:lineRule="auto"/>
              <w:jc w:val="center"/>
              <w:rPr>
                <w:sz w:val="22"/>
              </w:rPr>
            </w:pPr>
            <w:r w:rsidRPr="00B20C99">
              <w:rPr>
                <w:sz w:val="22"/>
              </w:rPr>
              <w:t>Prestations de services et locations meublées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FD545AC" w14:textId="77777777" w:rsidR="00A42CA7" w:rsidRPr="00B20C99" w:rsidRDefault="00A42CA7" w:rsidP="00B20C99">
            <w:pPr>
              <w:spacing w:line="240" w:lineRule="auto"/>
              <w:jc w:val="center"/>
              <w:rPr>
                <w:sz w:val="22"/>
              </w:rPr>
            </w:pPr>
            <w:r w:rsidRPr="00B20C99">
              <w:rPr>
                <w:sz w:val="22"/>
              </w:rPr>
              <w:t>CAHT ≤ 77 700 €</w:t>
            </w:r>
          </w:p>
        </w:tc>
        <w:tc>
          <w:tcPr>
            <w:tcW w:w="3432" w:type="dxa"/>
            <w:tcBorders>
              <w:top w:val="single" w:sz="4" w:space="0" w:color="auto"/>
              <w:left w:val="single" w:sz="4" w:space="0" w:color="auto"/>
              <w:bottom w:val="single" w:sz="4" w:space="0" w:color="auto"/>
              <w:right w:val="single" w:sz="4" w:space="0" w:color="auto"/>
            </w:tcBorders>
            <w:vAlign w:val="center"/>
            <w:hideMark/>
          </w:tcPr>
          <w:p w14:paraId="03DEA0D8" w14:textId="77777777" w:rsidR="00A42CA7" w:rsidRPr="00B20C99" w:rsidRDefault="00A42CA7" w:rsidP="00B20C99">
            <w:pPr>
              <w:spacing w:line="240" w:lineRule="auto"/>
              <w:jc w:val="center"/>
              <w:rPr>
                <w:sz w:val="22"/>
              </w:rPr>
            </w:pPr>
            <w:r w:rsidRPr="00B20C99">
              <w:rPr>
                <w:sz w:val="22"/>
              </w:rPr>
              <w:t>77 700 € &lt; CAHT ≤ 254 000 €</w:t>
            </w:r>
          </w:p>
        </w:tc>
        <w:tc>
          <w:tcPr>
            <w:tcW w:w="1948" w:type="dxa"/>
            <w:tcBorders>
              <w:top w:val="single" w:sz="4" w:space="0" w:color="auto"/>
              <w:left w:val="single" w:sz="4" w:space="0" w:color="auto"/>
              <w:bottom w:val="single" w:sz="4" w:space="0" w:color="auto"/>
              <w:right w:val="single" w:sz="4" w:space="0" w:color="auto"/>
            </w:tcBorders>
            <w:vAlign w:val="center"/>
            <w:hideMark/>
          </w:tcPr>
          <w:p w14:paraId="0ECD2B47" w14:textId="77777777" w:rsidR="00A42CA7" w:rsidRPr="00B20C99" w:rsidRDefault="00A42CA7" w:rsidP="00B20C99">
            <w:pPr>
              <w:spacing w:line="240" w:lineRule="auto"/>
              <w:jc w:val="center"/>
              <w:rPr>
                <w:sz w:val="22"/>
              </w:rPr>
            </w:pPr>
            <w:r w:rsidRPr="00B20C99">
              <w:rPr>
                <w:sz w:val="22"/>
              </w:rPr>
              <w:t>CAHT &gt; 254 000 €</w:t>
            </w:r>
          </w:p>
        </w:tc>
      </w:tr>
    </w:tbl>
    <w:p w14:paraId="19E39D9E" w14:textId="77777777" w:rsidR="00A42CA7" w:rsidRPr="00A42CA7" w:rsidRDefault="00A42CA7" w:rsidP="00A42CA7">
      <w:pPr>
        <w:spacing w:line="240" w:lineRule="auto"/>
        <w:jc w:val="left"/>
        <w:rPr>
          <w:b/>
        </w:rPr>
      </w:pPr>
    </w:p>
    <w:p w14:paraId="5E47936D" w14:textId="77777777" w:rsidR="00A42CA7" w:rsidRPr="00A42CA7" w:rsidRDefault="00A42CA7" w:rsidP="00B20C99">
      <w:pPr>
        <w:spacing w:line="240" w:lineRule="auto"/>
        <w:jc w:val="center"/>
        <w:rPr>
          <w:b/>
        </w:rPr>
      </w:pPr>
      <w:r w:rsidRPr="00A42CA7">
        <w:rPr>
          <w:b/>
        </w:rPr>
        <w:t>Régimes d’imposition BNC Source BOFiP</w:t>
      </w:r>
    </w:p>
    <w:p w14:paraId="56F4BB21" w14:textId="77777777" w:rsidR="00A42CA7" w:rsidRPr="00B20C99" w:rsidRDefault="00A42CA7" w:rsidP="00A42CA7">
      <w:pPr>
        <w:spacing w:line="240" w:lineRule="auto"/>
        <w:jc w:val="left"/>
        <w:rPr>
          <w:b/>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2334"/>
        <w:gridCol w:w="2334"/>
      </w:tblGrid>
      <w:tr w:rsidR="00A42CA7" w:rsidRPr="00A42CA7" w14:paraId="3A0B8B8C" w14:textId="77777777" w:rsidTr="00A42CA7">
        <w:trPr>
          <w:trHeight w:val="337"/>
          <w:jc w:val="center"/>
        </w:trPr>
        <w:tc>
          <w:tcPr>
            <w:tcW w:w="0" w:type="auto"/>
            <w:tcBorders>
              <w:top w:val="single" w:sz="4" w:space="0" w:color="auto"/>
              <w:left w:val="single" w:sz="4" w:space="0" w:color="auto"/>
              <w:bottom w:val="single" w:sz="4" w:space="0" w:color="auto"/>
              <w:right w:val="single" w:sz="4" w:space="0" w:color="auto"/>
            </w:tcBorders>
            <w:shd w:val="clear" w:color="auto" w:fill="BFBFBF"/>
            <w:vAlign w:val="center"/>
            <w:hideMark/>
          </w:tcPr>
          <w:p w14:paraId="05BBD61B" w14:textId="77777777" w:rsidR="00A42CA7" w:rsidRPr="00A42CA7" w:rsidRDefault="00A42CA7" w:rsidP="00B20C99">
            <w:pPr>
              <w:spacing w:line="240" w:lineRule="auto"/>
              <w:jc w:val="center"/>
              <w:rPr>
                <w:b/>
              </w:rPr>
            </w:pPr>
            <w:r w:rsidRPr="00A42CA7">
              <w:rPr>
                <w:b/>
              </w:rPr>
              <w:t>Activité</w:t>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hideMark/>
          </w:tcPr>
          <w:p w14:paraId="1211799E" w14:textId="77777777" w:rsidR="00A42CA7" w:rsidRPr="00A42CA7" w:rsidRDefault="00A42CA7" w:rsidP="00B20C99">
            <w:pPr>
              <w:spacing w:line="240" w:lineRule="auto"/>
              <w:jc w:val="center"/>
              <w:rPr>
                <w:b/>
              </w:rPr>
            </w:pPr>
            <w:r w:rsidRPr="00A42CA7">
              <w:rPr>
                <w:b/>
              </w:rPr>
              <w:t>Micro-BNC</w:t>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hideMark/>
          </w:tcPr>
          <w:p w14:paraId="43735187" w14:textId="77777777" w:rsidR="00A42CA7" w:rsidRPr="00A42CA7" w:rsidRDefault="00A42CA7" w:rsidP="00B20C99">
            <w:pPr>
              <w:spacing w:line="240" w:lineRule="auto"/>
              <w:jc w:val="center"/>
              <w:rPr>
                <w:b/>
              </w:rPr>
            </w:pPr>
            <w:r w:rsidRPr="00A42CA7">
              <w:rPr>
                <w:b/>
              </w:rPr>
              <w:t>Déclaration contrôlée</w:t>
            </w:r>
          </w:p>
        </w:tc>
      </w:tr>
      <w:tr w:rsidR="00A42CA7" w:rsidRPr="00A42CA7" w14:paraId="5947CCCE" w14:textId="77777777" w:rsidTr="00B20C99">
        <w:trPr>
          <w:trHeight w:val="502"/>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7F55C17" w14:textId="77777777" w:rsidR="00A42CA7" w:rsidRPr="00B20C99" w:rsidRDefault="00A42CA7" w:rsidP="00B20C99">
            <w:pPr>
              <w:spacing w:line="240" w:lineRule="auto"/>
              <w:jc w:val="center"/>
              <w:rPr>
                <w:sz w:val="22"/>
              </w:rPr>
            </w:pPr>
            <w:r w:rsidRPr="00B20C99">
              <w:rPr>
                <w:sz w:val="22"/>
              </w:rPr>
              <w:t>Professions libérales et autres</w:t>
            </w:r>
          </w:p>
        </w:tc>
        <w:tc>
          <w:tcPr>
            <w:tcW w:w="0" w:type="auto"/>
            <w:tcBorders>
              <w:top w:val="single" w:sz="4" w:space="0" w:color="auto"/>
              <w:left w:val="single" w:sz="4" w:space="0" w:color="auto"/>
              <w:bottom w:val="single" w:sz="4" w:space="0" w:color="auto"/>
              <w:right w:val="single" w:sz="4" w:space="0" w:color="auto"/>
            </w:tcBorders>
            <w:vAlign w:val="center"/>
            <w:hideMark/>
          </w:tcPr>
          <w:p w14:paraId="4ADABD37" w14:textId="77777777" w:rsidR="00A42CA7" w:rsidRPr="00B20C99" w:rsidRDefault="00A42CA7" w:rsidP="00B20C99">
            <w:pPr>
              <w:spacing w:line="240" w:lineRule="auto"/>
              <w:jc w:val="center"/>
              <w:rPr>
                <w:sz w:val="22"/>
              </w:rPr>
            </w:pPr>
            <w:r w:rsidRPr="00B20C99">
              <w:rPr>
                <w:sz w:val="22"/>
              </w:rPr>
              <w:t>Recettes HT ≤ 77 700 €</w:t>
            </w:r>
          </w:p>
        </w:tc>
        <w:tc>
          <w:tcPr>
            <w:tcW w:w="0" w:type="auto"/>
            <w:tcBorders>
              <w:top w:val="single" w:sz="4" w:space="0" w:color="auto"/>
              <w:left w:val="single" w:sz="4" w:space="0" w:color="auto"/>
              <w:bottom w:val="single" w:sz="4" w:space="0" w:color="auto"/>
              <w:right w:val="single" w:sz="4" w:space="0" w:color="auto"/>
            </w:tcBorders>
            <w:vAlign w:val="center"/>
            <w:hideMark/>
          </w:tcPr>
          <w:p w14:paraId="4499BF2C" w14:textId="77777777" w:rsidR="00A42CA7" w:rsidRPr="00B20C99" w:rsidRDefault="00A42CA7" w:rsidP="00B20C99">
            <w:pPr>
              <w:spacing w:line="240" w:lineRule="auto"/>
              <w:jc w:val="center"/>
              <w:rPr>
                <w:sz w:val="22"/>
              </w:rPr>
            </w:pPr>
            <w:r w:rsidRPr="00B20C99">
              <w:rPr>
                <w:sz w:val="22"/>
              </w:rPr>
              <w:t>Recettes HT &gt; 77 700 €</w:t>
            </w:r>
          </w:p>
        </w:tc>
      </w:tr>
    </w:tbl>
    <w:p w14:paraId="3288E22A" w14:textId="77777777" w:rsidR="00A42CA7" w:rsidRPr="00A42CA7" w:rsidRDefault="00A42CA7" w:rsidP="00A42CA7">
      <w:pPr>
        <w:spacing w:line="240" w:lineRule="auto"/>
        <w:jc w:val="left"/>
        <w:rPr>
          <w:b/>
        </w:rPr>
      </w:pPr>
    </w:p>
    <w:p w14:paraId="1FDCB607" w14:textId="77777777" w:rsidR="00A42CA7" w:rsidRPr="00A42CA7" w:rsidRDefault="00A42CA7" w:rsidP="00B20C99">
      <w:pPr>
        <w:spacing w:line="240" w:lineRule="auto"/>
        <w:jc w:val="center"/>
        <w:rPr>
          <w:b/>
        </w:rPr>
      </w:pPr>
      <w:r w:rsidRPr="00A42CA7">
        <w:rPr>
          <w:b/>
        </w:rPr>
        <w:t>Régimes d’imposition BA Source BOFiP</w:t>
      </w:r>
    </w:p>
    <w:p w14:paraId="713FEF79" w14:textId="77777777" w:rsidR="00A42CA7" w:rsidRPr="00B20C99" w:rsidRDefault="00A42CA7" w:rsidP="00A42CA7">
      <w:pPr>
        <w:spacing w:line="240" w:lineRule="auto"/>
        <w:jc w:val="left"/>
        <w:rPr>
          <w:b/>
          <w:sz w:val="10"/>
          <w:szCs w:val="10"/>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
        <w:gridCol w:w="2587"/>
        <w:gridCol w:w="3565"/>
        <w:gridCol w:w="2408"/>
      </w:tblGrid>
      <w:tr w:rsidR="00A42CA7" w:rsidRPr="00A42CA7" w14:paraId="00908218" w14:textId="77777777" w:rsidTr="00DB051A">
        <w:trPr>
          <w:trHeight w:val="430"/>
        </w:trPr>
        <w:tc>
          <w:tcPr>
            <w:tcW w:w="74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4B4F067" w14:textId="77777777" w:rsidR="00A42CA7" w:rsidRPr="00A42CA7" w:rsidRDefault="00A42CA7" w:rsidP="00B20C99">
            <w:pPr>
              <w:spacing w:line="240" w:lineRule="auto"/>
              <w:jc w:val="center"/>
              <w:rPr>
                <w:b/>
              </w:rPr>
            </w:pPr>
            <w:r w:rsidRPr="00A42CA7">
              <w:rPr>
                <w:b/>
              </w:rPr>
              <w:t>Activité</w:t>
            </w:r>
          </w:p>
        </w:tc>
        <w:tc>
          <w:tcPr>
            <w:tcW w:w="128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C7758D1" w14:textId="77777777" w:rsidR="00A42CA7" w:rsidRPr="00A42CA7" w:rsidRDefault="00A42CA7" w:rsidP="00B20C99">
            <w:pPr>
              <w:spacing w:line="240" w:lineRule="auto"/>
              <w:jc w:val="center"/>
              <w:rPr>
                <w:b/>
              </w:rPr>
            </w:pPr>
            <w:r w:rsidRPr="00A42CA7">
              <w:rPr>
                <w:b/>
              </w:rPr>
              <w:t>Micro-BA</w:t>
            </w:r>
          </w:p>
        </w:tc>
        <w:tc>
          <w:tcPr>
            <w:tcW w:w="1772"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99702A5" w14:textId="77777777" w:rsidR="00A42CA7" w:rsidRPr="00A42CA7" w:rsidRDefault="00A42CA7" w:rsidP="00B20C99">
            <w:pPr>
              <w:spacing w:line="240" w:lineRule="auto"/>
              <w:jc w:val="center"/>
              <w:rPr>
                <w:b/>
              </w:rPr>
            </w:pPr>
            <w:r w:rsidRPr="00A42CA7">
              <w:rPr>
                <w:b/>
              </w:rPr>
              <w:t>Réel simplifié</w:t>
            </w:r>
          </w:p>
        </w:tc>
        <w:tc>
          <w:tcPr>
            <w:tcW w:w="119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14D610A" w14:textId="77777777" w:rsidR="00A42CA7" w:rsidRPr="00A42CA7" w:rsidRDefault="00A42CA7" w:rsidP="00B20C99">
            <w:pPr>
              <w:spacing w:line="240" w:lineRule="auto"/>
              <w:jc w:val="center"/>
              <w:rPr>
                <w:b/>
              </w:rPr>
            </w:pPr>
            <w:r w:rsidRPr="00A42CA7">
              <w:rPr>
                <w:b/>
              </w:rPr>
              <w:t>Réel normal</w:t>
            </w:r>
          </w:p>
        </w:tc>
      </w:tr>
      <w:tr w:rsidR="00A42CA7" w:rsidRPr="00A42CA7" w14:paraId="0C6731B1" w14:textId="77777777" w:rsidTr="00DB051A">
        <w:trPr>
          <w:trHeight w:val="702"/>
        </w:trPr>
        <w:tc>
          <w:tcPr>
            <w:tcW w:w="745" w:type="pct"/>
            <w:tcBorders>
              <w:top w:val="single" w:sz="4" w:space="0" w:color="auto"/>
              <w:left w:val="single" w:sz="4" w:space="0" w:color="auto"/>
              <w:bottom w:val="single" w:sz="4" w:space="0" w:color="auto"/>
              <w:right w:val="single" w:sz="4" w:space="0" w:color="auto"/>
            </w:tcBorders>
            <w:vAlign w:val="center"/>
            <w:hideMark/>
          </w:tcPr>
          <w:p w14:paraId="42DB94CE" w14:textId="77777777" w:rsidR="00A42CA7" w:rsidRPr="00B20C99" w:rsidRDefault="00A42CA7" w:rsidP="00B20C99">
            <w:pPr>
              <w:spacing w:line="240" w:lineRule="auto"/>
              <w:jc w:val="center"/>
              <w:rPr>
                <w:sz w:val="22"/>
              </w:rPr>
            </w:pPr>
            <w:r w:rsidRPr="00B20C99">
              <w:rPr>
                <w:sz w:val="22"/>
              </w:rPr>
              <w:t>Activités agricoles</w:t>
            </w:r>
          </w:p>
        </w:tc>
        <w:tc>
          <w:tcPr>
            <w:tcW w:w="1286" w:type="pct"/>
            <w:tcBorders>
              <w:top w:val="single" w:sz="4" w:space="0" w:color="auto"/>
              <w:left w:val="single" w:sz="4" w:space="0" w:color="auto"/>
              <w:bottom w:val="single" w:sz="4" w:space="0" w:color="auto"/>
              <w:right w:val="single" w:sz="4" w:space="0" w:color="auto"/>
            </w:tcBorders>
            <w:vAlign w:val="center"/>
            <w:hideMark/>
          </w:tcPr>
          <w:p w14:paraId="7CE8849D" w14:textId="77777777" w:rsidR="00A42CA7" w:rsidRPr="00B20C99" w:rsidRDefault="00A42CA7" w:rsidP="00B20C99">
            <w:pPr>
              <w:spacing w:line="240" w:lineRule="auto"/>
              <w:jc w:val="center"/>
              <w:rPr>
                <w:sz w:val="22"/>
              </w:rPr>
            </w:pPr>
            <w:r w:rsidRPr="00B20C99">
              <w:rPr>
                <w:sz w:val="22"/>
              </w:rPr>
              <w:t xml:space="preserve">CAHT </w:t>
            </w:r>
            <w:r w:rsidRPr="00B20C99">
              <w:rPr>
                <w:i/>
                <w:iCs/>
                <w:sz w:val="22"/>
                <w:vertAlign w:val="superscript"/>
              </w:rPr>
              <w:t xml:space="preserve">(1) </w:t>
            </w:r>
            <w:r w:rsidRPr="00B20C99">
              <w:rPr>
                <w:sz w:val="22"/>
              </w:rPr>
              <w:t>≤ 120 000 €</w:t>
            </w:r>
          </w:p>
        </w:tc>
        <w:tc>
          <w:tcPr>
            <w:tcW w:w="1772" w:type="pct"/>
            <w:tcBorders>
              <w:top w:val="single" w:sz="4" w:space="0" w:color="auto"/>
              <w:left w:val="single" w:sz="4" w:space="0" w:color="auto"/>
              <w:bottom w:val="single" w:sz="4" w:space="0" w:color="auto"/>
              <w:right w:val="single" w:sz="4" w:space="0" w:color="auto"/>
            </w:tcBorders>
            <w:vAlign w:val="center"/>
            <w:hideMark/>
          </w:tcPr>
          <w:p w14:paraId="7F348845" w14:textId="77777777" w:rsidR="00A42CA7" w:rsidRPr="00B20C99" w:rsidRDefault="00A42CA7" w:rsidP="00B20C99">
            <w:pPr>
              <w:spacing w:line="240" w:lineRule="auto"/>
              <w:jc w:val="center"/>
              <w:rPr>
                <w:sz w:val="22"/>
              </w:rPr>
            </w:pPr>
            <w:r w:rsidRPr="00B20C99">
              <w:rPr>
                <w:sz w:val="22"/>
              </w:rPr>
              <w:t xml:space="preserve">120 000 € &lt; </w:t>
            </w:r>
            <w:r w:rsidRPr="00B20C99">
              <w:rPr>
                <w:i/>
                <w:iCs/>
                <w:sz w:val="22"/>
              </w:rPr>
              <w:t xml:space="preserve">CAHT </w:t>
            </w:r>
            <w:r w:rsidRPr="00B20C99">
              <w:rPr>
                <w:i/>
                <w:iCs/>
                <w:sz w:val="22"/>
                <w:vertAlign w:val="superscript"/>
              </w:rPr>
              <w:t>(1)</w:t>
            </w:r>
            <w:r w:rsidRPr="00B20C99">
              <w:rPr>
                <w:i/>
                <w:iCs/>
                <w:sz w:val="22"/>
              </w:rPr>
              <w:t xml:space="preserve"> </w:t>
            </w:r>
            <w:r w:rsidRPr="00B20C99">
              <w:rPr>
                <w:sz w:val="22"/>
              </w:rPr>
              <w:t>≤ 391 000 €</w:t>
            </w:r>
          </w:p>
        </w:tc>
        <w:tc>
          <w:tcPr>
            <w:tcW w:w="1197" w:type="pct"/>
            <w:tcBorders>
              <w:top w:val="single" w:sz="4" w:space="0" w:color="auto"/>
              <w:left w:val="single" w:sz="4" w:space="0" w:color="auto"/>
              <w:bottom w:val="single" w:sz="4" w:space="0" w:color="auto"/>
              <w:right w:val="single" w:sz="4" w:space="0" w:color="auto"/>
            </w:tcBorders>
            <w:vAlign w:val="center"/>
            <w:hideMark/>
          </w:tcPr>
          <w:p w14:paraId="1D5CCE68" w14:textId="77777777" w:rsidR="00A42CA7" w:rsidRPr="00B20C99" w:rsidRDefault="00A42CA7" w:rsidP="00B20C99">
            <w:pPr>
              <w:spacing w:line="240" w:lineRule="auto"/>
              <w:jc w:val="center"/>
              <w:rPr>
                <w:sz w:val="22"/>
              </w:rPr>
            </w:pPr>
            <w:r w:rsidRPr="00B20C99">
              <w:rPr>
                <w:sz w:val="22"/>
              </w:rPr>
              <w:t xml:space="preserve">CAHT </w:t>
            </w:r>
            <w:r w:rsidRPr="00B20C99">
              <w:rPr>
                <w:i/>
                <w:iCs/>
                <w:sz w:val="22"/>
                <w:vertAlign w:val="superscript"/>
              </w:rPr>
              <w:t>(1)</w:t>
            </w:r>
            <w:r w:rsidRPr="00B20C99">
              <w:rPr>
                <w:sz w:val="22"/>
              </w:rPr>
              <w:t xml:space="preserve"> &gt; 391 000 €</w:t>
            </w:r>
          </w:p>
        </w:tc>
      </w:tr>
    </w:tbl>
    <w:p w14:paraId="6DEA18D5" w14:textId="77777777" w:rsidR="00A42CA7" w:rsidRPr="00B20C99" w:rsidRDefault="00A42CA7" w:rsidP="00A42CA7">
      <w:pPr>
        <w:spacing w:line="240" w:lineRule="auto"/>
        <w:jc w:val="left"/>
        <w:rPr>
          <w:i/>
          <w:sz w:val="10"/>
          <w:szCs w:val="10"/>
        </w:rPr>
      </w:pPr>
    </w:p>
    <w:p w14:paraId="48C792CC" w14:textId="77777777" w:rsidR="00A42CA7" w:rsidRPr="00A42CA7" w:rsidRDefault="00A42CA7" w:rsidP="00A42CA7">
      <w:pPr>
        <w:numPr>
          <w:ilvl w:val="0"/>
          <w:numId w:val="23"/>
        </w:numPr>
        <w:spacing w:line="240" w:lineRule="auto"/>
        <w:jc w:val="left"/>
        <w:rPr>
          <w:i/>
        </w:rPr>
      </w:pPr>
      <w:r w:rsidRPr="00A42CA7">
        <w:rPr>
          <w:i/>
        </w:rPr>
        <w:t>CAHT = moyenne des recettes HT des 3 années précédentes</w:t>
      </w:r>
    </w:p>
    <w:p w14:paraId="2B5779D9" w14:textId="77777777" w:rsidR="00A42CA7" w:rsidRDefault="00A42CA7" w:rsidP="00A42CA7">
      <w:pPr>
        <w:spacing w:line="240" w:lineRule="auto"/>
        <w:jc w:val="left"/>
      </w:pPr>
    </w:p>
    <w:p w14:paraId="18625078" w14:textId="77777777" w:rsidR="00B20C99" w:rsidRPr="00A42CA7" w:rsidRDefault="00B20C99" w:rsidP="00A42CA7">
      <w:pPr>
        <w:spacing w:line="240" w:lineRule="auto"/>
        <w:jc w:val="left"/>
      </w:pPr>
    </w:p>
    <w:p w14:paraId="0BBC1E47" w14:textId="77777777" w:rsidR="00A42CA7" w:rsidRPr="00A42CA7" w:rsidRDefault="00A42CA7" w:rsidP="00B20C99">
      <w:pPr>
        <w:spacing w:line="240" w:lineRule="auto"/>
        <w:jc w:val="center"/>
        <w:rPr>
          <w:b/>
        </w:rPr>
      </w:pPr>
      <w:r w:rsidRPr="00A42CA7">
        <w:rPr>
          <w:b/>
        </w:rPr>
        <w:t>Régimes d’imposition TVA Source BOFiP</w:t>
      </w:r>
    </w:p>
    <w:p w14:paraId="4AE2321B" w14:textId="77777777" w:rsidR="00A42CA7" w:rsidRPr="00B20C99" w:rsidRDefault="00A42CA7" w:rsidP="00A42CA7">
      <w:pPr>
        <w:spacing w:line="240" w:lineRule="auto"/>
        <w:jc w:val="left"/>
        <w:rPr>
          <w:b/>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268"/>
        <w:gridCol w:w="3574"/>
        <w:gridCol w:w="1948"/>
      </w:tblGrid>
      <w:tr w:rsidR="00A42CA7" w:rsidRPr="00A42CA7" w14:paraId="5C2E68D3" w14:textId="77777777" w:rsidTr="00B20C99">
        <w:trPr>
          <w:trHeight w:val="431"/>
          <w:jc w:val="center"/>
        </w:trPr>
        <w:tc>
          <w:tcPr>
            <w:tcW w:w="2263"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2A90502" w14:textId="77777777" w:rsidR="00A42CA7" w:rsidRPr="00A42CA7" w:rsidRDefault="00A42CA7" w:rsidP="00B20C99">
            <w:pPr>
              <w:spacing w:line="240" w:lineRule="auto"/>
              <w:jc w:val="center"/>
              <w:rPr>
                <w:b/>
              </w:rPr>
            </w:pPr>
            <w:r w:rsidRPr="00A42CA7">
              <w:rPr>
                <w:b/>
              </w:rPr>
              <w:t>Activité</w:t>
            </w:r>
          </w:p>
        </w:tc>
        <w:tc>
          <w:tcPr>
            <w:tcW w:w="226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931F758" w14:textId="77777777" w:rsidR="00A42CA7" w:rsidRPr="00A42CA7" w:rsidRDefault="00A42CA7" w:rsidP="00B20C99">
            <w:pPr>
              <w:spacing w:line="240" w:lineRule="auto"/>
              <w:jc w:val="center"/>
              <w:rPr>
                <w:b/>
              </w:rPr>
            </w:pPr>
            <w:r w:rsidRPr="00A42CA7">
              <w:rPr>
                <w:b/>
              </w:rPr>
              <w:t>Franchise</w:t>
            </w:r>
          </w:p>
        </w:tc>
        <w:tc>
          <w:tcPr>
            <w:tcW w:w="357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CEAA7BC" w14:textId="77777777" w:rsidR="00A42CA7" w:rsidRPr="00A42CA7" w:rsidRDefault="00A42CA7" w:rsidP="00B20C99">
            <w:pPr>
              <w:spacing w:line="240" w:lineRule="auto"/>
              <w:jc w:val="center"/>
              <w:rPr>
                <w:b/>
              </w:rPr>
            </w:pPr>
            <w:r w:rsidRPr="00A42CA7">
              <w:rPr>
                <w:b/>
              </w:rPr>
              <w:t xml:space="preserve">Réel simplifié de déclaration </w:t>
            </w:r>
            <w:r w:rsidRPr="00A42CA7">
              <w:rPr>
                <w:i/>
                <w:iCs/>
                <w:vertAlign w:val="superscript"/>
              </w:rPr>
              <w:t>(2)</w:t>
            </w:r>
          </w:p>
        </w:tc>
        <w:tc>
          <w:tcPr>
            <w:tcW w:w="194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131BD0D" w14:textId="77777777" w:rsidR="00A42CA7" w:rsidRPr="00A42CA7" w:rsidRDefault="00A42CA7" w:rsidP="00B20C99">
            <w:pPr>
              <w:spacing w:line="240" w:lineRule="auto"/>
              <w:jc w:val="center"/>
              <w:rPr>
                <w:b/>
              </w:rPr>
            </w:pPr>
            <w:r w:rsidRPr="00A42CA7">
              <w:rPr>
                <w:b/>
              </w:rPr>
              <w:t>Réel normal</w:t>
            </w:r>
          </w:p>
        </w:tc>
      </w:tr>
      <w:tr w:rsidR="00A42CA7" w:rsidRPr="00A42CA7" w14:paraId="24F2871D" w14:textId="77777777" w:rsidTr="00B20C99">
        <w:trPr>
          <w:trHeight w:val="673"/>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7B783CF7" w14:textId="77777777" w:rsidR="00A42CA7" w:rsidRPr="00B20C99" w:rsidRDefault="00A42CA7" w:rsidP="00B20C99">
            <w:pPr>
              <w:spacing w:line="240" w:lineRule="auto"/>
              <w:jc w:val="center"/>
              <w:rPr>
                <w:sz w:val="22"/>
              </w:rPr>
            </w:pPr>
            <w:r w:rsidRPr="00B20C99">
              <w:rPr>
                <w:sz w:val="22"/>
              </w:rPr>
              <w:t>Ventes et fourniture de logement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EC7D986" w14:textId="77777777" w:rsidR="00A42CA7" w:rsidRPr="00B20C99" w:rsidRDefault="00A42CA7" w:rsidP="00B20C99">
            <w:pPr>
              <w:spacing w:line="240" w:lineRule="auto"/>
              <w:jc w:val="center"/>
              <w:rPr>
                <w:sz w:val="22"/>
              </w:rPr>
            </w:pPr>
            <w:r w:rsidRPr="00B20C99">
              <w:rPr>
                <w:sz w:val="22"/>
              </w:rPr>
              <w:t xml:space="preserve">CAHT ≤ 85 000 € </w:t>
            </w:r>
            <w:r w:rsidRPr="00B20C99">
              <w:rPr>
                <w:i/>
                <w:iCs/>
                <w:sz w:val="22"/>
                <w:vertAlign w:val="superscript"/>
              </w:rPr>
              <w:t>(1)</w:t>
            </w:r>
          </w:p>
        </w:tc>
        <w:tc>
          <w:tcPr>
            <w:tcW w:w="3574" w:type="dxa"/>
            <w:tcBorders>
              <w:top w:val="single" w:sz="4" w:space="0" w:color="auto"/>
              <w:left w:val="single" w:sz="4" w:space="0" w:color="auto"/>
              <w:bottom w:val="single" w:sz="4" w:space="0" w:color="auto"/>
              <w:right w:val="single" w:sz="4" w:space="0" w:color="auto"/>
            </w:tcBorders>
            <w:vAlign w:val="center"/>
            <w:hideMark/>
          </w:tcPr>
          <w:p w14:paraId="63F0C504" w14:textId="77777777" w:rsidR="00A42CA7" w:rsidRPr="00B20C99" w:rsidRDefault="00A42CA7" w:rsidP="00B20C99">
            <w:pPr>
              <w:spacing w:line="240" w:lineRule="auto"/>
              <w:jc w:val="center"/>
              <w:rPr>
                <w:sz w:val="22"/>
              </w:rPr>
            </w:pPr>
            <w:r w:rsidRPr="00B20C99">
              <w:rPr>
                <w:sz w:val="22"/>
              </w:rPr>
              <w:t>85 000 € &lt; CAHT ≤ 840 000 €</w:t>
            </w:r>
          </w:p>
        </w:tc>
        <w:tc>
          <w:tcPr>
            <w:tcW w:w="1948" w:type="dxa"/>
            <w:tcBorders>
              <w:top w:val="single" w:sz="4" w:space="0" w:color="auto"/>
              <w:left w:val="single" w:sz="4" w:space="0" w:color="auto"/>
              <w:bottom w:val="single" w:sz="4" w:space="0" w:color="auto"/>
              <w:right w:val="single" w:sz="4" w:space="0" w:color="auto"/>
            </w:tcBorders>
            <w:vAlign w:val="center"/>
            <w:hideMark/>
          </w:tcPr>
          <w:p w14:paraId="26C31467" w14:textId="77777777" w:rsidR="00A42CA7" w:rsidRPr="00B20C99" w:rsidRDefault="00A42CA7" w:rsidP="00B20C99">
            <w:pPr>
              <w:spacing w:line="240" w:lineRule="auto"/>
              <w:jc w:val="center"/>
              <w:rPr>
                <w:sz w:val="22"/>
              </w:rPr>
            </w:pPr>
            <w:r w:rsidRPr="00B20C99">
              <w:rPr>
                <w:sz w:val="22"/>
              </w:rPr>
              <w:t>CAHT &gt; 840 000 €</w:t>
            </w:r>
          </w:p>
        </w:tc>
      </w:tr>
      <w:tr w:rsidR="00A42CA7" w:rsidRPr="00A42CA7" w14:paraId="45BFC4C7" w14:textId="77777777" w:rsidTr="00B20C99">
        <w:trPr>
          <w:trHeight w:val="673"/>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07363942" w14:textId="77777777" w:rsidR="00A42CA7" w:rsidRPr="00B20C99" w:rsidRDefault="00A42CA7" w:rsidP="00B20C99">
            <w:pPr>
              <w:spacing w:line="240" w:lineRule="auto"/>
              <w:jc w:val="center"/>
              <w:rPr>
                <w:sz w:val="22"/>
              </w:rPr>
            </w:pPr>
            <w:r w:rsidRPr="00B20C99">
              <w:rPr>
                <w:sz w:val="22"/>
              </w:rPr>
              <w:t>Prestations de services et locations meublées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63F44A9" w14:textId="77777777" w:rsidR="00A42CA7" w:rsidRPr="00B20C99" w:rsidRDefault="00A42CA7" w:rsidP="00B20C99">
            <w:pPr>
              <w:spacing w:line="240" w:lineRule="auto"/>
              <w:jc w:val="center"/>
              <w:rPr>
                <w:sz w:val="22"/>
              </w:rPr>
            </w:pPr>
            <w:r w:rsidRPr="00B20C99">
              <w:rPr>
                <w:sz w:val="22"/>
              </w:rPr>
              <w:t>CAHT ≤ 37 500 €</w:t>
            </w:r>
          </w:p>
        </w:tc>
        <w:tc>
          <w:tcPr>
            <w:tcW w:w="3574" w:type="dxa"/>
            <w:tcBorders>
              <w:top w:val="single" w:sz="4" w:space="0" w:color="auto"/>
              <w:left w:val="single" w:sz="4" w:space="0" w:color="auto"/>
              <w:bottom w:val="single" w:sz="4" w:space="0" w:color="auto"/>
              <w:right w:val="single" w:sz="4" w:space="0" w:color="auto"/>
            </w:tcBorders>
            <w:vAlign w:val="center"/>
            <w:hideMark/>
          </w:tcPr>
          <w:p w14:paraId="0439DD44" w14:textId="77777777" w:rsidR="00A42CA7" w:rsidRPr="00B20C99" w:rsidRDefault="00A42CA7" w:rsidP="00B20C99">
            <w:pPr>
              <w:spacing w:line="240" w:lineRule="auto"/>
              <w:jc w:val="center"/>
              <w:rPr>
                <w:sz w:val="22"/>
              </w:rPr>
            </w:pPr>
            <w:r w:rsidRPr="00B20C99">
              <w:rPr>
                <w:sz w:val="22"/>
              </w:rPr>
              <w:t>37 500 € &lt; CAHT ≤ 254 000 €</w:t>
            </w:r>
          </w:p>
        </w:tc>
        <w:tc>
          <w:tcPr>
            <w:tcW w:w="1948" w:type="dxa"/>
            <w:tcBorders>
              <w:top w:val="single" w:sz="4" w:space="0" w:color="auto"/>
              <w:left w:val="single" w:sz="4" w:space="0" w:color="auto"/>
              <w:bottom w:val="single" w:sz="4" w:space="0" w:color="auto"/>
              <w:right w:val="single" w:sz="4" w:space="0" w:color="auto"/>
            </w:tcBorders>
            <w:vAlign w:val="center"/>
            <w:hideMark/>
          </w:tcPr>
          <w:p w14:paraId="3AEA3353" w14:textId="77777777" w:rsidR="00A42CA7" w:rsidRPr="00B20C99" w:rsidRDefault="00A42CA7" w:rsidP="00B20C99">
            <w:pPr>
              <w:spacing w:line="240" w:lineRule="auto"/>
              <w:jc w:val="center"/>
              <w:rPr>
                <w:sz w:val="22"/>
              </w:rPr>
            </w:pPr>
            <w:r w:rsidRPr="00B20C99">
              <w:rPr>
                <w:sz w:val="22"/>
              </w:rPr>
              <w:t>CAHT &gt; 254 000 €</w:t>
            </w:r>
          </w:p>
        </w:tc>
      </w:tr>
    </w:tbl>
    <w:p w14:paraId="68ECE706" w14:textId="77777777" w:rsidR="00A42CA7" w:rsidRPr="00B20C99" w:rsidRDefault="00A42CA7" w:rsidP="00A42CA7">
      <w:pPr>
        <w:spacing w:line="240" w:lineRule="auto"/>
        <w:jc w:val="left"/>
        <w:rPr>
          <w:sz w:val="10"/>
          <w:szCs w:val="10"/>
        </w:rPr>
      </w:pPr>
    </w:p>
    <w:p w14:paraId="6367BE20" w14:textId="77777777" w:rsidR="00A42CA7" w:rsidRPr="00A42CA7" w:rsidRDefault="00A42CA7" w:rsidP="00A42CA7">
      <w:pPr>
        <w:spacing w:line="240" w:lineRule="auto"/>
        <w:jc w:val="left"/>
        <w:rPr>
          <w:i/>
        </w:rPr>
      </w:pPr>
      <w:r w:rsidRPr="00A42CA7">
        <w:rPr>
          <w:i/>
        </w:rPr>
        <w:t>Seuils majorés : Franchise = 93 500 (LB) / 41 250 (PS)</w:t>
      </w:r>
      <w:r w:rsidRPr="00A42CA7">
        <w:rPr>
          <w:i/>
        </w:rPr>
        <w:tab/>
        <w:t>Réel simplifié = 925 000 (LB) / 287 000 (PS)</w:t>
      </w:r>
    </w:p>
    <w:p w14:paraId="1DF5AF83" w14:textId="77777777" w:rsidR="00A42CA7" w:rsidRPr="00A42CA7" w:rsidRDefault="00A42CA7" w:rsidP="00A42CA7">
      <w:pPr>
        <w:spacing w:line="240" w:lineRule="auto"/>
        <w:jc w:val="left"/>
        <w:rPr>
          <w:i/>
        </w:rPr>
      </w:pPr>
      <w:r w:rsidRPr="00A42CA7">
        <w:rPr>
          <w:i/>
        </w:rPr>
        <w:t xml:space="preserve">Seuils avocats, auteurs … : </w:t>
      </w:r>
      <w:r w:rsidRPr="00A42CA7">
        <w:rPr>
          <w:i/>
        </w:rPr>
        <w:tab/>
        <w:t>Franchise : 50 000 / 55 000 (majoré)</w:t>
      </w:r>
    </w:p>
    <w:p w14:paraId="755AFEEA" w14:textId="77777777" w:rsidR="00A42CA7" w:rsidRPr="00B20C99" w:rsidRDefault="00A42CA7" w:rsidP="00A42CA7">
      <w:pPr>
        <w:spacing w:line="240" w:lineRule="auto"/>
        <w:jc w:val="left"/>
        <w:rPr>
          <w:sz w:val="10"/>
          <w:szCs w:val="10"/>
        </w:rPr>
      </w:pPr>
    </w:p>
    <w:p w14:paraId="3EF25E67" w14:textId="77777777" w:rsidR="00A42CA7" w:rsidRPr="00B20C99" w:rsidRDefault="00A42CA7" w:rsidP="00A42CA7">
      <w:pPr>
        <w:numPr>
          <w:ilvl w:val="0"/>
          <w:numId w:val="24"/>
        </w:numPr>
        <w:spacing w:line="240" w:lineRule="auto"/>
        <w:jc w:val="left"/>
        <w:rPr>
          <w:i/>
          <w:sz w:val="22"/>
        </w:rPr>
      </w:pPr>
      <w:r w:rsidRPr="00B20C99">
        <w:rPr>
          <w:i/>
          <w:sz w:val="22"/>
        </w:rPr>
        <w:t xml:space="preserve">Sur l’instauration du nouveau seuil unique de la franchise à 25 000 € : voir le </w:t>
      </w:r>
      <w:hyperlink r:id="rId15" w:anchor="TVAfranchise" w:history="1">
        <w:r w:rsidRPr="00B20C99">
          <w:rPr>
            <w:rStyle w:val="Lienhypertexte"/>
            <w:i/>
            <w:sz w:val="22"/>
          </w:rPr>
          <w:t>développement ci-dessous</w:t>
        </w:r>
      </w:hyperlink>
      <w:r w:rsidRPr="00B20C99">
        <w:rPr>
          <w:i/>
          <w:sz w:val="22"/>
        </w:rPr>
        <w:t>.</w:t>
      </w:r>
    </w:p>
    <w:p w14:paraId="731C77F2" w14:textId="77777777" w:rsidR="00A42CA7" w:rsidRPr="00B20C99" w:rsidRDefault="00A42CA7" w:rsidP="00A42CA7">
      <w:pPr>
        <w:numPr>
          <w:ilvl w:val="0"/>
          <w:numId w:val="24"/>
        </w:numPr>
        <w:spacing w:line="240" w:lineRule="auto"/>
        <w:jc w:val="left"/>
        <w:rPr>
          <w:i/>
          <w:sz w:val="22"/>
        </w:rPr>
      </w:pPr>
      <w:r w:rsidRPr="00B20C99">
        <w:rPr>
          <w:i/>
          <w:sz w:val="22"/>
        </w:rPr>
        <w:t xml:space="preserve">Sur la modification du régime simplifié de déclaration prévue en 2027 : voir le </w:t>
      </w:r>
      <w:hyperlink r:id="rId16" w:anchor="RSD" w:history="1">
        <w:r w:rsidRPr="00B20C99">
          <w:rPr>
            <w:rStyle w:val="Lienhypertexte"/>
            <w:i/>
            <w:sz w:val="22"/>
          </w:rPr>
          <w:t>développement ci-dessous</w:t>
        </w:r>
      </w:hyperlink>
    </w:p>
    <w:p w14:paraId="263279A6" w14:textId="77777777" w:rsidR="00A42CA7" w:rsidRDefault="00A42CA7" w:rsidP="00A42CA7">
      <w:pPr>
        <w:spacing w:line="240" w:lineRule="auto"/>
        <w:jc w:val="left"/>
        <w:rPr>
          <w:sz w:val="22"/>
        </w:rPr>
      </w:pPr>
    </w:p>
    <w:p w14:paraId="6FA90D9A" w14:textId="77777777" w:rsidR="00B20C99" w:rsidRPr="00B20C99" w:rsidRDefault="00B20C99" w:rsidP="00A42CA7">
      <w:pPr>
        <w:spacing w:line="240" w:lineRule="auto"/>
        <w:jc w:val="left"/>
        <w:rPr>
          <w:sz w:val="22"/>
        </w:rPr>
      </w:pPr>
    </w:p>
    <w:p w14:paraId="21FD1C51" w14:textId="77777777" w:rsidR="00A42CA7" w:rsidRPr="00A42CA7" w:rsidRDefault="00A42CA7" w:rsidP="00B20C99">
      <w:pPr>
        <w:spacing w:line="240" w:lineRule="auto"/>
        <w:jc w:val="center"/>
        <w:rPr>
          <w:b/>
        </w:rPr>
      </w:pPr>
      <w:r w:rsidRPr="00A42CA7">
        <w:rPr>
          <w:b/>
        </w:rPr>
        <w:t>Barème de la Taxe sur les salaires</w:t>
      </w:r>
    </w:p>
    <w:p w14:paraId="06341E67" w14:textId="77777777" w:rsidR="00A42CA7" w:rsidRPr="00B20C99" w:rsidRDefault="00A42CA7" w:rsidP="00A42CA7">
      <w:pPr>
        <w:spacing w:line="240" w:lineRule="auto"/>
        <w:jc w:val="left"/>
        <w:rPr>
          <w:b/>
          <w:sz w:val="10"/>
          <w:szCs w:val="10"/>
        </w:rPr>
      </w:pPr>
    </w:p>
    <w:tbl>
      <w:tblPr>
        <w:tblpPr w:leftFromText="141" w:rightFromText="141" w:bottomFromText="20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934"/>
      </w:tblGrid>
      <w:tr w:rsidR="00A42CA7" w:rsidRPr="00A42CA7" w14:paraId="0A41BC88" w14:textId="77777777" w:rsidTr="00B20C99">
        <w:trPr>
          <w:trHeight w:val="414"/>
        </w:trPr>
        <w:tc>
          <w:tcPr>
            <w:tcW w:w="495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87F1A21" w14:textId="77777777" w:rsidR="00A42CA7" w:rsidRPr="00A42CA7" w:rsidRDefault="00A42CA7" w:rsidP="00B20C99">
            <w:pPr>
              <w:spacing w:line="240" w:lineRule="auto"/>
              <w:jc w:val="center"/>
              <w:rPr>
                <w:b/>
              </w:rPr>
            </w:pPr>
            <w:r w:rsidRPr="00A42CA7">
              <w:rPr>
                <w:b/>
              </w:rPr>
              <w:t>Rémunération individuelle brute annuelle 2025</w:t>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hideMark/>
          </w:tcPr>
          <w:p w14:paraId="5F1A2D1E" w14:textId="77777777" w:rsidR="00A42CA7" w:rsidRPr="00A42CA7" w:rsidRDefault="00A42CA7" w:rsidP="00B20C99">
            <w:pPr>
              <w:spacing w:line="240" w:lineRule="auto"/>
              <w:jc w:val="center"/>
              <w:rPr>
                <w:b/>
              </w:rPr>
            </w:pPr>
            <w:r w:rsidRPr="00A42CA7">
              <w:rPr>
                <w:b/>
              </w:rPr>
              <w:t>Taux</w:t>
            </w:r>
          </w:p>
        </w:tc>
      </w:tr>
      <w:tr w:rsidR="00A42CA7" w:rsidRPr="00A42CA7" w14:paraId="1205797E" w14:textId="77777777" w:rsidTr="00B20C99">
        <w:trPr>
          <w:trHeight w:val="323"/>
        </w:trPr>
        <w:tc>
          <w:tcPr>
            <w:tcW w:w="4957" w:type="dxa"/>
            <w:tcBorders>
              <w:top w:val="single" w:sz="4" w:space="0" w:color="auto"/>
              <w:left w:val="single" w:sz="4" w:space="0" w:color="auto"/>
              <w:bottom w:val="single" w:sz="4" w:space="0" w:color="auto"/>
              <w:right w:val="single" w:sz="4" w:space="0" w:color="auto"/>
            </w:tcBorders>
            <w:vAlign w:val="center"/>
            <w:hideMark/>
          </w:tcPr>
          <w:p w14:paraId="16EA5EB6" w14:textId="77777777" w:rsidR="00A42CA7" w:rsidRPr="00B20C99" w:rsidRDefault="00A42CA7" w:rsidP="00B20C99">
            <w:pPr>
              <w:spacing w:line="240" w:lineRule="auto"/>
              <w:jc w:val="left"/>
              <w:rPr>
                <w:sz w:val="22"/>
              </w:rPr>
            </w:pPr>
            <w:r w:rsidRPr="00B20C99">
              <w:rPr>
                <w:sz w:val="22"/>
              </w:rPr>
              <w:t>Inférieure à 9 146 €</w:t>
            </w:r>
          </w:p>
        </w:tc>
        <w:tc>
          <w:tcPr>
            <w:tcW w:w="0" w:type="auto"/>
            <w:tcBorders>
              <w:top w:val="single" w:sz="4" w:space="0" w:color="auto"/>
              <w:left w:val="single" w:sz="4" w:space="0" w:color="auto"/>
              <w:bottom w:val="single" w:sz="4" w:space="0" w:color="auto"/>
              <w:right w:val="single" w:sz="4" w:space="0" w:color="auto"/>
            </w:tcBorders>
            <w:vAlign w:val="center"/>
            <w:hideMark/>
          </w:tcPr>
          <w:p w14:paraId="38403386" w14:textId="77777777" w:rsidR="00A42CA7" w:rsidRPr="00B20C99" w:rsidRDefault="00A42CA7" w:rsidP="00B20C99">
            <w:pPr>
              <w:spacing w:line="240" w:lineRule="auto"/>
              <w:jc w:val="center"/>
              <w:rPr>
                <w:sz w:val="22"/>
              </w:rPr>
            </w:pPr>
            <w:r w:rsidRPr="00B20C99">
              <w:rPr>
                <w:sz w:val="22"/>
              </w:rPr>
              <w:t>4,25%</w:t>
            </w:r>
          </w:p>
        </w:tc>
      </w:tr>
      <w:tr w:rsidR="00A42CA7" w:rsidRPr="00A42CA7" w14:paraId="3B840A18" w14:textId="77777777" w:rsidTr="00B20C99">
        <w:trPr>
          <w:trHeight w:val="323"/>
        </w:trPr>
        <w:tc>
          <w:tcPr>
            <w:tcW w:w="4957" w:type="dxa"/>
            <w:tcBorders>
              <w:top w:val="single" w:sz="4" w:space="0" w:color="auto"/>
              <w:left w:val="single" w:sz="4" w:space="0" w:color="auto"/>
              <w:bottom w:val="single" w:sz="4" w:space="0" w:color="auto"/>
              <w:right w:val="single" w:sz="4" w:space="0" w:color="auto"/>
            </w:tcBorders>
            <w:vAlign w:val="center"/>
            <w:hideMark/>
          </w:tcPr>
          <w:p w14:paraId="77129A22" w14:textId="77777777" w:rsidR="00A42CA7" w:rsidRPr="00B20C99" w:rsidRDefault="00A42CA7" w:rsidP="00B20C99">
            <w:pPr>
              <w:spacing w:line="240" w:lineRule="auto"/>
              <w:jc w:val="left"/>
              <w:rPr>
                <w:sz w:val="22"/>
              </w:rPr>
            </w:pPr>
            <w:r w:rsidRPr="00B20C99">
              <w:rPr>
                <w:sz w:val="22"/>
              </w:rPr>
              <w:t>Entre 9 146 € et 18 259 €</w:t>
            </w:r>
          </w:p>
        </w:tc>
        <w:tc>
          <w:tcPr>
            <w:tcW w:w="0" w:type="auto"/>
            <w:tcBorders>
              <w:top w:val="single" w:sz="4" w:space="0" w:color="auto"/>
              <w:left w:val="single" w:sz="4" w:space="0" w:color="auto"/>
              <w:bottom w:val="single" w:sz="4" w:space="0" w:color="auto"/>
              <w:right w:val="single" w:sz="4" w:space="0" w:color="auto"/>
            </w:tcBorders>
            <w:vAlign w:val="center"/>
            <w:hideMark/>
          </w:tcPr>
          <w:p w14:paraId="1FAFEF82" w14:textId="77777777" w:rsidR="00A42CA7" w:rsidRPr="00B20C99" w:rsidRDefault="00A42CA7" w:rsidP="00B20C99">
            <w:pPr>
              <w:spacing w:line="240" w:lineRule="auto"/>
              <w:jc w:val="center"/>
              <w:rPr>
                <w:sz w:val="22"/>
              </w:rPr>
            </w:pPr>
            <w:r w:rsidRPr="00B20C99">
              <w:rPr>
                <w:sz w:val="22"/>
              </w:rPr>
              <w:t>8,50%</w:t>
            </w:r>
          </w:p>
        </w:tc>
      </w:tr>
      <w:tr w:rsidR="00A42CA7" w:rsidRPr="00A42CA7" w14:paraId="69D4FAD3" w14:textId="77777777" w:rsidTr="00B20C99">
        <w:trPr>
          <w:trHeight w:val="323"/>
        </w:trPr>
        <w:tc>
          <w:tcPr>
            <w:tcW w:w="4957" w:type="dxa"/>
            <w:tcBorders>
              <w:top w:val="single" w:sz="4" w:space="0" w:color="auto"/>
              <w:left w:val="single" w:sz="4" w:space="0" w:color="auto"/>
              <w:bottom w:val="single" w:sz="4" w:space="0" w:color="auto"/>
              <w:right w:val="single" w:sz="4" w:space="0" w:color="auto"/>
            </w:tcBorders>
            <w:vAlign w:val="center"/>
            <w:hideMark/>
          </w:tcPr>
          <w:p w14:paraId="53841994" w14:textId="77777777" w:rsidR="00A42CA7" w:rsidRPr="00B20C99" w:rsidRDefault="00A42CA7" w:rsidP="00B20C99">
            <w:pPr>
              <w:spacing w:line="240" w:lineRule="auto"/>
              <w:jc w:val="left"/>
              <w:rPr>
                <w:sz w:val="22"/>
              </w:rPr>
            </w:pPr>
            <w:r w:rsidRPr="00B20C99">
              <w:rPr>
                <w:sz w:val="22"/>
              </w:rPr>
              <w:t>Supérieure à 18 259 €</w:t>
            </w:r>
          </w:p>
        </w:tc>
        <w:tc>
          <w:tcPr>
            <w:tcW w:w="0" w:type="auto"/>
            <w:tcBorders>
              <w:top w:val="single" w:sz="4" w:space="0" w:color="auto"/>
              <w:left w:val="single" w:sz="4" w:space="0" w:color="auto"/>
              <w:bottom w:val="single" w:sz="4" w:space="0" w:color="auto"/>
              <w:right w:val="single" w:sz="4" w:space="0" w:color="auto"/>
            </w:tcBorders>
            <w:vAlign w:val="center"/>
            <w:hideMark/>
          </w:tcPr>
          <w:p w14:paraId="0DD61AF6" w14:textId="77777777" w:rsidR="00A42CA7" w:rsidRPr="00B20C99" w:rsidRDefault="00A42CA7" w:rsidP="00B20C99">
            <w:pPr>
              <w:spacing w:line="240" w:lineRule="auto"/>
              <w:jc w:val="center"/>
              <w:rPr>
                <w:sz w:val="22"/>
              </w:rPr>
            </w:pPr>
            <w:r w:rsidRPr="00B20C99">
              <w:rPr>
                <w:sz w:val="22"/>
              </w:rPr>
              <w:t>13,60%</w:t>
            </w:r>
          </w:p>
        </w:tc>
      </w:tr>
    </w:tbl>
    <w:p w14:paraId="2AA757FB" w14:textId="77777777" w:rsidR="00A42CA7" w:rsidRPr="00A42CA7" w:rsidRDefault="00A42CA7" w:rsidP="00A42CA7">
      <w:pPr>
        <w:spacing w:line="240" w:lineRule="auto"/>
        <w:jc w:val="left"/>
        <w:rPr>
          <w:b/>
        </w:rPr>
      </w:pPr>
    </w:p>
    <w:p w14:paraId="70E6FE2A" w14:textId="77777777" w:rsidR="00A42CA7" w:rsidRPr="00A42CA7" w:rsidRDefault="00A42CA7" w:rsidP="00A42CA7">
      <w:pPr>
        <w:spacing w:line="240" w:lineRule="auto"/>
        <w:jc w:val="left"/>
        <w:rPr>
          <w:b/>
        </w:rPr>
      </w:pPr>
    </w:p>
    <w:p w14:paraId="68B1841F" w14:textId="77777777" w:rsidR="00A42CA7" w:rsidRPr="00A42CA7" w:rsidRDefault="00A42CA7" w:rsidP="00A42CA7">
      <w:pPr>
        <w:spacing w:line="240" w:lineRule="auto"/>
        <w:jc w:val="left"/>
        <w:rPr>
          <w:b/>
        </w:rPr>
      </w:pPr>
    </w:p>
    <w:p w14:paraId="7D2684A1" w14:textId="77777777" w:rsidR="00A42CA7" w:rsidRPr="00A42CA7" w:rsidRDefault="00A42CA7" w:rsidP="00A42CA7">
      <w:pPr>
        <w:spacing w:line="240" w:lineRule="auto"/>
        <w:jc w:val="left"/>
        <w:rPr>
          <w:b/>
        </w:rPr>
      </w:pPr>
    </w:p>
    <w:p w14:paraId="49BB1FDB" w14:textId="77777777" w:rsidR="00A42CA7" w:rsidRPr="00A42CA7" w:rsidRDefault="00A42CA7" w:rsidP="00A42CA7">
      <w:pPr>
        <w:spacing w:line="240" w:lineRule="auto"/>
        <w:jc w:val="left"/>
        <w:rPr>
          <w:b/>
        </w:rPr>
      </w:pPr>
    </w:p>
    <w:p w14:paraId="2AC1E8B4" w14:textId="77777777" w:rsidR="00A42CA7" w:rsidRPr="00A42CA7" w:rsidRDefault="00A42CA7" w:rsidP="00A42CA7">
      <w:pPr>
        <w:spacing w:line="240" w:lineRule="auto"/>
        <w:jc w:val="left"/>
        <w:rPr>
          <w:b/>
        </w:rPr>
      </w:pPr>
    </w:p>
    <w:p w14:paraId="7DDC0F2C" w14:textId="77777777" w:rsidR="00B20C99" w:rsidRPr="00B20C99" w:rsidRDefault="00B20C99" w:rsidP="00A42CA7">
      <w:pPr>
        <w:spacing w:line="240" w:lineRule="auto"/>
        <w:jc w:val="left"/>
        <w:rPr>
          <w:sz w:val="10"/>
          <w:szCs w:val="10"/>
        </w:rPr>
      </w:pPr>
    </w:p>
    <w:p w14:paraId="7B63B6FC" w14:textId="437BC25C" w:rsidR="00A42CA7" w:rsidRPr="00A42CA7" w:rsidRDefault="00A42CA7" w:rsidP="00A42CA7">
      <w:pPr>
        <w:spacing w:line="240" w:lineRule="auto"/>
        <w:jc w:val="left"/>
      </w:pPr>
      <w:r w:rsidRPr="00A42CA7">
        <w:rPr>
          <w:noProof/>
        </w:rPr>
        <mc:AlternateContent>
          <mc:Choice Requires="wps">
            <w:drawing>
              <wp:anchor distT="0" distB="0" distL="114300" distR="114300" simplePos="0" relativeHeight="251660288" behindDoc="0" locked="0" layoutInCell="1" allowOverlap="1" wp14:anchorId="51CCD593" wp14:editId="640DDF04">
                <wp:simplePos x="0" y="0"/>
                <wp:positionH relativeFrom="column">
                  <wp:posOffset>5609590</wp:posOffset>
                </wp:positionH>
                <wp:positionV relativeFrom="paragraph">
                  <wp:posOffset>220345</wp:posOffset>
                </wp:positionV>
                <wp:extent cx="619125" cy="373380"/>
                <wp:effectExtent l="38100" t="38100" r="123825" b="121920"/>
                <wp:wrapNone/>
                <wp:docPr id="1087981623" name="Ellipse 11">
                  <a:hlinkClick xmlns:a="http://schemas.openxmlformats.org/drawingml/2006/main" r:id="rId14"/>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 cy="373380"/>
                        </a:xfrm>
                        <a:prstGeom prst="ellipse">
                          <a:avLst/>
                        </a:prstGeom>
                        <a:solidFill>
                          <a:schemeClr val="bg1">
                            <a:lumMod val="95000"/>
                          </a:schemeClr>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71EA49B" w14:textId="77777777" w:rsidR="00A42CA7" w:rsidRDefault="00A42CA7" w:rsidP="00A42CA7">
                            <w:pPr>
                              <w:jc w:val="center"/>
                              <w:rPr>
                                <w:color w:val="000000" w:themeColor="text1"/>
                                <w:sz w:val="16"/>
                                <w:szCs w:val="16"/>
                              </w:rPr>
                            </w:pPr>
                            <w:r>
                              <w:rPr>
                                <w:color w:val="000000" w:themeColor="text1"/>
                                <w:sz w:val="16"/>
                                <w:szCs w:val="16"/>
                              </w:rPr>
                              <w:t>Retour sommaire</w:t>
                            </w:r>
                          </w:p>
                        </w:txbxContent>
                      </wps:txbx>
                      <wps:bodyPr rot="0" spcFirstLastPara="0" vertOverflow="clip" horzOverflow="clip"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CCD593" id="Ellipse 11" o:spid="_x0000_s1029" href="#DEBUT" style="position:absolute;margin-left:441.7pt;margin-top:17.35pt;width:48.75pt;height:2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" o:button="t" fillcolor="#f2f2f2 [3052]" strokecolor="black [3213]" strokeweight="1pt">
                <v:fill o:detectmouseclick="t"/>
                <v:stroke joinstyle="miter"/>
                <v:shadow on="t" color="black" opacity="26214f" origin="-.5,-.5" offset=".74836mm,.74836mm"/>
                <v:path arrowok="t"/>
                <v:textbox inset="0,0,0,0">
                  <w:txbxContent>
                    <w:p w14:paraId="271EA49B" w14:textId="77777777" w:rsidR="00A42CA7" w:rsidRDefault="00A42CA7" w:rsidP="00A42CA7">
                      <w:pPr>
                        <w:jc w:val="center"/>
                        <w:rPr>
                          <w:color w:val="000000" w:themeColor="text1"/>
                          <w:sz w:val="16"/>
                          <w:szCs w:val="16"/>
                        </w:rPr>
                      </w:pPr>
                      <w:r>
                        <w:rPr>
                          <w:color w:val="000000" w:themeColor="text1"/>
                          <w:sz w:val="16"/>
                          <w:szCs w:val="16"/>
                        </w:rPr>
                        <w:t>Retour sommaire</w:t>
                      </w:r>
                    </w:p>
                  </w:txbxContent>
                </v:textbox>
              </v:oval>
            </w:pict>
          </mc:Fallback>
        </mc:AlternateContent>
      </w:r>
      <w:r w:rsidRPr="00A42CA7">
        <w:t xml:space="preserve">Abattement annuel pour les Organismes Sans But Lucratif </w:t>
      </w:r>
      <w:r w:rsidRPr="00A42CA7">
        <w:rPr>
          <w:vertAlign w:val="superscript"/>
        </w:rPr>
        <w:footnoteReference w:id="1"/>
      </w:r>
      <w:r w:rsidRPr="00A42CA7">
        <w:t xml:space="preserve"> : </w:t>
      </w:r>
      <w:r w:rsidRPr="00A42CA7">
        <w:rPr>
          <w:b/>
          <w:bCs/>
        </w:rPr>
        <w:t>24 040 €</w:t>
      </w:r>
      <w:r w:rsidRPr="00A42CA7">
        <w:br w:type="page"/>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072"/>
      </w:tblGrid>
      <w:tr w:rsidR="00A42CA7" w:rsidRPr="00A42CA7" w14:paraId="5FCDE71A" w14:textId="77777777" w:rsidTr="00DB051A">
        <w:trPr>
          <w:trHeight w:val="1826"/>
          <w:jc w:val="center"/>
        </w:trPr>
        <w:tc>
          <w:tcPr>
            <w:tcW w:w="141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B125881" w14:textId="77777777" w:rsidR="00A42CA7" w:rsidRPr="00A42CA7" w:rsidRDefault="00A42CA7" w:rsidP="00DB051A">
            <w:pPr>
              <w:spacing w:line="240" w:lineRule="auto"/>
              <w:jc w:val="center"/>
              <w:rPr>
                <w:b/>
                <w:bCs/>
                <w:i/>
                <w:iCs/>
              </w:rPr>
            </w:pPr>
            <w:bookmarkStart w:id="2" w:name="TVAfranchise"/>
            <w:bookmarkEnd w:id="2"/>
            <w:r w:rsidRPr="00A42CA7">
              <w:rPr>
                <w:b/>
                <w:bCs/>
                <w:i/>
                <w:iCs/>
              </w:rPr>
              <w:lastRenderedPageBreak/>
              <w:t>TVA : régime de la franchise en base</w:t>
            </w:r>
          </w:p>
        </w:tc>
        <w:tc>
          <w:tcPr>
            <w:tcW w:w="9072" w:type="dxa"/>
            <w:tcBorders>
              <w:top w:val="single" w:sz="4" w:space="0" w:color="auto"/>
              <w:left w:val="single" w:sz="4" w:space="0" w:color="auto"/>
              <w:bottom w:val="single" w:sz="4" w:space="0" w:color="auto"/>
              <w:right w:val="single" w:sz="4" w:space="0" w:color="auto"/>
            </w:tcBorders>
          </w:tcPr>
          <w:p w14:paraId="60CF3BC7" w14:textId="77777777" w:rsidR="00A42CA7" w:rsidRPr="00A42CA7" w:rsidRDefault="00A42CA7" w:rsidP="00A42CA7">
            <w:pPr>
              <w:spacing w:line="240" w:lineRule="auto"/>
              <w:jc w:val="left"/>
              <w:rPr>
                <w:b/>
                <w:u w:val="single"/>
              </w:rPr>
            </w:pPr>
          </w:p>
          <w:p w14:paraId="09352480" w14:textId="77777777" w:rsidR="00A42CA7" w:rsidRPr="00A42CA7" w:rsidRDefault="00A42CA7" w:rsidP="00A42CA7">
            <w:pPr>
              <w:spacing w:line="240" w:lineRule="auto"/>
              <w:jc w:val="left"/>
              <w:rPr>
                <w:b/>
                <w:u w:val="single"/>
              </w:rPr>
            </w:pPr>
            <w:r w:rsidRPr="00A42CA7">
              <w:rPr>
                <w:b/>
                <w:u w:val="single"/>
              </w:rPr>
              <w:t>Nouveau seuil unique du régime de la franchise en base de TVA</w:t>
            </w:r>
          </w:p>
          <w:p w14:paraId="064EA8E8" w14:textId="77777777" w:rsidR="00A42CA7" w:rsidRPr="00A42CA7" w:rsidRDefault="00A42CA7" w:rsidP="00A42CA7">
            <w:pPr>
              <w:spacing w:line="240" w:lineRule="auto"/>
              <w:jc w:val="left"/>
            </w:pPr>
          </w:p>
          <w:p w14:paraId="12B27C9D" w14:textId="77777777" w:rsidR="00A42CA7" w:rsidRPr="00A42CA7" w:rsidRDefault="00A42CA7" w:rsidP="00DB051A">
            <w:pPr>
              <w:spacing w:line="240" w:lineRule="auto"/>
            </w:pPr>
            <w:r w:rsidRPr="00A42CA7">
              <w:t xml:space="preserve">La loi de finances pour 2025 instaure un seuil unique pour bénéficier du régime de la franchise quelle que soit la nature de l’activité : </w:t>
            </w:r>
            <w:r w:rsidRPr="00A42CA7">
              <w:rPr>
                <w:b/>
                <w:bCs/>
              </w:rPr>
              <w:t>25 000 €</w:t>
            </w:r>
            <w:r w:rsidRPr="00A42CA7">
              <w:t xml:space="preserve"> (seuil majoré : 27 500 €) </w:t>
            </w:r>
            <w:r w:rsidRPr="00A42CA7">
              <w:rPr>
                <w:b/>
                <w:bCs/>
              </w:rPr>
              <w:t>à compter du 1</w:t>
            </w:r>
            <w:r w:rsidRPr="00A42CA7">
              <w:rPr>
                <w:b/>
                <w:bCs/>
                <w:vertAlign w:val="superscript"/>
              </w:rPr>
              <w:t>er</w:t>
            </w:r>
            <w:r w:rsidRPr="00A42CA7">
              <w:rPr>
                <w:b/>
                <w:bCs/>
              </w:rPr>
              <w:t xml:space="preserve"> mars 2025</w:t>
            </w:r>
            <w:r w:rsidRPr="00A42CA7">
              <w:t>. Ce seuil est proratisé le cas échéant.</w:t>
            </w:r>
          </w:p>
          <w:p w14:paraId="64634C94" w14:textId="77777777" w:rsidR="00A42CA7" w:rsidRPr="00A42CA7" w:rsidRDefault="00A42CA7" w:rsidP="00DB051A">
            <w:pPr>
              <w:spacing w:line="240" w:lineRule="auto"/>
            </w:pPr>
          </w:p>
          <w:p w14:paraId="507DB6C9" w14:textId="77777777" w:rsidR="00A42CA7" w:rsidRPr="00A42CA7" w:rsidRDefault="00A42CA7" w:rsidP="00DB051A">
            <w:pPr>
              <w:spacing w:line="240" w:lineRule="auto"/>
            </w:pPr>
            <w:r w:rsidRPr="00A42CA7">
              <w:rPr>
                <w:b/>
                <w:bCs/>
              </w:rPr>
              <w:t>Impacts généraux de la perte du régime de la franchise</w:t>
            </w:r>
            <w:r w:rsidRPr="00A42CA7">
              <w:t> :</w:t>
            </w:r>
          </w:p>
          <w:p w14:paraId="01DA21E1" w14:textId="77777777" w:rsidR="00A42CA7" w:rsidRPr="00DB051A" w:rsidRDefault="00A42CA7" w:rsidP="00DB051A">
            <w:pPr>
              <w:spacing w:line="240" w:lineRule="auto"/>
              <w:rPr>
                <w:sz w:val="10"/>
                <w:szCs w:val="10"/>
              </w:rPr>
            </w:pPr>
          </w:p>
          <w:p w14:paraId="28525496" w14:textId="77777777" w:rsidR="00A42CA7" w:rsidRPr="00A42CA7" w:rsidRDefault="00A42CA7" w:rsidP="00DB051A">
            <w:pPr>
              <w:numPr>
                <w:ilvl w:val="0"/>
                <w:numId w:val="20"/>
              </w:numPr>
              <w:spacing w:line="240" w:lineRule="auto"/>
            </w:pPr>
            <w:r w:rsidRPr="00A42CA7">
              <w:t>Application de la TVA sur les opérations réalisées ;</w:t>
            </w:r>
          </w:p>
          <w:p w14:paraId="7983B989" w14:textId="77777777" w:rsidR="00A42CA7" w:rsidRPr="00DB051A" w:rsidRDefault="00A42CA7" w:rsidP="00DB051A">
            <w:pPr>
              <w:spacing w:line="240" w:lineRule="auto"/>
              <w:rPr>
                <w:sz w:val="10"/>
                <w:szCs w:val="10"/>
              </w:rPr>
            </w:pPr>
          </w:p>
          <w:p w14:paraId="4D71B2B5" w14:textId="77777777" w:rsidR="00A42CA7" w:rsidRPr="00A42CA7" w:rsidRDefault="00A42CA7" w:rsidP="00DB051A">
            <w:pPr>
              <w:numPr>
                <w:ilvl w:val="0"/>
                <w:numId w:val="20"/>
              </w:numPr>
              <w:spacing w:line="240" w:lineRule="auto"/>
            </w:pPr>
            <w:r w:rsidRPr="00A42CA7">
              <w:t>Récupération de la TVA d’amont ;</w:t>
            </w:r>
          </w:p>
          <w:p w14:paraId="1DE1A000" w14:textId="77777777" w:rsidR="00A42CA7" w:rsidRPr="00DB051A" w:rsidRDefault="00A42CA7" w:rsidP="00DB051A">
            <w:pPr>
              <w:spacing w:line="240" w:lineRule="auto"/>
              <w:rPr>
                <w:sz w:val="10"/>
                <w:szCs w:val="10"/>
              </w:rPr>
            </w:pPr>
          </w:p>
          <w:p w14:paraId="73C3D618" w14:textId="77777777" w:rsidR="00A42CA7" w:rsidRPr="00A42CA7" w:rsidRDefault="00A42CA7" w:rsidP="00DB051A">
            <w:pPr>
              <w:numPr>
                <w:ilvl w:val="0"/>
                <w:numId w:val="20"/>
              </w:numPr>
              <w:spacing w:line="240" w:lineRule="auto"/>
            </w:pPr>
            <w:r w:rsidRPr="00A42CA7">
              <w:t>Régularisation de la TVA sur les immobilisations n’ayant pas ouvert droit à déduction (compléments de déduction par vingtième pour les immeubles, par cinquièmes sur les autres immobilisations).</w:t>
            </w:r>
          </w:p>
          <w:p w14:paraId="3AF95C77" w14:textId="77777777" w:rsidR="00A42CA7" w:rsidRPr="00A42CA7" w:rsidRDefault="00A42CA7" w:rsidP="00DB051A">
            <w:pPr>
              <w:spacing w:line="240" w:lineRule="auto"/>
            </w:pPr>
          </w:p>
          <w:p w14:paraId="0B5D23EA" w14:textId="77777777" w:rsidR="00A42CA7" w:rsidRPr="00A42CA7" w:rsidRDefault="00A42CA7" w:rsidP="00DB051A">
            <w:pPr>
              <w:spacing w:line="240" w:lineRule="auto"/>
            </w:pPr>
            <w:r w:rsidRPr="00A42CA7">
              <w:t xml:space="preserve">Compte tenu des conséquences de cette mesure, elle est </w:t>
            </w:r>
            <w:r w:rsidRPr="00A42CA7">
              <w:rPr>
                <w:b/>
                <w:bCs/>
              </w:rPr>
              <w:t>provisoirement suspendue</w:t>
            </w:r>
            <w:r w:rsidRPr="00A42CA7">
              <w:t xml:space="preserve"> (pas de nouvelles démarches déclaratives pour les entreprises qui ne bénéficieraient plus de la franchise du fait de ce nouveau seuil). À la suite de la concertation lancée, </w:t>
            </w:r>
            <w:r w:rsidRPr="00A42CA7">
              <w:rPr>
                <w:b/>
                <w:bCs/>
              </w:rPr>
              <w:t>la mesure est suspendue jusqu’au 1</w:t>
            </w:r>
            <w:r w:rsidRPr="00A42CA7">
              <w:rPr>
                <w:b/>
                <w:bCs/>
                <w:vertAlign w:val="superscript"/>
              </w:rPr>
              <w:t>er</w:t>
            </w:r>
            <w:r w:rsidRPr="00A42CA7">
              <w:rPr>
                <w:b/>
                <w:bCs/>
              </w:rPr>
              <w:t xml:space="preserve"> juin 2025.</w:t>
            </w:r>
          </w:p>
          <w:p w14:paraId="0F3783F4" w14:textId="77777777" w:rsidR="00A42CA7" w:rsidRPr="00A42CA7" w:rsidRDefault="00A42CA7" w:rsidP="00A42CA7">
            <w:pPr>
              <w:spacing w:line="240" w:lineRule="auto"/>
              <w:jc w:val="left"/>
            </w:pPr>
          </w:p>
        </w:tc>
      </w:tr>
      <w:tr w:rsidR="00A42CA7" w:rsidRPr="00A42CA7" w14:paraId="6F7D31F3" w14:textId="77777777" w:rsidTr="00DB051A">
        <w:trPr>
          <w:trHeight w:val="1826"/>
          <w:jc w:val="center"/>
        </w:trPr>
        <w:tc>
          <w:tcPr>
            <w:tcW w:w="141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927CAE0" w14:textId="77777777" w:rsidR="00A42CA7" w:rsidRPr="00A42CA7" w:rsidRDefault="00A42CA7" w:rsidP="00DB051A">
            <w:pPr>
              <w:spacing w:line="240" w:lineRule="auto"/>
              <w:jc w:val="center"/>
              <w:rPr>
                <w:b/>
                <w:bCs/>
                <w:i/>
                <w:iCs/>
              </w:rPr>
            </w:pPr>
            <w:r w:rsidRPr="00A42CA7">
              <w:rPr>
                <w:b/>
                <w:bCs/>
                <w:i/>
                <w:iCs/>
              </w:rPr>
              <w:t>TVA : régime simplifié de déclaration</w:t>
            </w:r>
          </w:p>
        </w:tc>
        <w:tc>
          <w:tcPr>
            <w:tcW w:w="9072" w:type="dxa"/>
            <w:tcBorders>
              <w:top w:val="single" w:sz="4" w:space="0" w:color="auto"/>
              <w:left w:val="single" w:sz="4" w:space="0" w:color="auto"/>
              <w:bottom w:val="single" w:sz="4" w:space="0" w:color="auto"/>
              <w:right w:val="single" w:sz="4" w:space="0" w:color="auto"/>
            </w:tcBorders>
          </w:tcPr>
          <w:p w14:paraId="069EEBF0" w14:textId="77777777" w:rsidR="00A42CA7" w:rsidRPr="00A42CA7" w:rsidRDefault="00A42CA7" w:rsidP="00A42CA7">
            <w:pPr>
              <w:spacing w:line="240" w:lineRule="auto"/>
              <w:jc w:val="left"/>
              <w:rPr>
                <w:b/>
                <w:u w:val="single"/>
              </w:rPr>
            </w:pPr>
          </w:p>
          <w:p w14:paraId="11D6BF1A" w14:textId="77777777" w:rsidR="00A42CA7" w:rsidRPr="00A42CA7" w:rsidRDefault="00A42CA7" w:rsidP="00DB051A">
            <w:pPr>
              <w:spacing w:line="240" w:lineRule="auto"/>
              <w:rPr>
                <w:b/>
                <w:u w:val="single"/>
              </w:rPr>
            </w:pPr>
            <w:bookmarkStart w:id="3" w:name="RSD"/>
            <w:bookmarkEnd w:id="3"/>
            <w:r w:rsidRPr="00A42CA7">
              <w:rPr>
                <w:b/>
                <w:u w:val="single"/>
              </w:rPr>
              <w:t>Modifications du régime simplifié de déclaration à compter de 2027</w:t>
            </w:r>
          </w:p>
          <w:p w14:paraId="766E12B2" w14:textId="77777777" w:rsidR="00A42CA7" w:rsidRPr="00A42CA7" w:rsidRDefault="00A42CA7" w:rsidP="00DB051A">
            <w:pPr>
              <w:spacing w:line="240" w:lineRule="auto"/>
              <w:rPr>
                <w:b/>
                <w:u w:val="single"/>
              </w:rPr>
            </w:pPr>
          </w:p>
          <w:p w14:paraId="77D03717" w14:textId="77777777" w:rsidR="00A42CA7" w:rsidRPr="00A42CA7" w:rsidRDefault="00A42CA7" w:rsidP="00DB051A">
            <w:pPr>
              <w:spacing w:line="240" w:lineRule="auto"/>
              <w:rPr>
                <w:bCs/>
              </w:rPr>
            </w:pPr>
            <w:r w:rsidRPr="00A42CA7">
              <w:rPr>
                <w:bCs/>
              </w:rPr>
              <w:t xml:space="preserve">La loi de finances pour 2025 prévoir des modifications substantielles du RSD de TVA </w:t>
            </w:r>
            <w:r w:rsidRPr="00A42CA7">
              <w:rPr>
                <w:b/>
              </w:rPr>
              <w:t>à compter du 1</w:t>
            </w:r>
            <w:r w:rsidRPr="00A42CA7">
              <w:rPr>
                <w:b/>
                <w:vertAlign w:val="superscript"/>
              </w:rPr>
              <w:t>er</w:t>
            </w:r>
            <w:r w:rsidRPr="00A42CA7">
              <w:rPr>
                <w:b/>
              </w:rPr>
              <w:t xml:space="preserve"> janvier 2027</w:t>
            </w:r>
            <w:r w:rsidRPr="00A42CA7">
              <w:rPr>
                <w:bCs/>
              </w:rPr>
              <w:t xml:space="preserve"> (plus précisément à compter du 1</w:t>
            </w:r>
            <w:r w:rsidRPr="00A42CA7">
              <w:rPr>
                <w:bCs/>
                <w:vertAlign w:val="superscript"/>
              </w:rPr>
              <w:t>er</w:t>
            </w:r>
            <w:r w:rsidRPr="00A42CA7">
              <w:rPr>
                <w:bCs/>
              </w:rPr>
              <w:t xml:space="preserve"> jour de l’exercice comptable qui suit celui qui s’est achevé après le 31/12/2026 pour les entreprises qui étaient en RSD – ancienne version – en 2026, soit un début du nouveau régime le 1</w:t>
            </w:r>
            <w:r w:rsidRPr="00A42CA7">
              <w:rPr>
                <w:bCs/>
                <w:vertAlign w:val="superscript"/>
              </w:rPr>
              <w:t>er</w:t>
            </w:r>
            <w:r w:rsidRPr="00A42CA7">
              <w:rPr>
                <w:bCs/>
              </w:rPr>
              <w:t xml:space="preserve"> juillet 2027 pour les entreprises qui clôturent au 30 juin).</w:t>
            </w:r>
          </w:p>
          <w:p w14:paraId="09DE5416" w14:textId="77777777" w:rsidR="00A42CA7" w:rsidRPr="00A42CA7" w:rsidRDefault="00A42CA7" w:rsidP="00DB051A">
            <w:pPr>
              <w:spacing w:line="240" w:lineRule="auto"/>
              <w:rPr>
                <w:bCs/>
              </w:rPr>
            </w:pPr>
          </w:p>
          <w:tbl>
            <w:tblPr>
              <w:tblStyle w:val="Grilledutableau"/>
              <w:tblW w:w="0" w:type="auto"/>
              <w:tblLook w:val="04A0" w:firstRow="1" w:lastRow="0" w:firstColumn="1" w:lastColumn="0" w:noHBand="0" w:noVBand="1"/>
            </w:tblPr>
            <w:tblGrid>
              <w:gridCol w:w="2641"/>
              <w:gridCol w:w="6096"/>
            </w:tblGrid>
            <w:tr w:rsidR="00A42CA7" w:rsidRPr="00A42CA7" w14:paraId="5AE5FC58" w14:textId="77777777">
              <w:trPr>
                <w:trHeight w:val="650"/>
              </w:trPr>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4C84AB" w14:textId="77777777" w:rsidR="00A42CA7" w:rsidRPr="00A42CA7" w:rsidRDefault="00A42CA7" w:rsidP="00DB051A">
                  <w:pPr>
                    <w:rPr>
                      <w:bCs/>
                    </w:rPr>
                  </w:pPr>
                  <w:r w:rsidRPr="00A42CA7">
                    <w:rPr>
                      <w:bCs/>
                    </w:rPr>
                    <w:t>Seuils prévus quelle que soit la nature de l’activité</w:t>
                  </w: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8A6232" w14:textId="77777777" w:rsidR="00A42CA7" w:rsidRPr="00A42CA7" w:rsidRDefault="00A42CA7" w:rsidP="00DB051A">
                  <w:pPr>
                    <w:jc w:val="center"/>
                    <w:rPr>
                      <w:bCs/>
                    </w:rPr>
                  </w:pPr>
                  <w:r w:rsidRPr="00A42CA7">
                    <w:rPr>
                      <w:bCs/>
                    </w:rPr>
                    <w:t>Périodicité des déclarations et précisions</w:t>
                  </w:r>
                </w:p>
              </w:tc>
            </w:tr>
            <w:tr w:rsidR="00A42CA7" w:rsidRPr="00A42CA7" w14:paraId="691CDB46" w14:textId="77777777">
              <w:trPr>
                <w:trHeight w:val="2292"/>
              </w:trPr>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0E9030" w14:textId="77777777" w:rsidR="00A42CA7" w:rsidRPr="00A42CA7" w:rsidRDefault="00A42CA7" w:rsidP="00DB051A">
                  <w:pPr>
                    <w:jc w:val="center"/>
                    <w:rPr>
                      <w:b/>
                    </w:rPr>
                  </w:pPr>
                  <w:r w:rsidRPr="00A42CA7">
                    <w:rPr>
                      <w:b/>
                    </w:rPr>
                    <w:t>1 000 000 €</w:t>
                  </w:r>
                </w:p>
                <w:p w14:paraId="7DBE6191" w14:textId="77777777" w:rsidR="00A42CA7" w:rsidRPr="00A42CA7" w:rsidRDefault="00A42CA7" w:rsidP="00DB051A">
                  <w:pPr>
                    <w:jc w:val="center"/>
                    <w:rPr>
                      <w:bCs/>
                    </w:rPr>
                  </w:pPr>
                  <w:r w:rsidRPr="00A42CA7">
                    <w:rPr>
                      <w:bCs/>
                    </w:rPr>
                    <w:t>pendant l’année civile précédente</w:t>
                  </w: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B1F99B" w14:textId="77777777" w:rsidR="00A42CA7" w:rsidRPr="00A42CA7" w:rsidRDefault="00A42CA7" w:rsidP="00DB051A">
                  <w:pPr>
                    <w:rPr>
                      <w:bCs/>
                    </w:rPr>
                  </w:pPr>
                </w:p>
                <w:p w14:paraId="45C16196" w14:textId="77777777" w:rsidR="00A42CA7" w:rsidRPr="00A42CA7" w:rsidRDefault="00A42CA7" w:rsidP="00DB051A">
                  <w:pPr>
                    <w:rPr>
                      <w:b/>
                    </w:rPr>
                  </w:pPr>
                  <w:r w:rsidRPr="00A42CA7">
                    <w:rPr>
                      <w:b/>
                    </w:rPr>
                    <w:t>Trimestrielles</w:t>
                  </w:r>
                </w:p>
                <w:p w14:paraId="26C98CC3" w14:textId="77777777" w:rsidR="00A42CA7" w:rsidRPr="00A42CA7" w:rsidRDefault="00A42CA7" w:rsidP="00DB051A">
                  <w:pPr>
                    <w:rPr>
                      <w:bCs/>
                    </w:rPr>
                  </w:pPr>
                </w:p>
                <w:p w14:paraId="1D29E371" w14:textId="77777777" w:rsidR="00A42CA7" w:rsidRPr="00A42CA7" w:rsidRDefault="00A42CA7" w:rsidP="00DB051A">
                  <w:pPr>
                    <w:numPr>
                      <w:ilvl w:val="0"/>
                      <w:numId w:val="20"/>
                    </w:numPr>
                    <w:rPr>
                      <w:bCs/>
                    </w:rPr>
                  </w:pPr>
                  <w:r w:rsidRPr="00A42CA7">
                    <w:rPr>
                      <w:bCs/>
                    </w:rPr>
                    <w:t>Option pour des déclarations mensuelles (à compter du 1</w:t>
                  </w:r>
                  <w:r w:rsidRPr="00A42CA7">
                    <w:rPr>
                      <w:bCs/>
                      <w:vertAlign w:val="superscript"/>
                    </w:rPr>
                    <w:t>er</w:t>
                  </w:r>
                  <w:r w:rsidRPr="00A42CA7">
                    <w:rPr>
                      <w:bCs/>
                    </w:rPr>
                    <w:t xml:space="preserve"> jour du mois du trimestre civil qui suit celui au cours duquel l’option est exercée, ou à compter d’un 1</w:t>
                  </w:r>
                  <w:r w:rsidRPr="00A42CA7">
                    <w:rPr>
                      <w:bCs/>
                      <w:vertAlign w:val="superscript"/>
                    </w:rPr>
                    <w:t>er</w:t>
                  </w:r>
                  <w:r w:rsidRPr="00A42CA7">
                    <w:rPr>
                      <w:bCs/>
                    </w:rPr>
                    <w:t xml:space="preserve"> jour d’un trimestre civil ultérieur sur demande) ; L’option est valable au moins 4 trimestres civils ;</w:t>
                  </w:r>
                </w:p>
                <w:p w14:paraId="6B072E48" w14:textId="77777777" w:rsidR="00A42CA7" w:rsidRPr="00A42CA7" w:rsidRDefault="00A42CA7" w:rsidP="00DB051A">
                  <w:pPr>
                    <w:rPr>
                      <w:bCs/>
                    </w:rPr>
                  </w:pPr>
                </w:p>
                <w:p w14:paraId="0D875DE5" w14:textId="77777777" w:rsidR="00A42CA7" w:rsidRPr="00A42CA7" w:rsidRDefault="00A42CA7" w:rsidP="00DB051A">
                  <w:pPr>
                    <w:numPr>
                      <w:ilvl w:val="0"/>
                      <w:numId w:val="20"/>
                    </w:numPr>
                    <w:rPr>
                      <w:bCs/>
                    </w:rPr>
                  </w:pPr>
                  <w:r w:rsidRPr="00A42CA7">
                    <w:rPr>
                      <w:bCs/>
                    </w:rPr>
                    <w:t>Révocation de l’option pour les déclarations mensuelles dans les mêmes conditions que l’exercice de l’option.</w:t>
                  </w:r>
                </w:p>
                <w:p w14:paraId="1D29D6A9" w14:textId="77777777" w:rsidR="00A42CA7" w:rsidRPr="00A42CA7" w:rsidRDefault="00A42CA7" w:rsidP="00DB051A">
                  <w:pPr>
                    <w:rPr>
                      <w:bCs/>
                    </w:rPr>
                  </w:pPr>
                </w:p>
              </w:tc>
            </w:tr>
            <w:tr w:rsidR="00A42CA7" w:rsidRPr="00A42CA7" w14:paraId="35424D16" w14:textId="77777777">
              <w:trPr>
                <w:trHeight w:val="974"/>
              </w:trPr>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14EA05" w14:textId="77777777" w:rsidR="00A42CA7" w:rsidRPr="00A42CA7" w:rsidRDefault="00A42CA7" w:rsidP="00DB051A">
                  <w:pPr>
                    <w:jc w:val="center"/>
                    <w:rPr>
                      <w:b/>
                    </w:rPr>
                  </w:pPr>
                  <w:r w:rsidRPr="00A42CA7">
                    <w:rPr>
                      <w:b/>
                    </w:rPr>
                    <w:t>1 100 000 €</w:t>
                  </w:r>
                </w:p>
                <w:p w14:paraId="24627046" w14:textId="77777777" w:rsidR="00A42CA7" w:rsidRPr="00A42CA7" w:rsidRDefault="00A42CA7" w:rsidP="00DB051A">
                  <w:pPr>
                    <w:jc w:val="center"/>
                    <w:rPr>
                      <w:bCs/>
                    </w:rPr>
                  </w:pPr>
                  <w:r w:rsidRPr="00A42CA7">
                    <w:rPr>
                      <w:bCs/>
                    </w:rPr>
                    <w:t>l’année civile en cours</w:t>
                  </w: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79F895" w14:textId="77777777" w:rsidR="00A42CA7" w:rsidRPr="00A42CA7" w:rsidRDefault="00A42CA7" w:rsidP="00DB051A">
                  <w:pPr>
                    <w:rPr>
                      <w:bCs/>
                    </w:rPr>
                  </w:pPr>
                  <w:r w:rsidRPr="00A42CA7">
                    <w:rPr>
                      <w:b/>
                    </w:rPr>
                    <w:t>Mensuelles</w:t>
                  </w:r>
                  <w:r w:rsidRPr="00A42CA7">
                    <w:rPr>
                      <w:bCs/>
                    </w:rPr>
                    <w:t xml:space="preserve"> (avec délai supplémentaire d’un mois possible) à compter du 1</w:t>
                  </w:r>
                  <w:r w:rsidRPr="00A42CA7">
                    <w:rPr>
                      <w:bCs/>
                      <w:vertAlign w:val="superscript"/>
                    </w:rPr>
                    <w:t>er</w:t>
                  </w:r>
                  <w:r w:rsidRPr="00A42CA7">
                    <w:rPr>
                      <w:bCs/>
                    </w:rPr>
                    <w:t xml:space="preserve"> jour du mois de dépassement.</w:t>
                  </w:r>
                </w:p>
              </w:tc>
            </w:tr>
          </w:tbl>
          <w:p w14:paraId="4B9420A1" w14:textId="77777777" w:rsidR="00A42CA7" w:rsidRPr="00A42CA7" w:rsidRDefault="00A42CA7" w:rsidP="00DB051A">
            <w:pPr>
              <w:spacing w:line="240" w:lineRule="auto"/>
              <w:rPr>
                <w:bCs/>
              </w:rPr>
            </w:pPr>
          </w:p>
          <w:p w14:paraId="0CB49FF3" w14:textId="77777777" w:rsidR="00A42CA7" w:rsidRPr="00A42CA7" w:rsidRDefault="00A42CA7" w:rsidP="00DB051A">
            <w:pPr>
              <w:spacing w:line="240" w:lineRule="auto"/>
              <w:rPr>
                <w:bCs/>
              </w:rPr>
            </w:pPr>
            <w:r w:rsidRPr="00A42CA7">
              <w:rPr>
                <w:bCs/>
              </w:rPr>
              <w:t xml:space="preserve">Le respect du seuil s’apprécie au regard (notamment) du </w:t>
            </w:r>
            <w:r w:rsidRPr="00A42CA7">
              <w:rPr>
                <w:b/>
              </w:rPr>
              <w:t>chiffre d’affaires de l’entité, majoré d’acquisitions taxables</w:t>
            </w:r>
            <w:r w:rsidRPr="00A42CA7">
              <w:rPr>
                <w:bCs/>
              </w:rPr>
              <w:t xml:space="preserve"> (opérations autoliquidées telles que les acquisitions intracommunautaires, les importations, et autres régimes spécifiques d’autoliquidation institués dans certains secteurs).</w:t>
            </w:r>
          </w:p>
          <w:p w14:paraId="0868F07E" w14:textId="77777777" w:rsidR="00A42CA7" w:rsidRPr="00A42CA7" w:rsidRDefault="00A42CA7" w:rsidP="00DB051A">
            <w:pPr>
              <w:spacing w:line="240" w:lineRule="auto"/>
              <w:rPr>
                <w:bCs/>
              </w:rPr>
            </w:pPr>
          </w:p>
          <w:p w14:paraId="3CDEC2A1" w14:textId="77777777" w:rsidR="00A42CA7" w:rsidRPr="00A42CA7" w:rsidRDefault="00A42CA7" w:rsidP="00DB051A">
            <w:pPr>
              <w:spacing w:line="240" w:lineRule="auto"/>
              <w:rPr>
                <w:bCs/>
              </w:rPr>
            </w:pPr>
            <w:r w:rsidRPr="00A42CA7">
              <w:rPr>
                <w:bCs/>
              </w:rPr>
              <w:t xml:space="preserve">Ces seuils feront l’objet d’une </w:t>
            </w:r>
            <w:r w:rsidRPr="00A42CA7">
              <w:rPr>
                <w:b/>
              </w:rPr>
              <w:t>revalorisation par période triennale</w:t>
            </w:r>
            <w:r w:rsidRPr="00A42CA7">
              <w:rPr>
                <w:bCs/>
              </w:rPr>
              <w:t>, la première fois à compter de 2030 (indexés sur l’inflation et arrondis au millier d’euros).</w:t>
            </w:r>
          </w:p>
          <w:p w14:paraId="48DD5E73" w14:textId="4D1C1D8D" w:rsidR="00A42CA7" w:rsidRPr="00A42CA7" w:rsidRDefault="00DB051A" w:rsidP="00A42CA7">
            <w:pPr>
              <w:spacing w:line="240" w:lineRule="auto"/>
              <w:jc w:val="left"/>
              <w:rPr>
                <w:bCs/>
              </w:rPr>
            </w:pPr>
            <w:r w:rsidRPr="00A42CA7">
              <w:rPr>
                <w:noProof/>
              </w:rPr>
              <mc:AlternateContent>
                <mc:Choice Requires="wps">
                  <w:drawing>
                    <wp:anchor distT="0" distB="0" distL="114300" distR="114300" simplePos="0" relativeHeight="251665408" behindDoc="0" locked="0" layoutInCell="1" allowOverlap="1" wp14:anchorId="3A2A4F0E" wp14:editId="601FCFC0">
                      <wp:simplePos x="0" y="0"/>
                      <wp:positionH relativeFrom="column">
                        <wp:posOffset>4899025</wp:posOffset>
                      </wp:positionH>
                      <wp:positionV relativeFrom="paragraph">
                        <wp:posOffset>47625</wp:posOffset>
                      </wp:positionV>
                      <wp:extent cx="619125" cy="373380"/>
                      <wp:effectExtent l="38100" t="38100" r="123825" b="121920"/>
                      <wp:wrapNone/>
                      <wp:docPr id="1106979533" name="Ellipse 10">
                        <a:hlinkClick xmlns:a="http://schemas.openxmlformats.org/drawingml/2006/main" r:id="rId14"/>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 cy="373380"/>
                              </a:xfrm>
                              <a:prstGeom prst="ellipse">
                                <a:avLst/>
                              </a:prstGeom>
                              <a:solidFill>
                                <a:schemeClr val="bg1">
                                  <a:lumMod val="95000"/>
                                </a:schemeClr>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D9D908B" w14:textId="77777777" w:rsidR="00A42CA7" w:rsidRDefault="00A42CA7" w:rsidP="00A42CA7">
                                  <w:pPr>
                                    <w:jc w:val="center"/>
                                    <w:rPr>
                                      <w:color w:val="000000" w:themeColor="text1"/>
                                      <w:sz w:val="16"/>
                                      <w:szCs w:val="16"/>
                                    </w:rPr>
                                  </w:pPr>
                                  <w:r>
                                    <w:rPr>
                                      <w:color w:val="000000" w:themeColor="text1"/>
                                      <w:sz w:val="16"/>
                                      <w:szCs w:val="16"/>
                                    </w:rPr>
                                    <w:t>Retour sommaire</w:t>
                                  </w:r>
                                </w:p>
                              </w:txbxContent>
                            </wps:txbx>
                            <wps:bodyPr rot="0" spcFirstLastPara="0" vertOverflow="clip" horzOverflow="clip"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2A4F0E" id="Ellipse 10" o:spid="_x0000_s1031" href="#DEBUT" style="position:absolute;margin-left:385.75pt;margin-top:3.75pt;width:48.7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" o:button="t" fillcolor="#f2f2f2 [3052]" strokecolor="black [3213]" strokeweight="1pt">
                      <v:fill o:detectmouseclick="t"/>
                      <v:stroke joinstyle="miter"/>
                      <v:shadow on="t" color="black" opacity="26214f" origin="-.5,-.5" offset=".74836mm,.74836mm"/>
                      <v:path arrowok="t"/>
                      <v:textbox inset="0,0,0,0">
                        <w:txbxContent>
                          <w:p w14:paraId="5D9D908B" w14:textId="77777777" w:rsidR="00A42CA7" w:rsidRDefault="00A42CA7" w:rsidP="00A42CA7">
                            <w:pPr>
                              <w:jc w:val="center"/>
                              <w:rPr>
                                <w:color w:val="000000" w:themeColor="text1"/>
                                <w:sz w:val="16"/>
                                <w:szCs w:val="16"/>
                              </w:rPr>
                            </w:pPr>
                            <w:r>
                              <w:rPr>
                                <w:color w:val="000000" w:themeColor="text1"/>
                                <w:sz w:val="16"/>
                                <w:szCs w:val="16"/>
                              </w:rPr>
                              <w:t>Retour sommaire</w:t>
                            </w:r>
                          </w:p>
                        </w:txbxContent>
                      </v:textbox>
                    </v:oval>
                  </w:pict>
                </mc:Fallback>
              </mc:AlternateContent>
            </w:r>
          </w:p>
        </w:tc>
      </w:tr>
    </w:tbl>
    <w:p w14:paraId="30F21EC1" w14:textId="208944AB" w:rsidR="00A42CA7" w:rsidRPr="00A42CA7" w:rsidRDefault="00A42CA7" w:rsidP="00A42CA7">
      <w:pPr>
        <w:spacing w:line="240" w:lineRule="auto"/>
        <w:jc w:val="left"/>
      </w:pPr>
      <w:r w:rsidRPr="00A42CA7">
        <w:br w:type="page"/>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4"/>
        <w:gridCol w:w="9083"/>
      </w:tblGrid>
      <w:tr w:rsidR="00A42CA7" w:rsidRPr="00A42CA7" w14:paraId="086928F1" w14:textId="77777777" w:rsidTr="00DB051A">
        <w:trPr>
          <w:trHeight w:val="1826"/>
          <w:jc w:val="center"/>
        </w:trPr>
        <w:tc>
          <w:tcPr>
            <w:tcW w:w="154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92A61B" w14:textId="77777777" w:rsidR="00A42CA7" w:rsidRPr="00A42CA7" w:rsidRDefault="00A42CA7" w:rsidP="00DB051A">
            <w:pPr>
              <w:spacing w:line="240" w:lineRule="auto"/>
              <w:jc w:val="center"/>
              <w:rPr>
                <w:b/>
                <w:bCs/>
                <w:i/>
                <w:iCs/>
              </w:rPr>
            </w:pPr>
            <w:r w:rsidRPr="00A42CA7">
              <w:rPr>
                <w:b/>
                <w:bCs/>
                <w:i/>
                <w:iCs/>
              </w:rPr>
              <w:lastRenderedPageBreak/>
              <w:t>TVA : mesures diverses</w:t>
            </w:r>
          </w:p>
        </w:tc>
        <w:tc>
          <w:tcPr>
            <w:tcW w:w="9083" w:type="dxa"/>
            <w:tcBorders>
              <w:top w:val="single" w:sz="4" w:space="0" w:color="auto"/>
              <w:left w:val="single" w:sz="4" w:space="0" w:color="auto"/>
              <w:bottom w:val="single" w:sz="4" w:space="0" w:color="auto"/>
              <w:right w:val="single" w:sz="4" w:space="0" w:color="auto"/>
            </w:tcBorders>
          </w:tcPr>
          <w:p w14:paraId="32886FFB" w14:textId="77777777" w:rsidR="00A42CA7" w:rsidRPr="00DB051A" w:rsidRDefault="00A42CA7" w:rsidP="00A42CA7">
            <w:pPr>
              <w:spacing w:line="240" w:lineRule="auto"/>
              <w:jc w:val="left"/>
              <w:rPr>
                <w:b/>
                <w:sz w:val="10"/>
                <w:szCs w:val="10"/>
                <w:u w:val="single"/>
              </w:rPr>
            </w:pPr>
          </w:p>
          <w:p w14:paraId="373CC78D" w14:textId="77777777" w:rsidR="00A42CA7" w:rsidRPr="00A42CA7" w:rsidRDefault="00A42CA7" w:rsidP="00DB051A">
            <w:pPr>
              <w:spacing w:line="240" w:lineRule="auto"/>
              <w:rPr>
                <w:b/>
                <w:u w:val="single"/>
              </w:rPr>
            </w:pPr>
            <w:r w:rsidRPr="00A42CA7">
              <w:rPr>
                <w:b/>
                <w:u w:val="single"/>
              </w:rPr>
              <w:t>Modifications de taux d’imposition</w:t>
            </w:r>
          </w:p>
          <w:p w14:paraId="31C03E1F" w14:textId="77777777" w:rsidR="00A42CA7" w:rsidRPr="00A42CA7" w:rsidRDefault="00A42CA7" w:rsidP="00DB051A">
            <w:pPr>
              <w:spacing w:line="240" w:lineRule="auto"/>
              <w:rPr>
                <w:b/>
                <w:u w:val="single"/>
              </w:rPr>
            </w:pPr>
          </w:p>
          <w:p w14:paraId="371BF332" w14:textId="77777777" w:rsidR="00A42CA7" w:rsidRPr="00A42CA7" w:rsidRDefault="00A42CA7" w:rsidP="00DB051A">
            <w:pPr>
              <w:spacing w:line="240" w:lineRule="auto"/>
              <w:rPr>
                <w:bCs/>
              </w:rPr>
            </w:pPr>
            <w:r w:rsidRPr="00A42CA7">
              <w:rPr>
                <w:bCs/>
              </w:rPr>
              <w:t xml:space="preserve">La loi de finances pour 2025 supprime les impositions à taux réduit, et donc instaure le </w:t>
            </w:r>
            <w:r w:rsidRPr="00A42CA7">
              <w:rPr>
                <w:b/>
              </w:rPr>
              <w:t>taux normal</w:t>
            </w:r>
            <w:r w:rsidRPr="00A42CA7">
              <w:rPr>
                <w:bCs/>
              </w:rPr>
              <w:t xml:space="preserve"> à compter du 1</w:t>
            </w:r>
            <w:r w:rsidRPr="00A42CA7">
              <w:rPr>
                <w:bCs/>
                <w:vertAlign w:val="superscript"/>
              </w:rPr>
              <w:t>er</w:t>
            </w:r>
            <w:r w:rsidRPr="00A42CA7">
              <w:rPr>
                <w:bCs/>
              </w:rPr>
              <w:t xml:space="preserve"> mars 2025 sur :</w:t>
            </w:r>
          </w:p>
          <w:p w14:paraId="464D8707" w14:textId="77777777" w:rsidR="00A42CA7" w:rsidRPr="00DB051A" w:rsidRDefault="00A42CA7" w:rsidP="00DB051A">
            <w:pPr>
              <w:spacing w:line="240" w:lineRule="auto"/>
              <w:rPr>
                <w:bCs/>
                <w:sz w:val="10"/>
                <w:szCs w:val="10"/>
              </w:rPr>
            </w:pPr>
          </w:p>
          <w:p w14:paraId="2741E46C" w14:textId="77777777" w:rsidR="00A42CA7" w:rsidRPr="00A42CA7" w:rsidRDefault="00A42CA7" w:rsidP="00DB051A">
            <w:pPr>
              <w:numPr>
                <w:ilvl w:val="0"/>
                <w:numId w:val="20"/>
              </w:numPr>
              <w:spacing w:line="240" w:lineRule="auto"/>
              <w:rPr>
                <w:bCs/>
              </w:rPr>
            </w:pPr>
            <w:r w:rsidRPr="00A42CA7">
              <w:rPr>
                <w:bCs/>
              </w:rPr>
              <w:t xml:space="preserve">Les </w:t>
            </w:r>
            <w:r w:rsidRPr="00A42CA7">
              <w:rPr>
                <w:b/>
              </w:rPr>
              <w:t>abonnements de gaz et d’électricité</w:t>
            </w:r>
            <w:r w:rsidRPr="00A42CA7">
              <w:rPr>
                <w:bCs/>
              </w:rPr>
              <w:t> ;</w:t>
            </w:r>
          </w:p>
          <w:p w14:paraId="25E4C4A6" w14:textId="77777777" w:rsidR="00A42CA7" w:rsidRPr="00DB051A" w:rsidRDefault="00A42CA7" w:rsidP="00DB051A">
            <w:pPr>
              <w:spacing w:line="240" w:lineRule="auto"/>
              <w:rPr>
                <w:bCs/>
                <w:sz w:val="10"/>
                <w:szCs w:val="10"/>
              </w:rPr>
            </w:pPr>
          </w:p>
          <w:p w14:paraId="5458DDBC" w14:textId="77777777" w:rsidR="00A42CA7" w:rsidRPr="00A42CA7" w:rsidRDefault="00A42CA7" w:rsidP="00DB051A">
            <w:pPr>
              <w:numPr>
                <w:ilvl w:val="0"/>
                <w:numId w:val="20"/>
              </w:numPr>
              <w:spacing w:line="240" w:lineRule="auto"/>
              <w:rPr>
                <w:bCs/>
              </w:rPr>
            </w:pPr>
            <w:r w:rsidRPr="00A42CA7">
              <w:rPr>
                <w:bCs/>
              </w:rPr>
              <w:t xml:space="preserve">Les </w:t>
            </w:r>
            <w:r w:rsidRPr="00A42CA7">
              <w:rPr>
                <w:b/>
              </w:rPr>
              <w:t>travaux de rénovation énergétiques</w:t>
            </w:r>
            <w:r w:rsidRPr="00A42CA7">
              <w:rPr>
                <w:bCs/>
              </w:rPr>
              <w:t>, d’amélioration, de transformation, d’aménagement et d’entretien dans les locaux destinés à l’usage d’habitation achevés depuis plus de 2 ans, lorsqu’ils concernent la fourniture ou l’installation d’une chaudière susceptible d’utiliser des combustibles fossiles ; par ailleurs, l’attestation pour les travaux immobiliers permettant de bénéficier du taux réduit sur les travaux éligibles (ceux qui restent taxés à taux réduit) est supprimée, le preneur doit désormais certifier remplir les conditions sur le devis ou la facture ;</w:t>
            </w:r>
          </w:p>
          <w:p w14:paraId="703F4F6F" w14:textId="77777777" w:rsidR="00A42CA7" w:rsidRPr="00DB051A" w:rsidRDefault="00A42CA7" w:rsidP="00DB051A">
            <w:pPr>
              <w:spacing w:line="240" w:lineRule="auto"/>
              <w:rPr>
                <w:bCs/>
                <w:sz w:val="10"/>
                <w:szCs w:val="10"/>
              </w:rPr>
            </w:pPr>
          </w:p>
          <w:p w14:paraId="47D742DF" w14:textId="77777777" w:rsidR="00A42CA7" w:rsidRPr="00A42CA7" w:rsidRDefault="00A42CA7" w:rsidP="00DB051A">
            <w:pPr>
              <w:numPr>
                <w:ilvl w:val="0"/>
                <w:numId w:val="20"/>
              </w:numPr>
              <w:spacing w:line="240" w:lineRule="auto"/>
              <w:rPr>
                <w:bCs/>
              </w:rPr>
            </w:pPr>
            <w:r w:rsidRPr="00A42CA7">
              <w:rPr>
                <w:bCs/>
              </w:rPr>
              <w:t>Les ventes de produits pétroliers livrés en Corse.</w:t>
            </w:r>
          </w:p>
          <w:p w14:paraId="282D2E12" w14:textId="77777777" w:rsidR="00A42CA7" w:rsidRPr="00DB051A" w:rsidRDefault="00A42CA7" w:rsidP="00DB051A">
            <w:pPr>
              <w:spacing w:line="240" w:lineRule="auto"/>
              <w:rPr>
                <w:bCs/>
                <w:sz w:val="10"/>
                <w:szCs w:val="10"/>
              </w:rPr>
            </w:pPr>
          </w:p>
          <w:p w14:paraId="684D1FD6" w14:textId="77777777" w:rsidR="00A42CA7" w:rsidRPr="00A42CA7" w:rsidRDefault="00A42CA7" w:rsidP="00DB051A">
            <w:pPr>
              <w:spacing w:line="240" w:lineRule="auto"/>
              <w:rPr>
                <w:bCs/>
              </w:rPr>
            </w:pPr>
            <w:r w:rsidRPr="00A42CA7">
              <w:rPr>
                <w:bCs/>
              </w:rPr>
              <w:t>Application à compter du 1</w:t>
            </w:r>
            <w:r w:rsidRPr="00A42CA7">
              <w:rPr>
                <w:bCs/>
                <w:vertAlign w:val="superscript"/>
              </w:rPr>
              <w:t>er</w:t>
            </w:r>
            <w:r w:rsidRPr="00A42CA7">
              <w:rPr>
                <w:bCs/>
              </w:rPr>
              <w:t xml:space="preserve"> octobre 2025 du </w:t>
            </w:r>
            <w:r w:rsidRPr="00A42CA7">
              <w:rPr>
                <w:b/>
              </w:rPr>
              <w:t>taux réduit</w:t>
            </w:r>
            <w:r w:rsidRPr="00A42CA7">
              <w:rPr>
                <w:bCs/>
              </w:rPr>
              <w:t xml:space="preserve"> (5,5%) sur les livraisons et installations dans les logements, d’équipements de production d’électricité utilisant </w:t>
            </w:r>
            <w:r w:rsidRPr="00A42CA7">
              <w:rPr>
                <w:b/>
              </w:rPr>
              <w:t>l’énergie solaire</w:t>
            </w:r>
            <w:r w:rsidRPr="00A42CA7">
              <w:rPr>
                <w:bCs/>
              </w:rPr>
              <w:t xml:space="preserve"> (à puissance limitée).</w:t>
            </w:r>
          </w:p>
          <w:p w14:paraId="71CB3087" w14:textId="77777777" w:rsidR="00A42CA7" w:rsidRPr="00DB051A" w:rsidRDefault="00A42CA7" w:rsidP="00DB051A">
            <w:pPr>
              <w:spacing w:line="240" w:lineRule="auto"/>
              <w:rPr>
                <w:bCs/>
                <w:sz w:val="10"/>
                <w:szCs w:val="10"/>
              </w:rPr>
            </w:pPr>
          </w:p>
          <w:p w14:paraId="1B119871" w14:textId="77777777" w:rsidR="00A42CA7" w:rsidRPr="00A42CA7" w:rsidRDefault="00A42CA7" w:rsidP="00DB051A">
            <w:pPr>
              <w:spacing w:line="240" w:lineRule="auto"/>
              <w:rPr>
                <w:bCs/>
              </w:rPr>
            </w:pPr>
            <w:r w:rsidRPr="00A42CA7">
              <w:rPr>
                <w:bCs/>
              </w:rPr>
              <w:t>Suppression, à compter du 16 février 2025, de justifier de la conformité des logiciels de caisse par une attestation fournie par l’éditeur du logiciel. La certification par un organisme tiers accrédité devient la seule attestation possible.</w:t>
            </w:r>
          </w:p>
          <w:p w14:paraId="0218B1C9" w14:textId="77777777" w:rsidR="00A42CA7" w:rsidRPr="00DB051A" w:rsidRDefault="00A42CA7" w:rsidP="00A42CA7">
            <w:pPr>
              <w:spacing w:line="240" w:lineRule="auto"/>
              <w:jc w:val="left"/>
              <w:rPr>
                <w:b/>
                <w:sz w:val="10"/>
                <w:szCs w:val="10"/>
                <w:u w:val="single"/>
              </w:rPr>
            </w:pPr>
          </w:p>
        </w:tc>
      </w:tr>
      <w:tr w:rsidR="00A42CA7" w:rsidRPr="00A42CA7" w14:paraId="0A509644" w14:textId="77777777" w:rsidTr="00DB051A">
        <w:trPr>
          <w:trHeight w:val="1826"/>
          <w:jc w:val="center"/>
        </w:trPr>
        <w:tc>
          <w:tcPr>
            <w:tcW w:w="154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5544C84" w14:textId="77777777" w:rsidR="00A42CA7" w:rsidRPr="00A42CA7" w:rsidRDefault="00A42CA7" w:rsidP="00DB051A">
            <w:pPr>
              <w:spacing w:line="240" w:lineRule="auto"/>
              <w:jc w:val="center"/>
              <w:rPr>
                <w:b/>
                <w:bCs/>
                <w:i/>
                <w:iCs/>
              </w:rPr>
            </w:pPr>
            <w:r w:rsidRPr="00A42CA7">
              <w:rPr>
                <w:b/>
                <w:bCs/>
                <w:i/>
                <w:iCs/>
              </w:rPr>
              <w:t>IS : contribution exceptionnelle temporaire</w:t>
            </w:r>
          </w:p>
        </w:tc>
        <w:tc>
          <w:tcPr>
            <w:tcW w:w="9083" w:type="dxa"/>
            <w:tcBorders>
              <w:top w:val="single" w:sz="4" w:space="0" w:color="auto"/>
              <w:left w:val="single" w:sz="4" w:space="0" w:color="auto"/>
              <w:bottom w:val="single" w:sz="4" w:space="0" w:color="auto"/>
              <w:right w:val="single" w:sz="4" w:space="0" w:color="auto"/>
            </w:tcBorders>
          </w:tcPr>
          <w:p w14:paraId="4E083FCE" w14:textId="77777777" w:rsidR="00A42CA7" w:rsidRPr="00A42CA7" w:rsidRDefault="00A42CA7" w:rsidP="00A42CA7">
            <w:pPr>
              <w:spacing w:line="240" w:lineRule="auto"/>
              <w:jc w:val="left"/>
              <w:rPr>
                <w:b/>
                <w:u w:val="single"/>
              </w:rPr>
            </w:pPr>
          </w:p>
          <w:p w14:paraId="2D84A6EA" w14:textId="77777777" w:rsidR="00A42CA7" w:rsidRPr="00A42CA7" w:rsidRDefault="00A42CA7" w:rsidP="00DB051A">
            <w:pPr>
              <w:spacing w:line="240" w:lineRule="auto"/>
              <w:rPr>
                <w:b/>
                <w:u w:val="single"/>
              </w:rPr>
            </w:pPr>
            <w:r w:rsidRPr="00A42CA7">
              <w:rPr>
                <w:b/>
                <w:u w:val="single"/>
              </w:rPr>
              <w:t>Instauration d’une nouvelle contribution d’IS pour les grandes entreprises</w:t>
            </w:r>
          </w:p>
          <w:p w14:paraId="55043A1F" w14:textId="77777777" w:rsidR="00A42CA7" w:rsidRPr="00CC4090" w:rsidRDefault="00A42CA7" w:rsidP="00DB051A">
            <w:pPr>
              <w:spacing w:line="240" w:lineRule="auto"/>
              <w:rPr>
                <w:b/>
                <w:sz w:val="20"/>
                <w:szCs w:val="20"/>
                <w:u w:val="single"/>
              </w:rPr>
            </w:pPr>
          </w:p>
          <w:p w14:paraId="1E368C4F" w14:textId="77777777" w:rsidR="00A42CA7" w:rsidRPr="00A42CA7" w:rsidRDefault="00A42CA7" w:rsidP="00DB051A">
            <w:pPr>
              <w:spacing w:line="240" w:lineRule="auto"/>
              <w:rPr>
                <w:b/>
              </w:rPr>
            </w:pPr>
            <w:r w:rsidRPr="00A42CA7">
              <w:rPr>
                <w:b/>
              </w:rPr>
              <w:t>Principe :</w:t>
            </w:r>
          </w:p>
          <w:p w14:paraId="2DB16C65" w14:textId="77777777" w:rsidR="00A42CA7" w:rsidRPr="00A42CA7" w:rsidRDefault="00A42CA7" w:rsidP="00DB051A">
            <w:pPr>
              <w:spacing w:line="240" w:lineRule="auto"/>
              <w:rPr>
                <w:bCs/>
              </w:rPr>
            </w:pPr>
            <w:r w:rsidRPr="00A42CA7">
              <w:rPr>
                <w:bCs/>
              </w:rPr>
              <w:t>Cette nouvelle contribution s’applique au 1</w:t>
            </w:r>
            <w:r w:rsidRPr="00A42CA7">
              <w:rPr>
                <w:bCs/>
                <w:vertAlign w:val="superscript"/>
              </w:rPr>
              <w:t>er</w:t>
            </w:r>
            <w:r w:rsidRPr="00A42CA7">
              <w:rPr>
                <w:bCs/>
              </w:rPr>
              <w:t xml:space="preserve"> exercice clos à compter du 31/12/2025, concerne les très grandes entreprises</w:t>
            </w:r>
            <w:r w:rsidRPr="00A42CA7">
              <w:rPr>
                <w:bCs/>
                <w:vertAlign w:val="superscript"/>
              </w:rPr>
              <w:footnoteReference w:id="2"/>
            </w:r>
            <w:r w:rsidRPr="00A42CA7">
              <w:rPr>
                <w:bCs/>
              </w:rPr>
              <w:t>, se base sur un IS moyen, n’est pas déductible des bénéfices, ne peut faire l’objet d’une imputation de créances fiscales (RI, CI…), et prévoit un taux d’imposition selon le CA.</w:t>
            </w:r>
          </w:p>
          <w:p w14:paraId="0A98334A" w14:textId="77777777" w:rsidR="00A42CA7" w:rsidRPr="00CC4090" w:rsidRDefault="00A42CA7" w:rsidP="00DB051A">
            <w:pPr>
              <w:spacing w:line="240" w:lineRule="auto"/>
              <w:rPr>
                <w:b/>
                <w:sz w:val="20"/>
                <w:szCs w:val="20"/>
                <w:u w:val="single"/>
              </w:rPr>
            </w:pPr>
          </w:p>
          <w:p w14:paraId="0BF45422" w14:textId="77777777" w:rsidR="00A42CA7" w:rsidRPr="00A42CA7" w:rsidRDefault="00A42CA7" w:rsidP="00DB051A">
            <w:pPr>
              <w:spacing w:line="240" w:lineRule="auto"/>
              <w:rPr>
                <w:b/>
              </w:rPr>
            </w:pPr>
            <w:r w:rsidRPr="00A42CA7">
              <w:rPr>
                <w:b/>
              </w:rPr>
              <w:t>Personnes imposables :</w:t>
            </w:r>
          </w:p>
          <w:p w14:paraId="374C634F" w14:textId="77777777" w:rsidR="00A42CA7" w:rsidRPr="00A42CA7" w:rsidRDefault="00A42CA7" w:rsidP="00DB051A">
            <w:pPr>
              <w:numPr>
                <w:ilvl w:val="0"/>
                <w:numId w:val="20"/>
              </w:numPr>
              <w:spacing w:line="240" w:lineRule="auto"/>
              <w:ind w:left="663" w:hanging="425"/>
              <w:rPr>
                <w:bCs/>
              </w:rPr>
            </w:pPr>
            <w:r w:rsidRPr="00A42CA7">
              <w:rPr>
                <w:bCs/>
              </w:rPr>
              <w:t>Sociétés à l’IS ;</w:t>
            </w:r>
          </w:p>
          <w:p w14:paraId="4A5E49E6" w14:textId="1709F00B" w:rsidR="00A42CA7" w:rsidRPr="00DB051A" w:rsidRDefault="00A42CA7" w:rsidP="00DB051A">
            <w:pPr>
              <w:numPr>
                <w:ilvl w:val="0"/>
                <w:numId w:val="20"/>
              </w:numPr>
              <w:spacing w:line="240" w:lineRule="auto"/>
              <w:ind w:left="663" w:hanging="425"/>
              <w:rPr>
                <w:bCs/>
              </w:rPr>
            </w:pPr>
            <w:r w:rsidRPr="00A42CA7">
              <w:rPr>
                <w:bCs/>
              </w:rPr>
              <w:t>CA réalisé en France ≥ 1 Milliard d’euros en 2024 ou en 2025</w:t>
            </w:r>
            <w:r w:rsidR="00DB051A">
              <w:rPr>
                <w:bCs/>
              </w:rPr>
              <w:t xml:space="preserve"> (</w:t>
            </w:r>
            <w:r w:rsidRPr="00DB051A">
              <w:rPr>
                <w:bCs/>
                <w:i/>
                <w:iCs/>
              </w:rPr>
              <w:t>Le seuil du CA s’apprécie prorata temporis et au niveau de l’ensemble du groupe pour un groupe intégré</w:t>
            </w:r>
            <w:r w:rsidR="00DB051A">
              <w:rPr>
                <w:bCs/>
                <w:i/>
                <w:iCs/>
              </w:rPr>
              <w:t>)</w:t>
            </w:r>
          </w:p>
          <w:p w14:paraId="1E45DF76" w14:textId="77777777" w:rsidR="00A42CA7" w:rsidRPr="00CC4090" w:rsidRDefault="00A42CA7" w:rsidP="00DB051A">
            <w:pPr>
              <w:spacing w:line="240" w:lineRule="auto"/>
              <w:rPr>
                <w:bCs/>
                <w:sz w:val="20"/>
                <w:szCs w:val="20"/>
              </w:rPr>
            </w:pPr>
          </w:p>
          <w:p w14:paraId="799A82B6" w14:textId="77777777" w:rsidR="00A42CA7" w:rsidRPr="00A42CA7" w:rsidRDefault="00A42CA7" w:rsidP="00DB051A">
            <w:pPr>
              <w:spacing w:line="240" w:lineRule="auto"/>
              <w:rPr>
                <w:b/>
              </w:rPr>
            </w:pPr>
            <w:r w:rsidRPr="00A42CA7">
              <w:rPr>
                <w:b/>
              </w:rPr>
              <w:t>Modalités de calcul :</w:t>
            </w:r>
          </w:p>
          <w:p w14:paraId="37957FF2" w14:textId="77777777" w:rsidR="00A42CA7" w:rsidRPr="00A42CA7" w:rsidRDefault="00A42CA7" w:rsidP="00DB051A">
            <w:pPr>
              <w:numPr>
                <w:ilvl w:val="0"/>
                <w:numId w:val="20"/>
              </w:numPr>
              <w:spacing w:line="240" w:lineRule="auto"/>
              <w:ind w:left="663" w:hanging="425"/>
              <w:rPr>
                <w:bCs/>
              </w:rPr>
            </w:pPr>
            <w:r w:rsidRPr="00A42CA7">
              <w:rPr>
                <w:bCs/>
              </w:rPr>
              <w:t>Base imposable : moyenne de l’IS (avant imputation des réductions, crédits d’impôts et créances fiscales de toute nature) dû au titre de de l’année 2024 et 2025 ;</w:t>
            </w:r>
          </w:p>
          <w:p w14:paraId="7D5A3C41" w14:textId="77777777" w:rsidR="00A42CA7" w:rsidRPr="00A42CA7" w:rsidRDefault="00A42CA7" w:rsidP="00DB051A">
            <w:pPr>
              <w:numPr>
                <w:ilvl w:val="0"/>
                <w:numId w:val="20"/>
              </w:numPr>
              <w:spacing w:line="240" w:lineRule="auto"/>
              <w:ind w:left="663" w:hanging="425"/>
              <w:rPr>
                <w:bCs/>
              </w:rPr>
            </w:pPr>
            <w:r w:rsidRPr="00A42CA7">
              <w:rPr>
                <w:bCs/>
              </w:rPr>
              <w:t>Taux d’imposition : il dépend du respect d’un seuil de 3 milliards d’euros en 2024 et en 2025.</w:t>
            </w:r>
          </w:p>
          <w:p w14:paraId="09C6858C" w14:textId="77777777" w:rsidR="00A42CA7" w:rsidRDefault="00A42CA7" w:rsidP="00DB051A">
            <w:pPr>
              <w:spacing w:line="240" w:lineRule="auto"/>
              <w:rPr>
                <w:bCs/>
                <w:sz w:val="10"/>
                <w:szCs w:val="10"/>
              </w:rPr>
            </w:pPr>
          </w:p>
          <w:tbl>
            <w:tblPr>
              <w:tblStyle w:val="Grilledutableau"/>
              <w:tblW w:w="0" w:type="auto"/>
              <w:tblLook w:val="04A0" w:firstRow="1" w:lastRow="0" w:firstColumn="1" w:lastColumn="0" w:noHBand="0" w:noVBand="1"/>
            </w:tblPr>
            <w:tblGrid>
              <w:gridCol w:w="3208"/>
              <w:gridCol w:w="2268"/>
              <w:gridCol w:w="3363"/>
            </w:tblGrid>
            <w:tr w:rsidR="00A42CA7" w:rsidRPr="00A42CA7" w14:paraId="62ECB06F" w14:textId="77777777" w:rsidTr="00DB051A">
              <w:trPr>
                <w:trHeight w:val="638"/>
              </w:trPr>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FE101F" w14:textId="77777777" w:rsidR="00A42CA7" w:rsidRPr="00A42CA7" w:rsidRDefault="00A42CA7" w:rsidP="00DB051A">
                  <w:pPr>
                    <w:jc w:val="center"/>
                    <w:rPr>
                      <w:bCs/>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BD3AF1" w14:textId="77777777" w:rsidR="00A42CA7" w:rsidRPr="00A42CA7" w:rsidRDefault="00A42CA7" w:rsidP="00DB051A">
                  <w:pPr>
                    <w:jc w:val="center"/>
                    <w:rPr>
                      <w:bCs/>
                    </w:rPr>
                  </w:pPr>
                  <w:r w:rsidRPr="00A42CA7">
                    <w:rPr>
                      <w:bCs/>
                    </w:rPr>
                    <w:t>Taux d’imposition</w:t>
                  </w:r>
                </w:p>
                <w:p w14:paraId="268B2CE8" w14:textId="77777777" w:rsidR="00A42CA7" w:rsidRPr="00A42CA7" w:rsidRDefault="00A42CA7" w:rsidP="00DB051A">
                  <w:pPr>
                    <w:jc w:val="center"/>
                    <w:rPr>
                      <w:bCs/>
                    </w:rPr>
                  </w:pPr>
                  <w:r w:rsidRPr="00A42CA7">
                    <w:rPr>
                      <w:bCs/>
                    </w:rPr>
                    <w:t>pour 2025</w:t>
                  </w:r>
                </w:p>
              </w:tc>
              <w:tc>
                <w:tcPr>
                  <w:tcW w:w="33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4695C6" w14:textId="77777777" w:rsidR="00A42CA7" w:rsidRPr="00A42CA7" w:rsidRDefault="00A42CA7" w:rsidP="00DB051A">
                  <w:pPr>
                    <w:rPr>
                      <w:bCs/>
                    </w:rPr>
                  </w:pPr>
                  <w:r w:rsidRPr="00A42CA7">
                    <w:rPr>
                      <w:bCs/>
                    </w:rPr>
                    <w:t>Un mécanisme de lissage est mis en place pour les entreprises dont le CA de référence (le plus élevé entre 2024 et 2025) est compris entre 1 et 1,1 Md € ou entre 3 et 3,1 Mds €</w:t>
                  </w:r>
                </w:p>
              </w:tc>
            </w:tr>
            <w:tr w:rsidR="00A42CA7" w:rsidRPr="00A42CA7" w14:paraId="24CE3F22" w14:textId="77777777" w:rsidTr="00DB051A">
              <w:trPr>
                <w:trHeight w:val="420"/>
              </w:trPr>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39748F" w14:textId="77777777" w:rsidR="00A42CA7" w:rsidRPr="00A42CA7" w:rsidRDefault="00A42CA7" w:rsidP="00DB051A">
                  <w:pPr>
                    <w:jc w:val="center"/>
                    <w:rPr>
                      <w:bCs/>
                    </w:rPr>
                  </w:pPr>
                  <w:r w:rsidRPr="00A42CA7">
                    <w:rPr>
                      <w:bCs/>
                    </w:rPr>
                    <w:t xml:space="preserve">CA 2024 </w:t>
                  </w:r>
                  <w:r w:rsidRPr="00DB051A">
                    <w:rPr>
                      <w:b/>
                    </w:rPr>
                    <w:t>ET</w:t>
                  </w:r>
                  <w:r w:rsidRPr="00A42CA7">
                    <w:rPr>
                      <w:bCs/>
                    </w:rPr>
                    <w:t xml:space="preserve"> 2025 &lt; 3 Mds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394A73" w14:textId="77777777" w:rsidR="00A42CA7" w:rsidRPr="00A42CA7" w:rsidRDefault="00A42CA7" w:rsidP="00DB051A">
                  <w:pPr>
                    <w:jc w:val="center"/>
                    <w:rPr>
                      <w:bCs/>
                    </w:rPr>
                  </w:pPr>
                  <w:r w:rsidRPr="00A42CA7">
                    <w:rPr>
                      <w:bCs/>
                    </w:rPr>
                    <w:t>20,6%</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E9CF9C" w14:textId="77777777" w:rsidR="00A42CA7" w:rsidRPr="00A42CA7" w:rsidRDefault="00A42CA7" w:rsidP="00DB051A">
                  <w:pPr>
                    <w:rPr>
                      <w:bCs/>
                    </w:rPr>
                  </w:pPr>
                </w:p>
              </w:tc>
            </w:tr>
            <w:tr w:rsidR="00A42CA7" w:rsidRPr="00A42CA7" w14:paraId="0D1B287F" w14:textId="77777777" w:rsidTr="00DB051A">
              <w:trPr>
                <w:trHeight w:val="413"/>
              </w:trPr>
              <w:tc>
                <w:tcPr>
                  <w:tcW w:w="32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58BC52" w14:textId="77777777" w:rsidR="00A42CA7" w:rsidRPr="00A42CA7" w:rsidRDefault="00A42CA7" w:rsidP="00DB051A">
                  <w:pPr>
                    <w:jc w:val="center"/>
                    <w:rPr>
                      <w:bCs/>
                    </w:rPr>
                  </w:pPr>
                  <w:r w:rsidRPr="00A42CA7">
                    <w:rPr>
                      <w:bCs/>
                    </w:rPr>
                    <w:t xml:space="preserve">CA 2024 </w:t>
                  </w:r>
                  <w:r w:rsidRPr="00DB051A">
                    <w:rPr>
                      <w:b/>
                    </w:rPr>
                    <w:t>OU</w:t>
                  </w:r>
                  <w:r w:rsidRPr="00A42CA7">
                    <w:rPr>
                      <w:bCs/>
                    </w:rPr>
                    <w:t xml:space="preserve"> 2025 &gt; 3 Mds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3D40E9" w14:textId="77777777" w:rsidR="00A42CA7" w:rsidRPr="00A42CA7" w:rsidRDefault="00A42CA7" w:rsidP="00DB051A">
                  <w:pPr>
                    <w:jc w:val="center"/>
                    <w:rPr>
                      <w:bCs/>
                    </w:rPr>
                  </w:pPr>
                  <w:r w:rsidRPr="00A42CA7">
                    <w:rPr>
                      <w:bCs/>
                    </w:rPr>
                    <w:t>41,2%</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F005CC" w14:textId="77777777" w:rsidR="00A42CA7" w:rsidRPr="00A42CA7" w:rsidRDefault="00A42CA7" w:rsidP="00DB051A">
                  <w:pPr>
                    <w:rPr>
                      <w:bCs/>
                    </w:rPr>
                  </w:pPr>
                </w:p>
              </w:tc>
            </w:tr>
          </w:tbl>
          <w:p w14:paraId="65ED4B41" w14:textId="77777777" w:rsidR="00A42CA7" w:rsidRPr="00CC4090" w:rsidRDefault="00A42CA7" w:rsidP="00DB051A">
            <w:pPr>
              <w:spacing w:line="240" w:lineRule="auto"/>
              <w:rPr>
                <w:bCs/>
                <w:sz w:val="20"/>
                <w:szCs w:val="20"/>
              </w:rPr>
            </w:pPr>
          </w:p>
          <w:p w14:paraId="5B6CE284" w14:textId="77777777" w:rsidR="00A42CA7" w:rsidRPr="00A42CA7" w:rsidRDefault="00A42CA7" w:rsidP="00DB051A">
            <w:pPr>
              <w:spacing w:line="240" w:lineRule="auto"/>
              <w:rPr>
                <w:b/>
              </w:rPr>
            </w:pPr>
            <w:r w:rsidRPr="00A42CA7">
              <w:rPr>
                <w:b/>
              </w:rPr>
              <w:t>Modalités de recouvrement :</w:t>
            </w:r>
          </w:p>
          <w:p w14:paraId="7B3ABCFD" w14:textId="77777777" w:rsidR="00A42CA7" w:rsidRPr="00A42CA7" w:rsidRDefault="00A42CA7" w:rsidP="00DB051A">
            <w:pPr>
              <w:numPr>
                <w:ilvl w:val="0"/>
                <w:numId w:val="20"/>
              </w:numPr>
              <w:spacing w:line="240" w:lineRule="auto"/>
              <w:rPr>
                <w:bCs/>
              </w:rPr>
            </w:pPr>
            <w:r w:rsidRPr="00A42CA7">
              <w:rPr>
                <w:bCs/>
              </w:rPr>
              <w:t>Acompte de 98% de la contribution due (estimée) au titre de l’exercice en cours à la date du dernier acompte d’IS ;</w:t>
            </w:r>
          </w:p>
          <w:p w14:paraId="17712A5A" w14:textId="77777777" w:rsidR="00A42CA7" w:rsidRPr="00A42CA7" w:rsidRDefault="00A42CA7" w:rsidP="00DB051A">
            <w:pPr>
              <w:numPr>
                <w:ilvl w:val="0"/>
                <w:numId w:val="20"/>
              </w:numPr>
              <w:spacing w:line="240" w:lineRule="auto"/>
              <w:rPr>
                <w:bCs/>
              </w:rPr>
            </w:pPr>
            <w:r w:rsidRPr="00A42CA7">
              <w:rPr>
                <w:bCs/>
              </w:rPr>
              <w:t>Solde lors du solde de l’IS (restitution dans les 30 jours de l’excédent en cas d’acompte supérieur à la contribution due) ;</w:t>
            </w:r>
          </w:p>
          <w:p w14:paraId="6B727CA9" w14:textId="77777777" w:rsidR="00A42CA7" w:rsidRPr="00A42CA7" w:rsidRDefault="00A42CA7" w:rsidP="00DB051A">
            <w:pPr>
              <w:numPr>
                <w:ilvl w:val="0"/>
                <w:numId w:val="20"/>
              </w:numPr>
              <w:spacing w:line="240" w:lineRule="auto"/>
              <w:rPr>
                <w:bCs/>
              </w:rPr>
            </w:pPr>
            <w:r w:rsidRPr="00A42CA7">
              <w:rPr>
                <w:bCs/>
              </w:rPr>
              <w:t>Majoration de 5% + intérêts de retard en cas d’insuffisance dans la majorité des cas.</w:t>
            </w:r>
          </w:p>
          <w:p w14:paraId="2225418E" w14:textId="59E40AF5" w:rsidR="00A42CA7" w:rsidRPr="00A42CA7" w:rsidRDefault="00A42CA7" w:rsidP="00A42CA7">
            <w:pPr>
              <w:spacing w:line="240" w:lineRule="auto"/>
              <w:jc w:val="left"/>
              <w:rPr>
                <w:bCs/>
              </w:rPr>
            </w:pPr>
            <w:r w:rsidRPr="00A42CA7">
              <w:rPr>
                <w:noProof/>
              </w:rPr>
              <mc:AlternateContent>
                <mc:Choice Requires="wps">
                  <w:drawing>
                    <wp:anchor distT="0" distB="0" distL="114300" distR="114300" simplePos="0" relativeHeight="251662336" behindDoc="0" locked="0" layoutInCell="1" allowOverlap="1" wp14:anchorId="0427A016" wp14:editId="5DD95C8B">
                      <wp:simplePos x="0" y="0"/>
                      <wp:positionH relativeFrom="page">
                        <wp:posOffset>5090795</wp:posOffset>
                      </wp:positionH>
                      <wp:positionV relativeFrom="paragraph">
                        <wp:posOffset>62865</wp:posOffset>
                      </wp:positionV>
                      <wp:extent cx="619125" cy="373380"/>
                      <wp:effectExtent l="38100" t="38100" r="123825" b="121920"/>
                      <wp:wrapNone/>
                      <wp:docPr id="101897525" name="Ellipse 9">
                        <a:hlinkClick xmlns:a="http://schemas.openxmlformats.org/drawingml/2006/main" r:id="rId14"/>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 cy="373380"/>
                              </a:xfrm>
                              <a:prstGeom prst="ellipse">
                                <a:avLst/>
                              </a:prstGeom>
                              <a:solidFill>
                                <a:schemeClr val="bg1">
                                  <a:lumMod val="95000"/>
                                </a:schemeClr>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0BF1438" w14:textId="77777777" w:rsidR="00A42CA7" w:rsidRDefault="00A42CA7" w:rsidP="00A42CA7">
                                  <w:pPr>
                                    <w:jc w:val="center"/>
                                    <w:rPr>
                                      <w:color w:val="000000" w:themeColor="text1"/>
                                      <w:sz w:val="16"/>
                                      <w:szCs w:val="16"/>
                                    </w:rPr>
                                  </w:pPr>
                                  <w:r>
                                    <w:rPr>
                                      <w:color w:val="000000" w:themeColor="text1"/>
                                      <w:sz w:val="16"/>
                                      <w:szCs w:val="16"/>
                                    </w:rPr>
                                    <w:t>Retour sommaire</w:t>
                                  </w:r>
                                </w:p>
                              </w:txbxContent>
                            </wps:txbx>
                            <wps:bodyPr rot="0" spcFirstLastPara="0" vertOverflow="clip" horzOverflow="clip"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27A016" id="Ellipse 9" o:spid="_x0000_s1032" href="#DEBUT" style="position:absolute;margin-left:400.85pt;margin-top:4.95pt;width:48.75pt;height:29.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" o:button="t" fillcolor="#f2f2f2 [3052]" strokecolor="black [3213]" strokeweight="1pt">
                      <v:fill o:detectmouseclick="t"/>
                      <v:stroke joinstyle="miter"/>
                      <v:shadow on="t" color="black" opacity="26214f" origin="-.5,-.5" offset=".74836mm,.74836mm"/>
                      <v:path arrowok="t"/>
                      <v:textbox inset="0,0,0,0">
                        <w:txbxContent>
                          <w:p w14:paraId="00BF1438" w14:textId="77777777" w:rsidR="00A42CA7" w:rsidRDefault="00A42CA7" w:rsidP="00A42CA7">
                            <w:pPr>
                              <w:jc w:val="center"/>
                              <w:rPr>
                                <w:color w:val="000000" w:themeColor="text1"/>
                                <w:sz w:val="16"/>
                                <w:szCs w:val="16"/>
                              </w:rPr>
                            </w:pPr>
                            <w:r>
                              <w:rPr>
                                <w:color w:val="000000" w:themeColor="text1"/>
                                <w:sz w:val="16"/>
                                <w:szCs w:val="16"/>
                              </w:rPr>
                              <w:t>Retour sommaire</w:t>
                            </w:r>
                          </w:p>
                        </w:txbxContent>
                      </v:textbox>
                      <w10:wrap anchorx="page"/>
                    </v:oval>
                  </w:pict>
                </mc:Fallback>
              </mc:AlternateContent>
            </w:r>
          </w:p>
        </w:tc>
      </w:tr>
    </w:tbl>
    <w:p w14:paraId="50A17296" w14:textId="77777777" w:rsidR="00A42CA7" w:rsidRPr="00DB051A" w:rsidRDefault="00A42CA7" w:rsidP="00A42CA7">
      <w:pPr>
        <w:spacing w:line="240" w:lineRule="auto"/>
        <w:jc w:val="left"/>
        <w:rPr>
          <w:sz w:val="2"/>
          <w:szCs w:val="2"/>
        </w:rPr>
      </w:pPr>
      <w:r w:rsidRPr="00DB051A">
        <w:rPr>
          <w:sz w:val="2"/>
          <w:szCs w:val="2"/>
        </w:rPr>
        <w:br w:type="page"/>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9242"/>
      </w:tblGrid>
      <w:tr w:rsidR="00A42CA7" w:rsidRPr="00A42CA7" w14:paraId="59D6E914" w14:textId="77777777" w:rsidTr="00CC4090">
        <w:trPr>
          <w:trHeight w:val="1408"/>
          <w:jc w:val="center"/>
        </w:trPr>
        <w:tc>
          <w:tcPr>
            <w:tcW w:w="124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B5D40F" w14:textId="77777777" w:rsidR="00A42CA7" w:rsidRPr="00A42CA7" w:rsidRDefault="00A42CA7" w:rsidP="00CC4090">
            <w:pPr>
              <w:spacing w:line="240" w:lineRule="auto"/>
              <w:jc w:val="center"/>
              <w:rPr>
                <w:b/>
                <w:bCs/>
                <w:i/>
                <w:iCs/>
              </w:rPr>
            </w:pPr>
            <w:r w:rsidRPr="00A42CA7">
              <w:rPr>
                <w:b/>
                <w:bCs/>
                <w:i/>
                <w:iCs/>
              </w:rPr>
              <w:lastRenderedPageBreak/>
              <w:t>IS : Report de déficit</w:t>
            </w:r>
          </w:p>
        </w:tc>
        <w:tc>
          <w:tcPr>
            <w:tcW w:w="9242" w:type="dxa"/>
            <w:tcBorders>
              <w:top w:val="single" w:sz="4" w:space="0" w:color="auto"/>
              <w:left w:val="single" w:sz="4" w:space="0" w:color="auto"/>
              <w:bottom w:val="single" w:sz="4" w:space="0" w:color="auto"/>
              <w:right w:val="single" w:sz="4" w:space="0" w:color="auto"/>
            </w:tcBorders>
          </w:tcPr>
          <w:p w14:paraId="46952F0C" w14:textId="77777777" w:rsidR="00A42CA7" w:rsidRPr="00A42CA7" w:rsidRDefault="00A42CA7" w:rsidP="00DB051A">
            <w:pPr>
              <w:spacing w:line="240" w:lineRule="auto"/>
              <w:rPr>
                <w:b/>
                <w:u w:val="single"/>
              </w:rPr>
            </w:pPr>
          </w:p>
          <w:p w14:paraId="643AB2E7" w14:textId="77777777" w:rsidR="00A42CA7" w:rsidRPr="00A42CA7" w:rsidRDefault="00A42CA7" w:rsidP="00DB051A">
            <w:pPr>
              <w:spacing w:line="240" w:lineRule="auto"/>
              <w:rPr>
                <w:b/>
                <w:u w:val="single"/>
              </w:rPr>
            </w:pPr>
            <w:r w:rsidRPr="00A42CA7">
              <w:rPr>
                <w:b/>
                <w:u w:val="single"/>
              </w:rPr>
              <w:t>Plafonnement temporaire du report en avant d’un déficit</w:t>
            </w:r>
          </w:p>
          <w:p w14:paraId="3AEE3610" w14:textId="77777777" w:rsidR="00A42CA7" w:rsidRPr="00A42CA7" w:rsidRDefault="00A42CA7" w:rsidP="00DB051A">
            <w:pPr>
              <w:spacing w:line="240" w:lineRule="auto"/>
              <w:rPr>
                <w:b/>
                <w:u w:val="single"/>
              </w:rPr>
            </w:pPr>
          </w:p>
          <w:p w14:paraId="5F9CDE19" w14:textId="77777777" w:rsidR="00A42CA7" w:rsidRPr="00A42CA7" w:rsidRDefault="00A42CA7" w:rsidP="00DB051A">
            <w:pPr>
              <w:spacing w:line="240" w:lineRule="auto"/>
              <w:rPr>
                <w:bCs/>
              </w:rPr>
            </w:pPr>
            <w:r w:rsidRPr="00A42CA7">
              <w:rPr>
                <w:bCs/>
              </w:rPr>
              <w:t>En cas de déficit supérieur à 2,5 milliards d’euros au titre des exercices 2023, 2024 et 2025, la fraction qui excède 2,5 milliards d’euros ne peut faire l’objet d’une imputation sur les exercices suivants (cet excédent de déficit sera alors perdu).</w:t>
            </w:r>
          </w:p>
          <w:p w14:paraId="20016091" w14:textId="77777777" w:rsidR="00A42CA7" w:rsidRPr="00A42CA7" w:rsidRDefault="00A42CA7" w:rsidP="00DB051A">
            <w:pPr>
              <w:spacing w:line="240" w:lineRule="auto"/>
              <w:rPr>
                <w:bCs/>
                <w:i/>
                <w:iCs/>
              </w:rPr>
            </w:pPr>
            <w:r w:rsidRPr="00A42CA7">
              <w:rPr>
                <w:bCs/>
                <w:i/>
                <w:iCs/>
              </w:rPr>
              <w:t>Ce seuil s’apprécie pour chaque société dans le cadre d’un groupe intégré.</w:t>
            </w:r>
          </w:p>
          <w:p w14:paraId="6FE25B56" w14:textId="77777777" w:rsidR="00A42CA7" w:rsidRPr="00A42CA7" w:rsidRDefault="00A42CA7" w:rsidP="00DB051A">
            <w:pPr>
              <w:spacing w:line="240" w:lineRule="auto"/>
              <w:rPr>
                <w:bCs/>
                <w:i/>
                <w:iCs/>
              </w:rPr>
            </w:pPr>
          </w:p>
        </w:tc>
      </w:tr>
      <w:tr w:rsidR="00A42CA7" w:rsidRPr="00A42CA7" w14:paraId="67B106B6" w14:textId="77777777" w:rsidTr="00CC4090">
        <w:trPr>
          <w:trHeight w:val="134"/>
          <w:jc w:val="center"/>
        </w:trPr>
        <w:tc>
          <w:tcPr>
            <w:tcW w:w="124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B88167" w14:textId="77777777" w:rsidR="00A42CA7" w:rsidRPr="00A42CA7" w:rsidRDefault="00A42CA7" w:rsidP="00DB051A">
            <w:pPr>
              <w:spacing w:line="240" w:lineRule="auto"/>
              <w:jc w:val="center"/>
              <w:rPr>
                <w:b/>
                <w:bCs/>
                <w:i/>
                <w:iCs/>
              </w:rPr>
            </w:pPr>
            <w:r w:rsidRPr="00A42CA7">
              <w:rPr>
                <w:b/>
                <w:bCs/>
                <w:i/>
                <w:iCs/>
              </w:rPr>
              <w:t>Bénéfices agricoles</w:t>
            </w:r>
          </w:p>
        </w:tc>
        <w:tc>
          <w:tcPr>
            <w:tcW w:w="9242" w:type="dxa"/>
            <w:tcBorders>
              <w:top w:val="single" w:sz="4" w:space="0" w:color="auto"/>
              <w:left w:val="single" w:sz="4" w:space="0" w:color="auto"/>
              <w:bottom w:val="single" w:sz="4" w:space="0" w:color="auto"/>
              <w:right w:val="single" w:sz="4" w:space="0" w:color="auto"/>
            </w:tcBorders>
            <w:vAlign w:val="center"/>
          </w:tcPr>
          <w:p w14:paraId="55491DCA" w14:textId="77777777" w:rsidR="00A42CA7" w:rsidRPr="00A42CA7" w:rsidRDefault="00A42CA7" w:rsidP="00A42CA7">
            <w:pPr>
              <w:spacing w:line="240" w:lineRule="auto"/>
              <w:jc w:val="left"/>
              <w:rPr>
                <w:b/>
                <w:u w:val="single"/>
              </w:rPr>
            </w:pPr>
          </w:p>
          <w:p w14:paraId="7108B242" w14:textId="4C15DF5D" w:rsidR="00A42CA7" w:rsidRPr="00A42CA7" w:rsidRDefault="00A42CA7" w:rsidP="00DB051A">
            <w:pPr>
              <w:spacing w:line="240" w:lineRule="auto"/>
              <w:rPr>
                <w:bCs/>
              </w:rPr>
            </w:pPr>
            <w:r w:rsidRPr="00A42CA7">
              <w:rPr>
                <w:bCs/>
              </w:rPr>
              <w:t>Parmi les mesures fiscales en faveur de l’agriculture de la loi de finances, on peut noter :</w:t>
            </w:r>
          </w:p>
          <w:p w14:paraId="75AB930C" w14:textId="77777777" w:rsidR="00A42CA7" w:rsidRPr="00A42CA7" w:rsidRDefault="00A42CA7" w:rsidP="00DB051A">
            <w:pPr>
              <w:spacing w:line="240" w:lineRule="auto"/>
              <w:rPr>
                <w:b/>
                <w:u w:val="single"/>
              </w:rPr>
            </w:pPr>
          </w:p>
          <w:p w14:paraId="523523FA" w14:textId="77777777" w:rsidR="00A42CA7" w:rsidRPr="00A42CA7" w:rsidRDefault="00A42CA7" w:rsidP="00DB051A">
            <w:pPr>
              <w:numPr>
                <w:ilvl w:val="0"/>
                <w:numId w:val="25"/>
              </w:numPr>
              <w:spacing w:line="240" w:lineRule="auto"/>
            </w:pPr>
            <w:r w:rsidRPr="00A42CA7">
              <w:rPr>
                <w:b/>
                <w:bCs/>
              </w:rPr>
              <w:t>L’exonération des plus-values des PME</w:t>
            </w:r>
            <w:r w:rsidRPr="00A42CA7">
              <w:t> : le dispositif d’exonération des plus-values des PME en fonction du CA fait l’objet de seuils spécifiques pour les activités agricoles. Déjà revalorisés par la loi de finances pour 2024, ces seuils sont une nouvelle fois modifiés à compter du 01/01/2025 :</w:t>
            </w:r>
          </w:p>
          <w:p w14:paraId="5BB207F5" w14:textId="77777777" w:rsidR="00A42CA7" w:rsidRPr="00A42CA7" w:rsidRDefault="00A42CA7" w:rsidP="00DB051A">
            <w:pPr>
              <w:spacing w:line="240" w:lineRule="auto"/>
            </w:pPr>
          </w:p>
          <w:tbl>
            <w:tblPr>
              <w:tblStyle w:val="Grilledutableau"/>
              <w:tblW w:w="8357" w:type="dxa"/>
              <w:tblInd w:w="659" w:type="dxa"/>
              <w:tblLook w:val="04A0" w:firstRow="1" w:lastRow="0" w:firstColumn="1" w:lastColumn="0" w:noHBand="0" w:noVBand="1"/>
            </w:tblPr>
            <w:tblGrid>
              <w:gridCol w:w="1509"/>
              <w:gridCol w:w="1511"/>
              <w:gridCol w:w="3754"/>
              <w:gridCol w:w="1583"/>
            </w:tblGrid>
            <w:tr w:rsidR="00A42CA7" w:rsidRPr="00A42CA7" w14:paraId="3E443F96" w14:textId="77777777" w:rsidTr="00DB051A">
              <w:tc>
                <w:tcPr>
                  <w:tcW w:w="15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E82F8C" w14:textId="77777777" w:rsidR="00A42CA7" w:rsidRPr="00A42CA7" w:rsidRDefault="00A42CA7" w:rsidP="00DB051A">
                  <w:pPr>
                    <w:jc w:val="center"/>
                  </w:pPr>
                  <w:r w:rsidRPr="00A42CA7">
                    <w:t>Seuils de recettes</w:t>
                  </w:r>
                </w:p>
              </w:tc>
              <w:tc>
                <w:tcPr>
                  <w:tcW w:w="15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74FD22" w14:textId="77777777" w:rsidR="00A42CA7" w:rsidRPr="00A42CA7" w:rsidRDefault="00A42CA7" w:rsidP="00DB051A">
                  <w:pPr>
                    <w:jc w:val="center"/>
                  </w:pPr>
                  <w:r w:rsidRPr="00A42CA7">
                    <w:t>≤ 450 000 €</w:t>
                  </w:r>
                </w:p>
              </w:tc>
              <w:tc>
                <w:tcPr>
                  <w:tcW w:w="3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1FAAB7" w14:textId="77777777" w:rsidR="00A42CA7" w:rsidRPr="00A42CA7" w:rsidRDefault="00A42CA7" w:rsidP="00DB051A">
                  <w:pPr>
                    <w:jc w:val="center"/>
                  </w:pPr>
                  <w:r w:rsidRPr="00A42CA7">
                    <w:t>450 000 € &lt; Recettes &lt; 550 000 €</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E4EC25" w14:textId="77777777" w:rsidR="00A42CA7" w:rsidRPr="00A42CA7" w:rsidRDefault="00A42CA7" w:rsidP="00DB051A">
                  <w:pPr>
                    <w:jc w:val="center"/>
                  </w:pPr>
                  <w:r w:rsidRPr="00A42CA7">
                    <w:t>≥ 550 000 €</w:t>
                  </w:r>
                </w:p>
              </w:tc>
            </w:tr>
            <w:tr w:rsidR="00A42CA7" w:rsidRPr="00A42CA7" w14:paraId="2D820E28" w14:textId="77777777" w:rsidTr="00DB051A">
              <w:tc>
                <w:tcPr>
                  <w:tcW w:w="15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484065" w14:textId="77777777" w:rsidR="00A42CA7" w:rsidRPr="00A42CA7" w:rsidRDefault="00A42CA7" w:rsidP="00DB051A">
                  <w:pPr>
                    <w:jc w:val="center"/>
                  </w:pPr>
                  <w:r w:rsidRPr="00A42CA7">
                    <w:t>% exonération des PV</w:t>
                  </w:r>
                </w:p>
              </w:tc>
              <w:tc>
                <w:tcPr>
                  <w:tcW w:w="15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DB59E6" w14:textId="77777777" w:rsidR="00A42CA7" w:rsidRPr="00A42CA7" w:rsidRDefault="00A42CA7" w:rsidP="00DB051A">
                  <w:pPr>
                    <w:jc w:val="center"/>
                  </w:pPr>
                  <w:r w:rsidRPr="00A42CA7">
                    <w:t>100%</w:t>
                  </w:r>
                </w:p>
              </w:tc>
              <w:tc>
                <w:tcPr>
                  <w:tcW w:w="3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14CC61" w14:textId="77777777" w:rsidR="00A42CA7" w:rsidRPr="00A42CA7" w:rsidRDefault="00A42CA7" w:rsidP="00DB051A">
                  <w:pPr>
                    <w:jc w:val="center"/>
                    <w:rPr>
                      <w:u w:val="single"/>
                    </w:rPr>
                  </w:pPr>
                  <w:r w:rsidRPr="00A42CA7">
                    <w:rPr>
                      <w:u w:val="single"/>
                    </w:rPr>
                    <w:t>Recettes – 450 000</w:t>
                  </w:r>
                </w:p>
                <w:p w14:paraId="2FF1A0F2" w14:textId="77777777" w:rsidR="00A42CA7" w:rsidRPr="00A42CA7" w:rsidRDefault="00A42CA7" w:rsidP="00DB051A">
                  <w:pPr>
                    <w:jc w:val="center"/>
                  </w:pPr>
                  <w:r w:rsidRPr="00A42CA7">
                    <w:t>550 000 – 450 000</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B8397B" w14:textId="77777777" w:rsidR="00A42CA7" w:rsidRPr="00A42CA7" w:rsidRDefault="00A42CA7" w:rsidP="00DB051A">
                  <w:pPr>
                    <w:jc w:val="center"/>
                  </w:pPr>
                  <w:r w:rsidRPr="00A42CA7">
                    <w:t>0%</w:t>
                  </w:r>
                </w:p>
              </w:tc>
            </w:tr>
          </w:tbl>
          <w:p w14:paraId="7165F2A3" w14:textId="77777777" w:rsidR="00A42CA7" w:rsidRPr="00A42CA7" w:rsidRDefault="00A42CA7" w:rsidP="00A42CA7">
            <w:pPr>
              <w:spacing w:line="240" w:lineRule="auto"/>
              <w:jc w:val="left"/>
            </w:pPr>
          </w:p>
          <w:p w14:paraId="6F1A5CCF" w14:textId="77777777" w:rsidR="00A42CA7" w:rsidRPr="00A42CA7" w:rsidRDefault="00A42CA7" w:rsidP="00DB051A">
            <w:pPr>
              <w:numPr>
                <w:ilvl w:val="0"/>
                <w:numId w:val="25"/>
              </w:numPr>
              <w:spacing w:line="240" w:lineRule="auto"/>
            </w:pPr>
            <w:r w:rsidRPr="00A42CA7">
              <w:rPr>
                <w:b/>
                <w:bCs/>
              </w:rPr>
              <w:t>L’abattement « retraite »</w:t>
            </w:r>
            <w:r w:rsidRPr="00A42CA7">
              <w:t> : le dispositif permettant un abattement fixe de 500 000 € sur la plus-value de cession de titres d’un dirigeant de PME partant à la retraite, est porté à 600 000 € en cas de cession à un jeune agriculteur.</w:t>
            </w:r>
          </w:p>
          <w:p w14:paraId="61676C4E" w14:textId="77777777" w:rsidR="00A42CA7" w:rsidRPr="00A42CA7" w:rsidRDefault="00A42CA7" w:rsidP="00DB051A">
            <w:pPr>
              <w:spacing w:line="240" w:lineRule="auto"/>
              <w:rPr>
                <w:bCs/>
              </w:rPr>
            </w:pPr>
          </w:p>
          <w:p w14:paraId="57B2D6F5" w14:textId="77777777" w:rsidR="00A42CA7" w:rsidRPr="00A42CA7" w:rsidRDefault="00A42CA7" w:rsidP="00DB051A">
            <w:pPr>
              <w:numPr>
                <w:ilvl w:val="0"/>
                <w:numId w:val="25"/>
              </w:numPr>
              <w:spacing w:line="240" w:lineRule="auto"/>
              <w:rPr>
                <w:b/>
                <w:u w:val="single"/>
              </w:rPr>
            </w:pPr>
            <w:r w:rsidRPr="00A42CA7">
              <w:rPr>
                <w:b/>
              </w:rPr>
              <w:t>L’exonération de taxe foncière sur les propriétés non bâties</w:t>
            </w:r>
            <w:r w:rsidRPr="00A42CA7">
              <w:rPr>
                <w:bCs/>
              </w:rPr>
              <w:t> : le taux d’exonération des terres agricoles à compter de 2025 s’élève à 30% (au lieu de 20%).</w:t>
            </w:r>
          </w:p>
          <w:p w14:paraId="02ED610E" w14:textId="77777777" w:rsidR="00A42CA7" w:rsidRPr="00A42CA7" w:rsidRDefault="00A42CA7" w:rsidP="00A42CA7">
            <w:pPr>
              <w:spacing w:line="240" w:lineRule="auto"/>
              <w:jc w:val="left"/>
              <w:rPr>
                <w:b/>
                <w:u w:val="single"/>
              </w:rPr>
            </w:pPr>
          </w:p>
        </w:tc>
      </w:tr>
      <w:tr w:rsidR="00A42CA7" w:rsidRPr="00A42CA7" w14:paraId="157B4FDA" w14:textId="77777777" w:rsidTr="00CC4090">
        <w:trPr>
          <w:trHeight w:val="134"/>
          <w:jc w:val="center"/>
        </w:trPr>
        <w:tc>
          <w:tcPr>
            <w:tcW w:w="124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D5B6FE8" w14:textId="77777777" w:rsidR="00A42CA7" w:rsidRPr="00A42CA7" w:rsidRDefault="00A42CA7" w:rsidP="00CC4090">
            <w:pPr>
              <w:spacing w:line="240" w:lineRule="auto"/>
              <w:jc w:val="center"/>
              <w:rPr>
                <w:b/>
                <w:bCs/>
                <w:i/>
                <w:iCs/>
              </w:rPr>
            </w:pPr>
            <w:r w:rsidRPr="00A42CA7">
              <w:rPr>
                <w:b/>
                <w:bCs/>
                <w:i/>
                <w:iCs/>
              </w:rPr>
              <w:t>Mesures diverses</w:t>
            </w:r>
          </w:p>
        </w:tc>
        <w:tc>
          <w:tcPr>
            <w:tcW w:w="9242" w:type="dxa"/>
            <w:tcBorders>
              <w:top w:val="single" w:sz="4" w:space="0" w:color="auto"/>
              <w:left w:val="single" w:sz="4" w:space="0" w:color="auto"/>
              <w:bottom w:val="single" w:sz="4" w:space="0" w:color="auto"/>
              <w:right w:val="single" w:sz="4" w:space="0" w:color="auto"/>
            </w:tcBorders>
            <w:vAlign w:val="center"/>
          </w:tcPr>
          <w:p w14:paraId="07E0BE19" w14:textId="77777777" w:rsidR="00A42CA7" w:rsidRPr="00A42CA7" w:rsidRDefault="00A42CA7" w:rsidP="00A42CA7">
            <w:pPr>
              <w:spacing w:line="240" w:lineRule="auto"/>
              <w:jc w:val="left"/>
              <w:rPr>
                <w:b/>
                <w:u w:val="single"/>
              </w:rPr>
            </w:pPr>
          </w:p>
          <w:p w14:paraId="53E97C01" w14:textId="77777777" w:rsidR="00A42CA7" w:rsidRPr="00A42CA7" w:rsidRDefault="00A42CA7" w:rsidP="00DB051A">
            <w:pPr>
              <w:spacing w:line="240" w:lineRule="auto"/>
              <w:rPr>
                <w:b/>
                <w:u w:val="single"/>
              </w:rPr>
            </w:pPr>
            <w:r w:rsidRPr="00A42CA7">
              <w:rPr>
                <w:b/>
                <w:u w:val="single"/>
              </w:rPr>
              <w:t>Réductions et crédits d’impôts</w:t>
            </w:r>
          </w:p>
          <w:p w14:paraId="3F4711AC" w14:textId="77777777" w:rsidR="00A42CA7" w:rsidRPr="00A42CA7" w:rsidRDefault="00A42CA7" w:rsidP="00DB051A">
            <w:pPr>
              <w:spacing w:line="240" w:lineRule="auto"/>
              <w:rPr>
                <w:b/>
                <w:u w:val="single"/>
              </w:rPr>
            </w:pPr>
          </w:p>
          <w:p w14:paraId="247DCF20" w14:textId="77777777" w:rsidR="00A42CA7" w:rsidRPr="00A42CA7" w:rsidRDefault="00A42CA7" w:rsidP="00DB051A">
            <w:pPr>
              <w:numPr>
                <w:ilvl w:val="0"/>
                <w:numId w:val="20"/>
              </w:numPr>
              <w:spacing w:line="240" w:lineRule="auto"/>
              <w:rPr>
                <w:bCs/>
              </w:rPr>
            </w:pPr>
            <w:r w:rsidRPr="00A42CA7">
              <w:rPr>
                <w:b/>
              </w:rPr>
              <w:t>CII (Crédit d’Impôt Innovation)</w:t>
            </w:r>
            <w:r w:rsidRPr="00A42CA7">
              <w:rPr>
                <w:bCs/>
              </w:rPr>
              <w:t> : modifications et prolongation jusque fin 2027</w:t>
            </w:r>
          </w:p>
          <w:p w14:paraId="097FB7B9" w14:textId="77777777" w:rsidR="00A42CA7" w:rsidRPr="00A42CA7" w:rsidRDefault="00A42CA7" w:rsidP="00DB051A">
            <w:pPr>
              <w:spacing w:line="240" w:lineRule="auto"/>
              <w:rPr>
                <w:bCs/>
              </w:rPr>
            </w:pPr>
            <w:r w:rsidRPr="00A42CA7">
              <w:rPr>
                <w:bCs/>
              </w:rPr>
              <w:t>Abaissement du taux du CI (</w:t>
            </w:r>
            <w:r w:rsidRPr="00A42CA7">
              <w:rPr>
                <w:b/>
              </w:rPr>
              <w:t>20%</w:t>
            </w:r>
            <w:r w:rsidRPr="00A42CA7">
              <w:rPr>
                <w:bCs/>
              </w:rPr>
              <w:t xml:space="preserve"> à compter du 01/01/2025 contre 30% auparavant) sans modification du plafond annuel des dépenses éligibles (400 000 €).</w:t>
            </w:r>
          </w:p>
          <w:p w14:paraId="03B7F76C" w14:textId="77777777" w:rsidR="00A42CA7" w:rsidRPr="00A42CA7" w:rsidRDefault="00A42CA7" w:rsidP="00DB051A">
            <w:pPr>
              <w:spacing w:line="240" w:lineRule="auto"/>
              <w:rPr>
                <w:bCs/>
              </w:rPr>
            </w:pPr>
          </w:p>
          <w:p w14:paraId="439B9B16" w14:textId="77777777" w:rsidR="00A42CA7" w:rsidRPr="00A42CA7" w:rsidRDefault="00A42CA7" w:rsidP="00DB051A">
            <w:pPr>
              <w:numPr>
                <w:ilvl w:val="0"/>
                <w:numId w:val="20"/>
              </w:numPr>
              <w:spacing w:line="240" w:lineRule="auto"/>
              <w:rPr>
                <w:bCs/>
              </w:rPr>
            </w:pPr>
            <w:r w:rsidRPr="00A42CA7">
              <w:rPr>
                <w:b/>
              </w:rPr>
              <w:t>Suppression</w:t>
            </w:r>
            <w:r w:rsidRPr="00A42CA7">
              <w:rPr>
                <w:bCs/>
              </w:rPr>
              <w:t>, à compter de 2025, du crédit d’impôt formation des dirigeants, de la réduction d’impôt pour souscription au capital des entreprises de presse, et du crédit d’impôt pour rénovation énergétique.</w:t>
            </w:r>
          </w:p>
          <w:p w14:paraId="43998551" w14:textId="77777777" w:rsidR="00A42CA7" w:rsidRPr="00A42CA7" w:rsidRDefault="00A42CA7" w:rsidP="00DB051A">
            <w:pPr>
              <w:spacing w:line="240" w:lineRule="auto"/>
              <w:rPr>
                <w:bCs/>
              </w:rPr>
            </w:pPr>
          </w:p>
          <w:p w14:paraId="739C4499" w14:textId="77777777" w:rsidR="00A42CA7" w:rsidRPr="00A42CA7" w:rsidRDefault="00A42CA7" w:rsidP="00DB051A">
            <w:pPr>
              <w:numPr>
                <w:ilvl w:val="0"/>
                <w:numId w:val="20"/>
              </w:numPr>
              <w:spacing w:line="240" w:lineRule="auto"/>
              <w:rPr>
                <w:bCs/>
              </w:rPr>
            </w:pPr>
            <w:r w:rsidRPr="00A42CA7">
              <w:rPr>
                <w:b/>
              </w:rPr>
              <w:t>CIR (Crédit d’Impôt Recherche)</w:t>
            </w:r>
            <w:r w:rsidRPr="00A42CA7">
              <w:rPr>
                <w:bCs/>
              </w:rPr>
              <w:t> : modifications d’assiette à compter du 15/02/2025</w:t>
            </w:r>
          </w:p>
          <w:p w14:paraId="4D00890F" w14:textId="77777777" w:rsidR="00A42CA7" w:rsidRPr="00A42CA7" w:rsidRDefault="00A42CA7" w:rsidP="00DB051A">
            <w:pPr>
              <w:spacing w:line="240" w:lineRule="auto"/>
              <w:rPr>
                <w:bCs/>
              </w:rPr>
            </w:pPr>
          </w:p>
          <w:p w14:paraId="2896D872" w14:textId="77777777" w:rsidR="00A42CA7" w:rsidRPr="00A42CA7" w:rsidRDefault="00A42CA7" w:rsidP="00DB051A">
            <w:pPr>
              <w:spacing w:line="240" w:lineRule="auto"/>
              <w:rPr>
                <w:bCs/>
              </w:rPr>
            </w:pPr>
            <w:r w:rsidRPr="00A42CA7">
              <w:rPr>
                <w:b/>
              </w:rPr>
              <w:t>Certaines dépenses ne sont plus éligibles</w:t>
            </w:r>
            <w:r w:rsidRPr="00A42CA7">
              <w:rPr>
                <w:bCs/>
              </w:rPr>
              <w:t xml:space="preserve"> au CIR à compter du 15/02/2025 et sont donc exclue de la base du CIR : il s’agit notamment :</w:t>
            </w:r>
          </w:p>
          <w:p w14:paraId="3DFA58A4" w14:textId="77777777" w:rsidR="00A42CA7" w:rsidRPr="00A42CA7" w:rsidRDefault="00A42CA7" w:rsidP="00DB051A">
            <w:pPr>
              <w:numPr>
                <w:ilvl w:val="0"/>
                <w:numId w:val="26"/>
              </w:numPr>
              <w:spacing w:line="240" w:lineRule="auto"/>
              <w:rPr>
                <w:bCs/>
              </w:rPr>
            </w:pPr>
            <w:r w:rsidRPr="00A42CA7">
              <w:rPr>
                <w:bCs/>
              </w:rPr>
              <w:t>Des dépenses de personnels « jeunes docteurs » et des autres dépenses de fonctionnement forfaitaires liées ;</w:t>
            </w:r>
          </w:p>
          <w:p w14:paraId="48277381" w14:textId="77777777" w:rsidR="00A42CA7" w:rsidRPr="00A42CA7" w:rsidRDefault="00A42CA7" w:rsidP="00DB051A">
            <w:pPr>
              <w:numPr>
                <w:ilvl w:val="0"/>
                <w:numId w:val="26"/>
              </w:numPr>
              <w:spacing w:line="240" w:lineRule="auto"/>
              <w:rPr>
                <w:bCs/>
              </w:rPr>
            </w:pPr>
            <w:r w:rsidRPr="00A42CA7">
              <w:rPr>
                <w:bCs/>
              </w:rPr>
              <w:t>Des dépenses de veille technologique ;</w:t>
            </w:r>
          </w:p>
          <w:p w14:paraId="2C86F33B" w14:textId="77777777" w:rsidR="00A42CA7" w:rsidRPr="00A42CA7" w:rsidRDefault="00A42CA7" w:rsidP="00DB051A">
            <w:pPr>
              <w:numPr>
                <w:ilvl w:val="0"/>
                <w:numId w:val="26"/>
              </w:numPr>
              <w:spacing w:line="240" w:lineRule="auto"/>
              <w:rPr>
                <w:bCs/>
              </w:rPr>
            </w:pPr>
            <w:r w:rsidRPr="00A42CA7">
              <w:rPr>
                <w:bCs/>
              </w:rPr>
              <w:t>Des dépenses relatives aux brevets (frais de prise et de maintenance, frais de défense, dotations aux amortissements)</w:t>
            </w:r>
          </w:p>
          <w:p w14:paraId="502DF054" w14:textId="77777777" w:rsidR="00A42CA7" w:rsidRPr="00A42CA7" w:rsidRDefault="00A42CA7" w:rsidP="00DB051A">
            <w:pPr>
              <w:spacing w:line="240" w:lineRule="auto"/>
            </w:pPr>
          </w:p>
          <w:p w14:paraId="0D69B4D0" w14:textId="77777777" w:rsidR="00A42CA7" w:rsidRPr="00A42CA7" w:rsidRDefault="00A42CA7" w:rsidP="00DB051A">
            <w:pPr>
              <w:spacing w:line="240" w:lineRule="auto"/>
            </w:pPr>
            <w:r w:rsidRPr="00A42CA7">
              <w:rPr>
                <w:b/>
                <w:bCs/>
              </w:rPr>
              <w:t>Le taux forfaitaire des dépenses de fonctionnement appliqué aux dépenses de personnel</w:t>
            </w:r>
            <w:r w:rsidRPr="00A42CA7">
              <w:t xml:space="preserve"> (hors jeunes docteurs) </w:t>
            </w:r>
            <w:r w:rsidRPr="00A42CA7">
              <w:rPr>
                <w:b/>
                <w:bCs/>
              </w:rPr>
              <w:t>est réduit à 40%</w:t>
            </w:r>
            <w:r w:rsidRPr="00A42CA7">
              <w:t xml:space="preserve"> (43% précédemment).</w:t>
            </w:r>
          </w:p>
          <w:p w14:paraId="2B4A516D" w14:textId="77777777" w:rsidR="00A42CA7" w:rsidRPr="00A42CA7" w:rsidRDefault="00A42CA7" w:rsidP="00DB051A">
            <w:pPr>
              <w:spacing w:line="240" w:lineRule="auto"/>
            </w:pPr>
          </w:p>
          <w:p w14:paraId="5D228F79" w14:textId="77777777" w:rsidR="00A42CA7" w:rsidRPr="00A42CA7" w:rsidRDefault="00A42CA7" w:rsidP="00DB051A">
            <w:pPr>
              <w:spacing w:line="240" w:lineRule="auto"/>
            </w:pPr>
            <w:r w:rsidRPr="00A42CA7">
              <w:rPr>
                <w:b/>
                <w:bCs/>
              </w:rPr>
              <w:t>Les subventions publiques</w:t>
            </w:r>
            <w:r w:rsidRPr="00A42CA7">
              <w:t xml:space="preserve"> venant en réduction de l’assiette du CIR correspondent aux aides versées par les personnes morales de droit public ou par les personnes morales de droit privé chargées d’une mission de service public.</w:t>
            </w:r>
          </w:p>
          <w:p w14:paraId="01758BA8" w14:textId="77777777" w:rsidR="00A42CA7" w:rsidRPr="00A42CA7" w:rsidRDefault="00A42CA7" w:rsidP="00CC4090">
            <w:pPr>
              <w:spacing w:line="240" w:lineRule="auto"/>
            </w:pPr>
          </w:p>
        </w:tc>
      </w:tr>
      <w:tr w:rsidR="00CC4090" w:rsidRPr="00A42CA7" w14:paraId="39A08AF9" w14:textId="77777777" w:rsidTr="00CC4090">
        <w:trPr>
          <w:trHeight w:val="134"/>
          <w:jc w:val="center"/>
        </w:trPr>
        <w:tc>
          <w:tcPr>
            <w:tcW w:w="124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27ABD30" w14:textId="77777777" w:rsidR="00CC4090" w:rsidRPr="00A42CA7" w:rsidRDefault="00CC4090" w:rsidP="003C18DC">
            <w:pPr>
              <w:spacing w:line="240" w:lineRule="auto"/>
              <w:jc w:val="center"/>
              <w:rPr>
                <w:b/>
                <w:bCs/>
                <w:i/>
                <w:iCs/>
              </w:rPr>
            </w:pPr>
            <w:r w:rsidRPr="00A42CA7">
              <w:rPr>
                <w:b/>
                <w:bCs/>
                <w:i/>
                <w:iCs/>
              </w:rPr>
              <w:lastRenderedPageBreak/>
              <w:t>Mesures diverses</w:t>
            </w:r>
          </w:p>
        </w:tc>
        <w:tc>
          <w:tcPr>
            <w:tcW w:w="9242" w:type="dxa"/>
            <w:tcBorders>
              <w:top w:val="single" w:sz="4" w:space="0" w:color="auto"/>
              <w:left w:val="single" w:sz="4" w:space="0" w:color="auto"/>
              <w:bottom w:val="single" w:sz="4" w:space="0" w:color="auto"/>
              <w:right w:val="single" w:sz="4" w:space="0" w:color="auto"/>
            </w:tcBorders>
            <w:vAlign w:val="center"/>
          </w:tcPr>
          <w:p w14:paraId="3EE6D4A7" w14:textId="77777777" w:rsidR="00CC4090" w:rsidRPr="00A42CA7" w:rsidRDefault="00CC4090" w:rsidP="003C18DC">
            <w:pPr>
              <w:spacing w:line="240" w:lineRule="auto"/>
              <w:jc w:val="left"/>
            </w:pPr>
          </w:p>
          <w:p w14:paraId="3878D5D2" w14:textId="77777777" w:rsidR="00CC4090" w:rsidRPr="00A42CA7" w:rsidRDefault="00CC4090" w:rsidP="003C18DC">
            <w:pPr>
              <w:spacing w:line="240" w:lineRule="auto"/>
              <w:rPr>
                <w:b/>
                <w:bCs/>
                <w:u w:val="single"/>
              </w:rPr>
            </w:pPr>
            <w:r w:rsidRPr="00A42CA7">
              <w:rPr>
                <w:b/>
                <w:bCs/>
                <w:u w:val="single"/>
              </w:rPr>
              <w:t>Impôts locaux</w:t>
            </w:r>
          </w:p>
          <w:p w14:paraId="0EAFBA40" w14:textId="77777777" w:rsidR="00CC4090" w:rsidRPr="00A42CA7" w:rsidRDefault="00CC4090" w:rsidP="003C18DC">
            <w:pPr>
              <w:spacing w:line="240" w:lineRule="auto"/>
            </w:pPr>
          </w:p>
          <w:p w14:paraId="0688DE61" w14:textId="77777777" w:rsidR="00CC4090" w:rsidRPr="00A42CA7" w:rsidRDefault="00CC4090" w:rsidP="00CC4090">
            <w:pPr>
              <w:numPr>
                <w:ilvl w:val="0"/>
                <w:numId w:val="20"/>
              </w:numPr>
              <w:spacing w:line="240" w:lineRule="auto"/>
            </w:pPr>
            <w:r w:rsidRPr="00A42CA7">
              <w:rPr>
                <w:b/>
                <w:bCs/>
              </w:rPr>
              <w:t>CVAE</w:t>
            </w:r>
            <w:r w:rsidRPr="00A42CA7">
              <w:t> : report de la suppression en 2030 (au lieu de 2027) et changements dans l’évolution des taux d’imposition de 2025 à 2029.</w:t>
            </w:r>
          </w:p>
          <w:p w14:paraId="4BC7DA66" w14:textId="77777777" w:rsidR="00CC4090" w:rsidRPr="00A42CA7" w:rsidRDefault="00CC4090" w:rsidP="003C18DC">
            <w:pPr>
              <w:spacing w:line="240" w:lineRule="auto"/>
            </w:pPr>
          </w:p>
          <w:p w14:paraId="4D124682" w14:textId="77777777" w:rsidR="00CC4090" w:rsidRPr="00A42CA7" w:rsidRDefault="00CC4090" w:rsidP="00CC4090">
            <w:pPr>
              <w:numPr>
                <w:ilvl w:val="0"/>
                <w:numId w:val="20"/>
              </w:numPr>
              <w:spacing w:line="240" w:lineRule="auto"/>
            </w:pPr>
            <w:r w:rsidRPr="00A42CA7">
              <w:rPr>
                <w:b/>
                <w:bCs/>
              </w:rPr>
              <w:t>Taxe additionnelle pour frais de CCI</w:t>
            </w:r>
            <w:r w:rsidRPr="00A42CA7">
              <w:t> : modification des taux d’imposition corrélativement aux variations des taux de CVAE de 2025 à 2029.</w:t>
            </w:r>
          </w:p>
          <w:p w14:paraId="5127BFB1" w14:textId="77777777" w:rsidR="00CC4090" w:rsidRPr="00A42CA7" w:rsidRDefault="00CC4090" w:rsidP="003C18DC">
            <w:pPr>
              <w:spacing w:line="240" w:lineRule="auto"/>
            </w:pPr>
          </w:p>
          <w:p w14:paraId="7CF1DAAA" w14:textId="77777777" w:rsidR="00CC4090" w:rsidRPr="00A42CA7" w:rsidRDefault="00CC4090" w:rsidP="00CC4090">
            <w:pPr>
              <w:numPr>
                <w:ilvl w:val="0"/>
                <w:numId w:val="20"/>
              </w:numPr>
              <w:spacing w:line="240" w:lineRule="auto"/>
            </w:pPr>
            <w:r w:rsidRPr="00A42CA7">
              <w:rPr>
                <w:b/>
                <w:bCs/>
              </w:rPr>
              <w:t>Contribution complémentaire à la CVAE</w:t>
            </w:r>
            <w:r w:rsidRPr="00A42CA7">
              <w:t> : instauration d’une nouvelle taxe assise sur la CVAE pour 2025, assise sur la CVAE de la même année, au taux de 47,4%. Cette nouvelle contribution ne s’appliquera que sur 2025 afin de neutraliser la baisse du taux de CVAE qui avait été programmée, et dont la trajectoire de suppression progressive est modifiée.</w:t>
            </w:r>
          </w:p>
          <w:p w14:paraId="655EA524" w14:textId="77777777" w:rsidR="00CC4090" w:rsidRPr="00A42CA7" w:rsidRDefault="00CC4090" w:rsidP="003C18DC">
            <w:pPr>
              <w:spacing w:line="240" w:lineRule="auto"/>
            </w:pPr>
          </w:p>
          <w:p w14:paraId="7AF239CE" w14:textId="74B3AA74" w:rsidR="00CC4090" w:rsidRPr="00A42CA7" w:rsidRDefault="00CC4090" w:rsidP="003C18DC">
            <w:pPr>
              <w:spacing w:line="240" w:lineRule="auto"/>
              <w:jc w:val="left"/>
            </w:pPr>
          </w:p>
        </w:tc>
      </w:tr>
    </w:tbl>
    <w:p w14:paraId="36B30AEE" w14:textId="2B9F1608" w:rsidR="00A42CA7" w:rsidRPr="00A42CA7" w:rsidRDefault="00CC4090" w:rsidP="00A42CA7">
      <w:pPr>
        <w:spacing w:line="240" w:lineRule="auto"/>
        <w:jc w:val="left"/>
      </w:pPr>
      <w:r w:rsidRPr="00A42CA7">
        <w:rPr>
          <w:noProof/>
        </w:rPr>
        <mc:AlternateContent>
          <mc:Choice Requires="wps">
            <w:drawing>
              <wp:anchor distT="0" distB="0" distL="114300" distR="114300" simplePos="0" relativeHeight="251661312" behindDoc="0" locked="0" layoutInCell="1" allowOverlap="1" wp14:anchorId="7F3510DA" wp14:editId="134B8C0B">
                <wp:simplePos x="0" y="0"/>
                <wp:positionH relativeFrom="rightMargin">
                  <wp:posOffset>-504825</wp:posOffset>
                </wp:positionH>
                <wp:positionV relativeFrom="paragraph">
                  <wp:posOffset>149225</wp:posOffset>
                </wp:positionV>
                <wp:extent cx="619125" cy="373380"/>
                <wp:effectExtent l="38100" t="38100" r="123825" b="121920"/>
                <wp:wrapNone/>
                <wp:docPr id="1555372541" name="Ellipse 8">
                  <a:hlinkClick xmlns:a="http://schemas.openxmlformats.org/drawingml/2006/main" r:id="rId14"/>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 cy="373380"/>
                        </a:xfrm>
                        <a:prstGeom prst="ellipse">
                          <a:avLst/>
                        </a:prstGeom>
                        <a:solidFill>
                          <a:schemeClr val="bg1">
                            <a:lumMod val="95000"/>
                          </a:schemeClr>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D775527" w14:textId="77777777" w:rsidR="00A42CA7" w:rsidRDefault="00A42CA7" w:rsidP="00A42CA7">
                            <w:pPr>
                              <w:jc w:val="center"/>
                              <w:rPr>
                                <w:color w:val="000000" w:themeColor="text1"/>
                                <w:sz w:val="16"/>
                                <w:szCs w:val="16"/>
                              </w:rPr>
                            </w:pPr>
                            <w:r>
                              <w:rPr>
                                <w:color w:val="000000" w:themeColor="text1"/>
                                <w:sz w:val="16"/>
                                <w:szCs w:val="16"/>
                              </w:rPr>
                              <w:t>Retour sommaire</w:t>
                            </w:r>
                          </w:p>
                        </w:txbxContent>
                      </wps:txbx>
                      <wps:bodyPr rot="0" spcFirstLastPara="0" vertOverflow="clip" horzOverflow="clip"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3510DA" id="Ellipse 8" o:spid="_x0000_s1033" href="#DEBUT" style="position:absolute;margin-left:-39.75pt;margin-top:11.75pt;width:48.75pt;height:29.4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" o:button="t" fillcolor="#f2f2f2 [3052]" strokecolor="black [3213]" strokeweight="1pt">
                <v:fill o:detectmouseclick="t"/>
                <v:stroke joinstyle="miter"/>
                <v:shadow on="t" color="black" opacity="26214f" origin="-.5,-.5" offset=".74836mm,.74836mm"/>
                <v:path arrowok="t"/>
                <v:textbox inset="0,0,0,0">
                  <w:txbxContent>
                    <w:p w14:paraId="3D775527" w14:textId="77777777" w:rsidR="00A42CA7" w:rsidRDefault="00A42CA7" w:rsidP="00A42CA7">
                      <w:pPr>
                        <w:jc w:val="center"/>
                        <w:rPr>
                          <w:color w:val="000000" w:themeColor="text1"/>
                          <w:sz w:val="16"/>
                          <w:szCs w:val="16"/>
                        </w:rPr>
                      </w:pPr>
                      <w:r>
                        <w:rPr>
                          <w:color w:val="000000" w:themeColor="text1"/>
                          <w:sz w:val="16"/>
                          <w:szCs w:val="16"/>
                        </w:rPr>
                        <w:t>Retour sommaire</w:t>
                      </w:r>
                    </w:p>
                  </w:txbxContent>
                </v:textbox>
                <w10:wrap anchorx="margin"/>
              </v:oval>
            </w:pict>
          </mc:Fallback>
        </mc:AlternateContent>
      </w:r>
    </w:p>
    <w:p w14:paraId="0DB71C4D" w14:textId="056BC9ED" w:rsidR="00A42CA7" w:rsidRPr="00A42CA7" w:rsidRDefault="00A42CA7" w:rsidP="00A42CA7">
      <w:pPr>
        <w:spacing w:line="240" w:lineRule="auto"/>
        <w:jc w:val="left"/>
      </w:pPr>
    </w:p>
    <w:p w14:paraId="4ECED8A5" w14:textId="0A4F81AB" w:rsidR="001E542A" w:rsidRPr="009A74ED" w:rsidRDefault="001E542A" w:rsidP="00A42CA7">
      <w:pPr>
        <w:spacing w:line="240" w:lineRule="auto"/>
        <w:jc w:val="left"/>
      </w:pPr>
    </w:p>
    <w:sectPr w:rsidR="001E542A" w:rsidRPr="009A74ED" w:rsidSect="00CC4090">
      <w:headerReference w:type="first" r:id="rId17"/>
      <w:pgSz w:w="11906" w:h="16838"/>
      <w:pgMar w:top="142" w:right="709" w:bottom="851" w:left="1134" w:header="284" w:footer="4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BC6C3" w14:textId="77777777" w:rsidR="000E7E70" w:rsidRDefault="000E7E70" w:rsidP="00DA69BE">
      <w:pPr>
        <w:spacing w:line="240" w:lineRule="auto"/>
      </w:pPr>
      <w:r>
        <w:separator/>
      </w:r>
    </w:p>
  </w:endnote>
  <w:endnote w:type="continuationSeparator" w:id="0">
    <w:p w14:paraId="1076C6C5" w14:textId="77777777" w:rsidR="000E7E70" w:rsidRDefault="000E7E70" w:rsidP="00DA69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D8470" w14:textId="620A45EC" w:rsidR="003F15C1" w:rsidRDefault="00333840">
    <w:pPr>
      <w:pStyle w:val="Pieddepage"/>
    </w:pPr>
    <w:r w:rsidRPr="00E93E27">
      <w:rPr>
        <w:noProof/>
      </w:rPr>
      <w:drawing>
        <wp:anchor distT="0" distB="0" distL="114300" distR="114300" simplePos="0" relativeHeight="251670528" behindDoc="1" locked="0" layoutInCell="1" allowOverlap="1" wp14:anchorId="2516759B" wp14:editId="69AA9119">
          <wp:simplePos x="0" y="0"/>
          <wp:positionH relativeFrom="column">
            <wp:posOffset>6414448</wp:posOffset>
          </wp:positionH>
          <wp:positionV relativeFrom="paragraph">
            <wp:posOffset>-81915</wp:posOffset>
          </wp:positionV>
          <wp:extent cx="394970" cy="681355"/>
          <wp:effectExtent l="0" t="0" r="5080" b="4445"/>
          <wp:wrapNone/>
          <wp:docPr id="412950789" name="Image 412950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rot="10800000" flipH="1" flipV="1">
                    <a:off x="0" y="0"/>
                    <a:ext cx="394970" cy="681355"/>
                  </a:xfrm>
                  <a:prstGeom prst="rect">
                    <a:avLst/>
                  </a:prstGeom>
                </pic:spPr>
              </pic:pic>
            </a:graphicData>
          </a:graphic>
          <wp14:sizeRelH relativeFrom="margin">
            <wp14:pctWidth>0</wp14:pctWidth>
          </wp14:sizeRelH>
          <wp14:sizeRelV relativeFrom="margin">
            <wp14:pctHeight>0</wp14:pctHeight>
          </wp14:sizeRelV>
        </wp:anchor>
      </w:drawing>
    </w:r>
    <w:r w:rsidR="00114AF3" w:rsidRPr="00114AF3">
      <w:rPr>
        <w:noProof/>
        <w:color w:val="634D4D"/>
      </w:rPr>
      <w:drawing>
        <wp:anchor distT="0" distB="0" distL="114300" distR="114300" simplePos="0" relativeHeight="251660288" behindDoc="0" locked="0" layoutInCell="1" allowOverlap="1" wp14:anchorId="4F8D6B76" wp14:editId="7F605F9C">
          <wp:simplePos x="0" y="0"/>
          <wp:positionH relativeFrom="column">
            <wp:posOffset>3711452</wp:posOffset>
          </wp:positionH>
          <wp:positionV relativeFrom="paragraph">
            <wp:posOffset>1270</wp:posOffset>
          </wp:positionV>
          <wp:extent cx="465446" cy="170597"/>
          <wp:effectExtent l="0" t="0" r="0" b="1270"/>
          <wp:wrapNone/>
          <wp:docPr id="1870406961" name="Image 0" descr="lice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cence.png"/>
                  <pic:cNvPicPr/>
                </pic:nvPicPr>
                <pic:blipFill>
                  <a:blip r:embed="rId2"/>
                  <a:stretch>
                    <a:fillRect/>
                  </a:stretch>
                </pic:blipFill>
                <pic:spPr>
                  <a:xfrm>
                    <a:off x="0" y="0"/>
                    <a:ext cx="465446" cy="170597"/>
                  </a:xfrm>
                  <a:prstGeom prst="rect">
                    <a:avLst/>
                  </a:prstGeom>
                </pic:spPr>
              </pic:pic>
            </a:graphicData>
          </a:graphic>
          <wp14:sizeRelV relativeFrom="margin">
            <wp14:pctHeight>0</wp14:pctHeight>
          </wp14:sizeRelV>
        </wp:anchor>
      </w:drawing>
    </w:r>
    <w:hyperlink r:id="rId3" w:history="1">
      <w:r w:rsidR="00114AF3" w:rsidRPr="00114AF3">
        <w:rPr>
          <w:rStyle w:val="Lienhypertexte"/>
          <w:color w:val="634D4D"/>
        </w:rPr>
        <w:t>www.crcf-edu.fr</w:t>
      </w:r>
    </w:hyperlink>
    <w:r w:rsidR="00114AF3">
      <w:tab/>
    </w:r>
    <w:r w:rsidR="00CC4090">
      <w:t>Mars 2025</w:t>
    </w:r>
    <w:r w:rsidR="00114AF3">
      <w:tab/>
    </w:r>
    <w:r w:rsidR="00114AF3" w:rsidRPr="003F7A48">
      <w:t xml:space="preserve">Page </w:t>
    </w:r>
    <w:r w:rsidR="00114AF3" w:rsidRPr="003F7A48">
      <w:rPr>
        <w:rStyle w:val="Numrodepage"/>
      </w:rPr>
      <w:fldChar w:fldCharType="begin"/>
    </w:r>
    <w:r w:rsidR="00114AF3" w:rsidRPr="003F7A48">
      <w:rPr>
        <w:rStyle w:val="Numrodepage"/>
      </w:rPr>
      <w:instrText xml:space="preserve"> PAGE </w:instrText>
    </w:r>
    <w:r w:rsidR="00114AF3" w:rsidRPr="003F7A48">
      <w:rPr>
        <w:rStyle w:val="Numrodepage"/>
      </w:rPr>
      <w:fldChar w:fldCharType="separate"/>
    </w:r>
    <w:r w:rsidR="00114AF3">
      <w:rPr>
        <w:rStyle w:val="Numrodepage"/>
      </w:rPr>
      <w:t>1</w:t>
    </w:r>
    <w:r w:rsidR="00114AF3" w:rsidRPr="003F7A48">
      <w:rPr>
        <w:rStyle w:val="Numrodepage"/>
      </w:rPr>
      <w:fldChar w:fldCharType="end"/>
    </w:r>
    <w:r w:rsidR="00114AF3" w:rsidRPr="003F7A48">
      <w:rPr>
        <w:rStyle w:val="Numrodepage"/>
      </w:rPr>
      <w:t>/</w:t>
    </w:r>
    <w:r w:rsidR="00114AF3" w:rsidRPr="003F7A48">
      <w:rPr>
        <w:rStyle w:val="Numrodepage"/>
      </w:rPr>
      <w:fldChar w:fldCharType="begin"/>
    </w:r>
    <w:r w:rsidR="00114AF3" w:rsidRPr="003F7A48">
      <w:rPr>
        <w:rStyle w:val="Numrodepage"/>
      </w:rPr>
      <w:instrText xml:space="preserve"> NUMPAGES </w:instrText>
    </w:r>
    <w:r w:rsidR="00114AF3" w:rsidRPr="003F7A48">
      <w:rPr>
        <w:rStyle w:val="Numrodepage"/>
      </w:rPr>
      <w:fldChar w:fldCharType="separate"/>
    </w:r>
    <w:r w:rsidR="00114AF3">
      <w:rPr>
        <w:rStyle w:val="Numrodepage"/>
      </w:rPr>
      <w:t>2</w:t>
    </w:r>
    <w:r w:rsidR="00114AF3" w:rsidRPr="003F7A48">
      <w:rPr>
        <w:rStyle w:val="Numrodepag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67780" w14:textId="308F2168" w:rsidR="003F15C1" w:rsidRPr="001458D6" w:rsidRDefault="00333840">
    <w:pPr>
      <w:pStyle w:val="Pieddepage"/>
      <w:rPr>
        <w:color w:val="634D4D"/>
      </w:rPr>
    </w:pPr>
    <w:r w:rsidRPr="00E93E27">
      <w:rPr>
        <w:noProof/>
      </w:rPr>
      <w:drawing>
        <wp:anchor distT="0" distB="0" distL="114300" distR="114300" simplePos="0" relativeHeight="251668480" behindDoc="1" locked="0" layoutInCell="1" allowOverlap="1" wp14:anchorId="033F4A16" wp14:editId="2E09D6FB">
          <wp:simplePos x="0" y="0"/>
          <wp:positionH relativeFrom="column">
            <wp:posOffset>6414448</wp:posOffset>
          </wp:positionH>
          <wp:positionV relativeFrom="paragraph">
            <wp:posOffset>-54288</wp:posOffset>
          </wp:positionV>
          <wp:extent cx="394970" cy="681355"/>
          <wp:effectExtent l="0" t="0" r="5080" b="4445"/>
          <wp:wrapNone/>
          <wp:docPr id="1289377288" name="Image 1289377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rot="10800000" flipH="1" flipV="1">
                    <a:off x="0" y="0"/>
                    <a:ext cx="394970" cy="681355"/>
                  </a:xfrm>
                  <a:prstGeom prst="rect">
                    <a:avLst/>
                  </a:prstGeom>
                </pic:spPr>
              </pic:pic>
            </a:graphicData>
          </a:graphic>
          <wp14:sizeRelH relativeFrom="margin">
            <wp14:pctWidth>0</wp14:pctWidth>
          </wp14:sizeRelH>
          <wp14:sizeRelV relativeFrom="margin">
            <wp14:pctHeight>0</wp14:pctHeight>
          </wp14:sizeRelV>
        </wp:anchor>
      </w:drawing>
    </w:r>
    <w:r w:rsidR="00CA2B66" w:rsidRPr="001458D6">
      <w:rPr>
        <w:noProof/>
        <w:color w:val="634D4D"/>
      </w:rPr>
      <w:drawing>
        <wp:anchor distT="0" distB="0" distL="114300" distR="114300" simplePos="0" relativeHeight="251664384" behindDoc="0" locked="0" layoutInCell="1" allowOverlap="1" wp14:anchorId="4A891C60" wp14:editId="09125A68">
          <wp:simplePos x="0" y="0"/>
          <wp:positionH relativeFrom="column">
            <wp:posOffset>3668907</wp:posOffset>
          </wp:positionH>
          <wp:positionV relativeFrom="paragraph">
            <wp:posOffset>-635</wp:posOffset>
          </wp:positionV>
          <wp:extent cx="465446" cy="170597"/>
          <wp:effectExtent l="0" t="0" r="0" b="1270"/>
          <wp:wrapNone/>
          <wp:docPr id="30852247" name="Image 0" descr="lice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cence.png"/>
                  <pic:cNvPicPr/>
                </pic:nvPicPr>
                <pic:blipFill>
                  <a:blip r:embed="rId2"/>
                  <a:stretch>
                    <a:fillRect/>
                  </a:stretch>
                </pic:blipFill>
                <pic:spPr>
                  <a:xfrm>
                    <a:off x="0" y="0"/>
                    <a:ext cx="465446" cy="170597"/>
                  </a:xfrm>
                  <a:prstGeom prst="rect">
                    <a:avLst/>
                  </a:prstGeom>
                </pic:spPr>
              </pic:pic>
            </a:graphicData>
          </a:graphic>
          <wp14:sizeRelV relativeFrom="margin">
            <wp14:pctHeight>0</wp14:pctHeight>
          </wp14:sizeRelV>
        </wp:anchor>
      </w:drawing>
    </w:r>
    <w:hyperlink r:id="rId3" w:history="1">
      <w:r w:rsidR="00CA2B66" w:rsidRPr="001458D6">
        <w:rPr>
          <w:rStyle w:val="Lienhypertexte"/>
          <w:color w:val="634D4D"/>
        </w:rPr>
        <w:t>www.crcf-edu.fr</w:t>
      </w:r>
    </w:hyperlink>
    <w:r w:rsidR="00CA2B66" w:rsidRPr="001458D6">
      <w:rPr>
        <w:color w:val="634D4D"/>
      </w:rPr>
      <w:tab/>
    </w:r>
    <w:r w:rsidR="00A42CA7">
      <w:rPr>
        <w:color w:val="634D4D"/>
      </w:rPr>
      <w:t>Mars 2025</w:t>
    </w:r>
    <w:r w:rsidR="00CA2B66" w:rsidRPr="001458D6">
      <w:rPr>
        <w:color w:val="634D4D"/>
      </w:rPr>
      <w:tab/>
      <w:t xml:space="preserve">Page </w:t>
    </w:r>
    <w:r w:rsidR="00CA2B66" w:rsidRPr="001458D6">
      <w:rPr>
        <w:rStyle w:val="Numrodepage"/>
        <w:color w:val="634D4D"/>
      </w:rPr>
      <w:fldChar w:fldCharType="begin"/>
    </w:r>
    <w:r w:rsidR="00CA2B66" w:rsidRPr="001458D6">
      <w:rPr>
        <w:rStyle w:val="Numrodepage"/>
        <w:color w:val="634D4D"/>
      </w:rPr>
      <w:instrText xml:space="preserve"> PAGE </w:instrText>
    </w:r>
    <w:r w:rsidR="00CA2B66" w:rsidRPr="001458D6">
      <w:rPr>
        <w:rStyle w:val="Numrodepage"/>
        <w:color w:val="634D4D"/>
      </w:rPr>
      <w:fldChar w:fldCharType="separate"/>
    </w:r>
    <w:r w:rsidR="00CA2B66" w:rsidRPr="001458D6">
      <w:rPr>
        <w:rStyle w:val="Numrodepage"/>
        <w:color w:val="634D4D"/>
      </w:rPr>
      <w:t>2</w:t>
    </w:r>
    <w:r w:rsidR="00CA2B66" w:rsidRPr="001458D6">
      <w:rPr>
        <w:rStyle w:val="Numrodepage"/>
        <w:color w:val="634D4D"/>
      </w:rPr>
      <w:fldChar w:fldCharType="end"/>
    </w:r>
    <w:r w:rsidR="00CA2B66" w:rsidRPr="001458D6">
      <w:rPr>
        <w:rStyle w:val="Numrodepage"/>
        <w:color w:val="634D4D"/>
      </w:rPr>
      <w:t>/</w:t>
    </w:r>
    <w:r w:rsidR="00CA2B66" w:rsidRPr="001458D6">
      <w:rPr>
        <w:rStyle w:val="Numrodepage"/>
        <w:color w:val="634D4D"/>
      </w:rPr>
      <w:fldChar w:fldCharType="begin"/>
    </w:r>
    <w:r w:rsidR="00CA2B66" w:rsidRPr="001458D6">
      <w:rPr>
        <w:rStyle w:val="Numrodepage"/>
        <w:color w:val="634D4D"/>
      </w:rPr>
      <w:instrText xml:space="preserve"> NUMPAGES </w:instrText>
    </w:r>
    <w:r w:rsidR="00CA2B66" w:rsidRPr="001458D6">
      <w:rPr>
        <w:rStyle w:val="Numrodepage"/>
        <w:color w:val="634D4D"/>
      </w:rPr>
      <w:fldChar w:fldCharType="separate"/>
    </w:r>
    <w:r w:rsidR="00CA2B66" w:rsidRPr="001458D6">
      <w:rPr>
        <w:rStyle w:val="Numrodepage"/>
        <w:color w:val="634D4D"/>
      </w:rPr>
      <w:t>2</w:t>
    </w:r>
    <w:r w:rsidR="00CA2B66" w:rsidRPr="001458D6">
      <w:rPr>
        <w:rStyle w:val="Numrodepage"/>
        <w:color w:val="634D4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68CF4" w14:textId="77777777" w:rsidR="000E7E70" w:rsidRDefault="000E7E70" w:rsidP="00DA69BE">
      <w:pPr>
        <w:spacing w:line="240" w:lineRule="auto"/>
      </w:pPr>
      <w:r>
        <w:separator/>
      </w:r>
    </w:p>
  </w:footnote>
  <w:footnote w:type="continuationSeparator" w:id="0">
    <w:p w14:paraId="12C97FE0" w14:textId="77777777" w:rsidR="000E7E70" w:rsidRDefault="000E7E70" w:rsidP="00DA69BE">
      <w:pPr>
        <w:spacing w:line="240" w:lineRule="auto"/>
      </w:pPr>
      <w:r>
        <w:continuationSeparator/>
      </w:r>
    </w:p>
  </w:footnote>
  <w:footnote w:id="1">
    <w:p w14:paraId="44C56ADF" w14:textId="77777777" w:rsidR="00A42CA7" w:rsidRDefault="00A42CA7" w:rsidP="00A42CA7">
      <w:pPr>
        <w:pStyle w:val="Notedebasdepage"/>
        <w:rPr>
          <w:rFonts w:ascii="Times New Roman" w:hAnsi="Times New Roman"/>
        </w:rPr>
      </w:pPr>
      <w:r>
        <w:rPr>
          <w:rStyle w:val="Appelnotedebasdep"/>
          <w:rFonts w:ascii="Times New Roman" w:eastAsiaTheme="majorEastAsia" w:hAnsi="Times New Roman"/>
        </w:rPr>
        <w:footnoteRef/>
      </w:r>
      <w:r>
        <w:rPr>
          <w:rFonts w:ascii="Times New Roman" w:hAnsi="Times New Roman"/>
        </w:rPr>
        <w:t xml:space="preserve"> Seuil de la franchise pour les impôts commerciaux (et TVA) des OSBL : </w:t>
      </w:r>
      <w:r>
        <w:rPr>
          <w:rFonts w:ascii="Times New Roman" w:hAnsi="Times New Roman"/>
          <w:b/>
        </w:rPr>
        <w:t>80 011 €</w:t>
      </w:r>
    </w:p>
  </w:footnote>
  <w:footnote w:id="2">
    <w:p w14:paraId="64A1CFFD" w14:textId="77777777" w:rsidR="00A42CA7" w:rsidRDefault="00A42CA7" w:rsidP="00DB051A">
      <w:pPr>
        <w:pStyle w:val="Notedebasdepage"/>
        <w:ind w:left="-284" w:right="424"/>
        <w:jc w:val="left"/>
      </w:pPr>
      <w:r>
        <w:rPr>
          <w:rStyle w:val="Appelnotedebasdep"/>
          <w:rFonts w:eastAsiaTheme="majorEastAsia"/>
        </w:rPr>
        <w:footnoteRef/>
      </w:r>
      <w:r>
        <w:t xml:space="preserve"> Une taxe sur certaines réductions de capital par annulation de titres rachetés à compter du 01/03/2025 est instaurée pour les entreprises dont le CA &gt; 1 Md€ (taux de 8% sur la réduction de capital et une fraction des primes liées au capital).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B143A" w14:textId="77777777" w:rsidR="00DA69BE" w:rsidRPr="00333840" w:rsidRDefault="00333840" w:rsidP="00333840">
    <w:pPr>
      <w:pStyle w:val="En-tte"/>
    </w:pPr>
    <w:r w:rsidRPr="00E93E27">
      <w:rPr>
        <w:noProof/>
      </w:rPr>
      <w:drawing>
        <wp:anchor distT="0" distB="0" distL="114300" distR="114300" simplePos="0" relativeHeight="251672576" behindDoc="1" locked="0" layoutInCell="1" allowOverlap="1" wp14:anchorId="57F83408" wp14:editId="67F109EB">
          <wp:simplePos x="0" y="0"/>
          <wp:positionH relativeFrom="column">
            <wp:posOffset>-709684</wp:posOffset>
          </wp:positionH>
          <wp:positionV relativeFrom="paragraph">
            <wp:posOffset>-479245</wp:posOffset>
          </wp:positionV>
          <wp:extent cx="462915" cy="10699845"/>
          <wp:effectExtent l="0" t="0" r="0" b="6350"/>
          <wp:wrapNone/>
          <wp:docPr id="1819638647" name="Image 1819638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62915" cy="10699845"/>
                  </a:xfrm>
                  <a:prstGeom prst="rect">
                    <a:avLst/>
                  </a:prstGeom>
                </pic:spPr>
              </pic:pic>
            </a:graphicData>
          </a:graphic>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38EAF" w14:textId="77777777" w:rsidR="003F15C1" w:rsidRDefault="00333840">
    <w:pPr>
      <w:pStyle w:val="En-tte"/>
    </w:pPr>
    <w:r w:rsidRPr="00E93E27">
      <w:rPr>
        <w:noProof/>
      </w:rPr>
      <w:drawing>
        <wp:anchor distT="0" distB="0" distL="114300" distR="114300" simplePos="0" relativeHeight="251666432" behindDoc="1" locked="0" layoutInCell="1" allowOverlap="1" wp14:anchorId="2F40EA65" wp14:editId="686CEEF1">
          <wp:simplePos x="0" y="0"/>
          <wp:positionH relativeFrom="column">
            <wp:posOffset>-723331</wp:posOffset>
          </wp:positionH>
          <wp:positionV relativeFrom="paragraph">
            <wp:posOffset>-451011</wp:posOffset>
          </wp:positionV>
          <wp:extent cx="462915" cy="10699845"/>
          <wp:effectExtent l="0" t="0" r="0" b="6350"/>
          <wp:wrapNone/>
          <wp:docPr id="353077051" name="Image 353077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62915" cy="10699845"/>
                  </a:xfrm>
                  <a:prstGeom prst="rect">
                    <a:avLst/>
                  </a:prstGeom>
                </pic:spPr>
              </pic:pic>
            </a:graphicData>
          </a:graphic>
          <wp14:sizeRelV relativeFrom="margin">
            <wp14:pctHeight>0</wp14:pctHeight>
          </wp14:sizeRelV>
        </wp:anchor>
      </w:drawing>
    </w:r>
    <w:r w:rsidR="00CA2B66">
      <w:rPr>
        <w:noProof/>
      </w:rPr>
      <w:drawing>
        <wp:anchor distT="0" distB="0" distL="114300" distR="114300" simplePos="0" relativeHeight="251662336" behindDoc="0" locked="0" layoutInCell="1" allowOverlap="1" wp14:anchorId="361793FB" wp14:editId="4194C466">
          <wp:simplePos x="0" y="0"/>
          <wp:positionH relativeFrom="column">
            <wp:posOffset>1470660</wp:posOffset>
          </wp:positionH>
          <wp:positionV relativeFrom="paragraph">
            <wp:posOffset>-250190</wp:posOffset>
          </wp:positionV>
          <wp:extent cx="3248025" cy="464051"/>
          <wp:effectExtent l="0" t="0" r="0" b="0"/>
          <wp:wrapNone/>
          <wp:docPr id="74716875" name="Image 74716875"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10;&#10;Description générée automatique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48025" cy="46405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99B4D" w14:textId="59F90AF5" w:rsidR="00433C96" w:rsidRPr="00433C96" w:rsidRDefault="00433C96">
    <w:pPr>
      <w:pStyle w:val="En-tte"/>
      <w:rPr>
        <w:sz w:val="10"/>
        <w:szCs w:val="10"/>
      </w:rPr>
    </w:pPr>
    <w:r w:rsidRPr="00E93E27">
      <w:rPr>
        <w:noProof/>
      </w:rPr>
      <w:drawing>
        <wp:anchor distT="0" distB="0" distL="114300" distR="114300" simplePos="0" relativeHeight="251675648" behindDoc="1" locked="0" layoutInCell="1" allowOverlap="1" wp14:anchorId="7D07B68E" wp14:editId="2BF360C5">
          <wp:simplePos x="0" y="0"/>
          <wp:positionH relativeFrom="column">
            <wp:posOffset>-723331</wp:posOffset>
          </wp:positionH>
          <wp:positionV relativeFrom="paragraph">
            <wp:posOffset>-451011</wp:posOffset>
          </wp:positionV>
          <wp:extent cx="462915" cy="10699845"/>
          <wp:effectExtent l="0" t="0" r="0" b="6350"/>
          <wp:wrapNone/>
          <wp:docPr id="781378227" name="Image 781378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62915" cy="10699845"/>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DB8F11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60885775" o:spid="_x0000_i1025" type="#_x0000_t75" style="width:12pt;height:12pt;visibility:visible;mso-wrap-style:square">
            <v:imagedata r:id="rId1" o:title=""/>
          </v:shape>
        </w:pict>
      </mc:Choice>
      <mc:Fallback>
        <w:drawing>
          <wp:inline distT="0" distB="0" distL="0" distR="0" wp14:anchorId="21B6A507" wp14:editId="76E5AF1B">
            <wp:extent cx="152400" cy="152400"/>
            <wp:effectExtent l="0" t="0" r="0" b="0"/>
            <wp:docPr id="960885775" name="Image 960885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mc:Fallback>
    </mc:AlternateContent>
  </w:numPicBullet>
  <w:numPicBullet w:numPicBulletId="1">
    <mc:AlternateContent>
      <mc:Choice Requires="v">
        <w:pict>
          <v:shape w14:anchorId="6C86753F" id="Image 792111343" o:spid="_x0000_i1025" type="#_x0000_t75" style="width:161.25pt;height:156pt;visibility:visible;mso-wrap-style:square">
            <v:imagedata r:id="rId3" o:title=""/>
          </v:shape>
        </w:pict>
      </mc:Choice>
      <mc:Fallback>
        <w:drawing>
          <wp:inline distT="0" distB="0" distL="0" distR="0" wp14:anchorId="647B91C9" wp14:editId="7394AEB3">
            <wp:extent cx="2047875" cy="1981200"/>
            <wp:effectExtent l="0" t="0" r="0" b="0"/>
            <wp:docPr id="792111343" name="Image 792111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47875" cy="1981200"/>
                    </a:xfrm>
                    <a:prstGeom prst="rect">
                      <a:avLst/>
                    </a:prstGeom>
                    <a:noFill/>
                    <a:ln>
                      <a:noFill/>
                    </a:ln>
                  </pic:spPr>
                </pic:pic>
              </a:graphicData>
            </a:graphic>
          </wp:inline>
        </w:drawing>
      </mc:Fallback>
    </mc:AlternateContent>
  </w:numPicBullet>
  <w:abstractNum w:abstractNumId="0" w15:restartNumberingAfterBreak="0">
    <w:nsid w:val="01677573"/>
    <w:multiLevelType w:val="hybridMultilevel"/>
    <w:tmpl w:val="F40C178A"/>
    <w:lvl w:ilvl="0" w:tplc="07769546">
      <w:start w:val="1"/>
      <w:numFmt w:val="decimal"/>
      <w:pStyle w:val="Titre2"/>
      <w:lvlText w:val="%1."/>
      <w:lvlJc w:val="left"/>
      <w:pPr>
        <w:ind w:left="720" w:hanging="360"/>
      </w:pPr>
      <w:rPr>
        <w:rFonts w:ascii="Tw Cen MT" w:hAnsi="Tw Cen MT" w:hint="default"/>
        <w:b w:val="0"/>
        <w:i w:val="0"/>
        <w:strike w:val="0"/>
        <w:dstrike w:val="0"/>
        <w:color w:val="634D4D"/>
        <w:sz w:val="26"/>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2E06E24"/>
    <w:multiLevelType w:val="hybridMultilevel"/>
    <w:tmpl w:val="403CCCFC"/>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75E44FE"/>
    <w:multiLevelType w:val="multilevel"/>
    <w:tmpl w:val="2DF0C15E"/>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w Cen MT" w:hAnsi="Tw Cen MT" w:hint="default"/>
        <w:b w:val="0"/>
        <w:i w:val="0"/>
        <w:color w:val="CCA876"/>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9D325A"/>
    <w:multiLevelType w:val="hybridMultilevel"/>
    <w:tmpl w:val="DB004840"/>
    <w:lvl w:ilvl="0" w:tplc="EFD089AC">
      <w:start w:val="1"/>
      <w:numFmt w:val="upperRoman"/>
      <w:pStyle w:val="Titre1"/>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B5F7AF9"/>
    <w:multiLevelType w:val="hybridMultilevel"/>
    <w:tmpl w:val="E6CCAD90"/>
    <w:lvl w:ilvl="0" w:tplc="400EBF3A">
      <w:start w:val="1"/>
      <w:numFmt w:val="bullet"/>
      <w:lvlText w:val=""/>
      <w:lvlPicBulletId w:val="1"/>
      <w:lvlJc w:val="left"/>
      <w:pPr>
        <w:ind w:left="720" w:hanging="360"/>
      </w:pPr>
      <w:rPr>
        <w:rFonts w:ascii="Symbol" w:hAnsi="Symbol" w:hint="default"/>
        <w:color w:val="auto"/>
        <w:sz w:val="2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1012FC"/>
    <w:multiLevelType w:val="multilevel"/>
    <w:tmpl w:val="7C38E20C"/>
    <w:lvl w:ilvl="0">
      <w:start w:val="1"/>
      <w:numFmt w:val="lowerLetter"/>
      <w:lvlText w:val="%1."/>
      <w:lvlJc w:val="left"/>
      <w:pPr>
        <w:ind w:left="2136" w:hanging="360"/>
      </w:pPr>
      <w:rPr>
        <w:rFonts w:hint="default"/>
        <w:b w:val="0"/>
        <w:i w:val="0"/>
        <w:strike w:val="0"/>
        <w:dstrike w:val="0"/>
        <w:color w:val="CCA876"/>
        <w:sz w:val="24"/>
        <w:vertAlign w:val="baseline"/>
      </w:rPr>
    </w:lvl>
    <w:lvl w:ilvl="1">
      <w:start w:val="1"/>
      <w:numFmt w:val="lowerLetter"/>
      <w:lvlText w:val="%2."/>
      <w:lvlJc w:val="left"/>
      <w:pPr>
        <w:ind w:left="2856" w:hanging="360"/>
      </w:pPr>
      <w:rPr>
        <w:rFonts w:hint="default"/>
      </w:rPr>
    </w:lvl>
    <w:lvl w:ilvl="2">
      <w:start w:val="1"/>
      <w:numFmt w:val="lowerRoman"/>
      <w:lvlText w:val="%3."/>
      <w:lvlJc w:val="right"/>
      <w:pPr>
        <w:ind w:left="3576" w:hanging="180"/>
      </w:pPr>
      <w:rPr>
        <w:rFonts w:hint="default"/>
      </w:rPr>
    </w:lvl>
    <w:lvl w:ilvl="3">
      <w:start w:val="1"/>
      <w:numFmt w:val="decimal"/>
      <w:lvlText w:val="%4."/>
      <w:lvlJc w:val="left"/>
      <w:pPr>
        <w:ind w:left="4296" w:hanging="360"/>
      </w:pPr>
      <w:rPr>
        <w:rFonts w:hint="default"/>
      </w:rPr>
    </w:lvl>
    <w:lvl w:ilvl="4">
      <w:start w:val="1"/>
      <w:numFmt w:val="lowerLetter"/>
      <w:lvlText w:val="%5."/>
      <w:lvlJc w:val="left"/>
      <w:pPr>
        <w:ind w:left="5016" w:hanging="360"/>
      </w:pPr>
      <w:rPr>
        <w:rFonts w:hint="default"/>
      </w:rPr>
    </w:lvl>
    <w:lvl w:ilvl="5">
      <w:start w:val="1"/>
      <w:numFmt w:val="lowerRoman"/>
      <w:lvlText w:val="%6."/>
      <w:lvlJc w:val="right"/>
      <w:pPr>
        <w:ind w:left="5736" w:hanging="180"/>
      </w:pPr>
      <w:rPr>
        <w:rFonts w:hint="default"/>
      </w:rPr>
    </w:lvl>
    <w:lvl w:ilvl="6">
      <w:start w:val="1"/>
      <w:numFmt w:val="decimal"/>
      <w:lvlText w:val="%7."/>
      <w:lvlJc w:val="left"/>
      <w:pPr>
        <w:ind w:left="6456" w:hanging="360"/>
      </w:pPr>
      <w:rPr>
        <w:rFonts w:hint="default"/>
      </w:rPr>
    </w:lvl>
    <w:lvl w:ilvl="7">
      <w:start w:val="1"/>
      <w:numFmt w:val="lowerLetter"/>
      <w:lvlText w:val="%8."/>
      <w:lvlJc w:val="left"/>
      <w:pPr>
        <w:ind w:left="7176" w:hanging="360"/>
      </w:pPr>
      <w:rPr>
        <w:rFonts w:hint="default"/>
      </w:rPr>
    </w:lvl>
    <w:lvl w:ilvl="8">
      <w:start w:val="1"/>
      <w:numFmt w:val="lowerRoman"/>
      <w:lvlText w:val="%9."/>
      <w:lvlJc w:val="right"/>
      <w:pPr>
        <w:ind w:left="7896" w:hanging="180"/>
      </w:pPr>
      <w:rPr>
        <w:rFonts w:hint="default"/>
      </w:rPr>
    </w:lvl>
  </w:abstractNum>
  <w:abstractNum w:abstractNumId="6" w15:restartNumberingAfterBreak="0">
    <w:nsid w:val="1447154C"/>
    <w:multiLevelType w:val="hybridMultilevel"/>
    <w:tmpl w:val="CFF8F490"/>
    <w:lvl w:ilvl="0" w:tplc="CF244F48">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14C56B33"/>
    <w:multiLevelType w:val="hybridMultilevel"/>
    <w:tmpl w:val="5878561C"/>
    <w:lvl w:ilvl="0" w:tplc="040C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1CA46F58"/>
    <w:multiLevelType w:val="hybridMultilevel"/>
    <w:tmpl w:val="9C6450E6"/>
    <w:lvl w:ilvl="0" w:tplc="400EBF3A">
      <w:start w:val="1"/>
      <w:numFmt w:val="bullet"/>
      <w:lvlText w:val=""/>
      <w:lvlPicBulletId w:val="1"/>
      <w:lvlJc w:val="left"/>
      <w:pPr>
        <w:ind w:left="720" w:hanging="360"/>
      </w:pPr>
      <w:rPr>
        <w:rFonts w:ascii="Symbol" w:hAnsi="Symbol" w:hint="default"/>
        <w:color w:val="auto"/>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0825BC4"/>
    <w:multiLevelType w:val="hybridMultilevel"/>
    <w:tmpl w:val="E7A44286"/>
    <w:lvl w:ilvl="0" w:tplc="FFFFFFFF">
      <w:start w:val="1"/>
      <w:numFmt w:val="decimal"/>
      <w:lvlText w:val="(%1)"/>
      <w:lvlJc w:val="left"/>
      <w:pPr>
        <w:ind w:left="930" w:hanging="360"/>
      </w:pPr>
    </w:lvl>
    <w:lvl w:ilvl="1" w:tplc="FFFFFFFF">
      <w:start w:val="1"/>
      <w:numFmt w:val="lowerLetter"/>
      <w:lvlText w:val="%2."/>
      <w:lvlJc w:val="left"/>
      <w:pPr>
        <w:ind w:left="1650" w:hanging="360"/>
      </w:pPr>
    </w:lvl>
    <w:lvl w:ilvl="2" w:tplc="FFFFFFFF">
      <w:start w:val="1"/>
      <w:numFmt w:val="lowerRoman"/>
      <w:lvlText w:val="%3."/>
      <w:lvlJc w:val="right"/>
      <w:pPr>
        <w:ind w:left="2370" w:hanging="180"/>
      </w:pPr>
    </w:lvl>
    <w:lvl w:ilvl="3" w:tplc="FFFFFFFF">
      <w:start w:val="1"/>
      <w:numFmt w:val="decimal"/>
      <w:lvlText w:val="%4."/>
      <w:lvlJc w:val="left"/>
      <w:pPr>
        <w:ind w:left="3090" w:hanging="360"/>
      </w:pPr>
    </w:lvl>
    <w:lvl w:ilvl="4" w:tplc="FFFFFFFF">
      <w:start w:val="1"/>
      <w:numFmt w:val="lowerLetter"/>
      <w:lvlText w:val="%5."/>
      <w:lvlJc w:val="left"/>
      <w:pPr>
        <w:ind w:left="3810" w:hanging="360"/>
      </w:pPr>
    </w:lvl>
    <w:lvl w:ilvl="5" w:tplc="FFFFFFFF">
      <w:start w:val="1"/>
      <w:numFmt w:val="lowerRoman"/>
      <w:lvlText w:val="%6."/>
      <w:lvlJc w:val="right"/>
      <w:pPr>
        <w:ind w:left="4530" w:hanging="180"/>
      </w:pPr>
    </w:lvl>
    <w:lvl w:ilvl="6" w:tplc="FFFFFFFF">
      <w:start w:val="1"/>
      <w:numFmt w:val="decimal"/>
      <w:lvlText w:val="%7."/>
      <w:lvlJc w:val="left"/>
      <w:pPr>
        <w:ind w:left="5250" w:hanging="360"/>
      </w:pPr>
    </w:lvl>
    <w:lvl w:ilvl="7" w:tplc="FFFFFFFF">
      <w:start w:val="1"/>
      <w:numFmt w:val="lowerLetter"/>
      <w:lvlText w:val="%8."/>
      <w:lvlJc w:val="left"/>
      <w:pPr>
        <w:ind w:left="5970" w:hanging="360"/>
      </w:pPr>
    </w:lvl>
    <w:lvl w:ilvl="8" w:tplc="FFFFFFFF">
      <w:start w:val="1"/>
      <w:numFmt w:val="lowerRoman"/>
      <w:lvlText w:val="%9."/>
      <w:lvlJc w:val="right"/>
      <w:pPr>
        <w:ind w:left="6690" w:hanging="180"/>
      </w:pPr>
    </w:lvl>
  </w:abstractNum>
  <w:abstractNum w:abstractNumId="10" w15:restartNumberingAfterBreak="0">
    <w:nsid w:val="27732BBD"/>
    <w:multiLevelType w:val="hybridMultilevel"/>
    <w:tmpl w:val="E7A44286"/>
    <w:lvl w:ilvl="0" w:tplc="90F0CA84">
      <w:start w:val="1"/>
      <w:numFmt w:val="decimal"/>
      <w:lvlText w:val="(%1)"/>
      <w:lvlJc w:val="left"/>
      <w:pPr>
        <w:ind w:left="930" w:hanging="360"/>
      </w:pPr>
    </w:lvl>
    <w:lvl w:ilvl="1" w:tplc="040C0019">
      <w:start w:val="1"/>
      <w:numFmt w:val="lowerLetter"/>
      <w:lvlText w:val="%2."/>
      <w:lvlJc w:val="left"/>
      <w:pPr>
        <w:ind w:left="1650" w:hanging="360"/>
      </w:pPr>
    </w:lvl>
    <w:lvl w:ilvl="2" w:tplc="040C001B">
      <w:start w:val="1"/>
      <w:numFmt w:val="lowerRoman"/>
      <w:lvlText w:val="%3."/>
      <w:lvlJc w:val="right"/>
      <w:pPr>
        <w:ind w:left="2370" w:hanging="180"/>
      </w:pPr>
    </w:lvl>
    <w:lvl w:ilvl="3" w:tplc="040C000F">
      <w:start w:val="1"/>
      <w:numFmt w:val="decimal"/>
      <w:lvlText w:val="%4."/>
      <w:lvlJc w:val="left"/>
      <w:pPr>
        <w:ind w:left="3090" w:hanging="360"/>
      </w:pPr>
    </w:lvl>
    <w:lvl w:ilvl="4" w:tplc="040C0019">
      <w:start w:val="1"/>
      <w:numFmt w:val="lowerLetter"/>
      <w:lvlText w:val="%5."/>
      <w:lvlJc w:val="left"/>
      <w:pPr>
        <w:ind w:left="3810" w:hanging="360"/>
      </w:pPr>
    </w:lvl>
    <w:lvl w:ilvl="5" w:tplc="040C001B">
      <w:start w:val="1"/>
      <w:numFmt w:val="lowerRoman"/>
      <w:lvlText w:val="%6."/>
      <w:lvlJc w:val="right"/>
      <w:pPr>
        <w:ind w:left="4530" w:hanging="180"/>
      </w:pPr>
    </w:lvl>
    <w:lvl w:ilvl="6" w:tplc="040C000F">
      <w:start w:val="1"/>
      <w:numFmt w:val="decimal"/>
      <w:lvlText w:val="%7."/>
      <w:lvlJc w:val="left"/>
      <w:pPr>
        <w:ind w:left="5250" w:hanging="360"/>
      </w:pPr>
    </w:lvl>
    <w:lvl w:ilvl="7" w:tplc="040C0019">
      <w:start w:val="1"/>
      <w:numFmt w:val="lowerLetter"/>
      <w:lvlText w:val="%8."/>
      <w:lvlJc w:val="left"/>
      <w:pPr>
        <w:ind w:left="5970" w:hanging="360"/>
      </w:pPr>
    </w:lvl>
    <w:lvl w:ilvl="8" w:tplc="040C001B">
      <w:start w:val="1"/>
      <w:numFmt w:val="lowerRoman"/>
      <w:lvlText w:val="%9."/>
      <w:lvlJc w:val="right"/>
      <w:pPr>
        <w:ind w:left="6690" w:hanging="180"/>
      </w:pPr>
    </w:lvl>
  </w:abstractNum>
  <w:abstractNum w:abstractNumId="11" w15:restartNumberingAfterBreak="0">
    <w:nsid w:val="2A860B72"/>
    <w:multiLevelType w:val="hybridMultilevel"/>
    <w:tmpl w:val="BE44F1C2"/>
    <w:lvl w:ilvl="0" w:tplc="A4A6E5AA">
      <w:start w:val="1"/>
      <w:numFmt w:val="decimal"/>
      <w:pStyle w:val="Titre3"/>
      <w:lvlText w:val="%1)"/>
      <w:lvlJc w:val="left"/>
      <w:pPr>
        <w:ind w:left="720" w:hanging="360"/>
      </w:pPr>
      <w:rPr>
        <w:rFonts w:ascii="Tw Cen MT" w:hAnsi="Tw Cen MT" w:hint="default"/>
        <w:b w:val="0"/>
        <w:i w:val="0"/>
        <w:strike w:val="0"/>
        <w:dstrike w:val="0"/>
        <w:color w:val="CCA876"/>
        <w:sz w:val="24"/>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C980E59"/>
    <w:multiLevelType w:val="hybridMultilevel"/>
    <w:tmpl w:val="762CFF92"/>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303929D9"/>
    <w:multiLevelType w:val="hybridMultilevel"/>
    <w:tmpl w:val="450C3F88"/>
    <w:lvl w:ilvl="0" w:tplc="01DEE9D6">
      <w:start w:val="1"/>
      <w:numFmt w:val="decimal"/>
      <w:lvlText w:val="%1."/>
      <w:lvlJc w:val="left"/>
      <w:pPr>
        <w:ind w:left="720" w:hanging="360"/>
      </w:pPr>
      <w:rPr>
        <w:rFonts w:ascii="Tw Cen MT" w:hAnsi="Tw Cen MT" w:hint="default"/>
        <w:b w:val="0"/>
        <w:i w:val="0"/>
        <w:strike w:val="0"/>
        <w:dstrike w:val="0"/>
        <w:color w:val="92754C"/>
        <w:sz w:val="22"/>
        <w:vertAlign w:val="baseline"/>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1C637C7"/>
    <w:multiLevelType w:val="multilevel"/>
    <w:tmpl w:val="33A000F4"/>
    <w:lvl w:ilvl="0">
      <w:start w:val="1"/>
      <w:numFmt w:val="lowerLetter"/>
      <w:pStyle w:val="Titre4"/>
      <w:lvlText w:val="1.%1"/>
      <w:lvlJc w:val="left"/>
      <w:pPr>
        <w:ind w:left="2136" w:hanging="360"/>
      </w:pPr>
      <w:rPr>
        <w:rFonts w:ascii="Tw Cen MT" w:hAnsi="Tw Cen MT" w:hint="default"/>
        <w:b w:val="0"/>
        <w:i w:val="0"/>
        <w:strike w:val="0"/>
        <w:dstrike w:val="0"/>
        <w:color w:val="CCA876"/>
        <w:sz w:val="24"/>
        <w:vertAlign w:val="baseline"/>
      </w:rPr>
    </w:lvl>
    <w:lvl w:ilvl="1">
      <w:start w:val="1"/>
      <w:numFmt w:val="lowerLetter"/>
      <w:lvlText w:val="%2."/>
      <w:lvlJc w:val="left"/>
      <w:pPr>
        <w:ind w:left="2856" w:hanging="360"/>
      </w:pPr>
      <w:rPr>
        <w:rFonts w:hint="default"/>
      </w:rPr>
    </w:lvl>
    <w:lvl w:ilvl="2">
      <w:start w:val="1"/>
      <w:numFmt w:val="lowerRoman"/>
      <w:lvlText w:val="%3."/>
      <w:lvlJc w:val="right"/>
      <w:pPr>
        <w:ind w:left="3576" w:hanging="180"/>
      </w:pPr>
      <w:rPr>
        <w:rFonts w:hint="default"/>
      </w:rPr>
    </w:lvl>
    <w:lvl w:ilvl="3">
      <w:start w:val="1"/>
      <w:numFmt w:val="decimal"/>
      <w:lvlText w:val="%4."/>
      <w:lvlJc w:val="left"/>
      <w:pPr>
        <w:ind w:left="4296" w:hanging="360"/>
      </w:pPr>
      <w:rPr>
        <w:rFonts w:hint="default"/>
      </w:rPr>
    </w:lvl>
    <w:lvl w:ilvl="4">
      <w:start w:val="1"/>
      <w:numFmt w:val="lowerLetter"/>
      <w:lvlText w:val="%5."/>
      <w:lvlJc w:val="left"/>
      <w:pPr>
        <w:ind w:left="5016" w:hanging="360"/>
      </w:pPr>
      <w:rPr>
        <w:rFonts w:hint="default"/>
      </w:rPr>
    </w:lvl>
    <w:lvl w:ilvl="5">
      <w:start w:val="1"/>
      <w:numFmt w:val="lowerRoman"/>
      <w:lvlText w:val="%6."/>
      <w:lvlJc w:val="right"/>
      <w:pPr>
        <w:ind w:left="5736" w:hanging="180"/>
      </w:pPr>
      <w:rPr>
        <w:rFonts w:hint="default"/>
      </w:rPr>
    </w:lvl>
    <w:lvl w:ilvl="6">
      <w:start w:val="1"/>
      <w:numFmt w:val="decimal"/>
      <w:lvlText w:val="%7."/>
      <w:lvlJc w:val="left"/>
      <w:pPr>
        <w:ind w:left="6456" w:hanging="360"/>
      </w:pPr>
      <w:rPr>
        <w:rFonts w:hint="default"/>
      </w:rPr>
    </w:lvl>
    <w:lvl w:ilvl="7">
      <w:start w:val="1"/>
      <w:numFmt w:val="lowerLetter"/>
      <w:lvlText w:val="%8."/>
      <w:lvlJc w:val="left"/>
      <w:pPr>
        <w:ind w:left="7176" w:hanging="360"/>
      </w:pPr>
      <w:rPr>
        <w:rFonts w:hint="default"/>
      </w:rPr>
    </w:lvl>
    <w:lvl w:ilvl="8">
      <w:start w:val="1"/>
      <w:numFmt w:val="lowerRoman"/>
      <w:lvlText w:val="%9."/>
      <w:lvlJc w:val="right"/>
      <w:pPr>
        <w:ind w:left="7896" w:hanging="180"/>
      </w:pPr>
      <w:rPr>
        <w:rFonts w:hint="default"/>
      </w:rPr>
    </w:lvl>
  </w:abstractNum>
  <w:abstractNum w:abstractNumId="15" w15:restartNumberingAfterBreak="0">
    <w:nsid w:val="33C415D8"/>
    <w:multiLevelType w:val="multilevel"/>
    <w:tmpl w:val="4F4A4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5405AC"/>
    <w:multiLevelType w:val="hybridMultilevel"/>
    <w:tmpl w:val="AC92FF66"/>
    <w:lvl w:ilvl="0" w:tplc="400EBF3A">
      <w:start w:val="1"/>
      <w:numFmt w:val="bullet"/>
      <w:lvlText w:val=""/>
      <w:lvlPicBulletId w:val="1"/>
      <w:lvlJc w:val="left"/>
      <w:pPr>
        <w:ind w:left="720" w:hanging="360"/>
      </w:pPr>
      <w:rPr>
        <w:rFonts w:ascii="Symbol" w:hAnsi="Symbol" w:hint="default"/>
        <w:color w:val="auto"/>
        <w:sz w:val="2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21B4B70"/>
    <w:multiLevelType w:val="hybridMultilevel"/>
    <w:tmpl w:val="FD46F678"/>
    <w:lvl w:ilvl="0" w:tplc="626ADC32">
      <w:start w:val="1"/>
      <w:numFmt w:val="bullet"/>
      <w:lvlText w:val=""/>
      <w:lvlPicBulletId w:val="1"/>
      <w:lvlJc w:val="left"/>
      <w:rPr>
        <w:rFonts w:ascii="Symbol" w:hAnsi="Symbol" w:hint="default"/>
        <w:color w:val="auto"/>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6C81A40"/>
    <w:multiLevelType w:val="hybridMultilevel"/>
    <w:tmpl w:val="94BC974A"/>
    <w:lvl w:ilvl="0" w:tplc="9B3CCEF0">
      <w:start w:val="1"/>
      <w:numFmt w:val="bullet"/>
      <w:suff w:val="space"/>
      <w:lvlText w:val=""/>
      <w:lvlPicBulletId w:val="1"/>
      <w:lvlJc w:val="left"/>
      <w:pPr>
        <w:ind w:left="0" w:firstLine="0"/>
      </w:pPr>
      <w:rPr>
        <w:rFonts w:ascii="Symbol" w:hAnsi="Symbol" w:hint="default"/>
        <w:color w:val="auto"/>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51C605E"/>
    <w:multiLevelType w:val="hybridMultilevel"/>
    <w:tmpl w:val="875C43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593930DC"/>
    <w:multiLevelType w:val="hybridMultilevel"/>
    <w:tmpl w:val="32E01362"/>
    <w:lvl w:ilvl="0" w:tplc="0D0CBFE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5D0961C6"/>
    <w:multiLevelType w:val="hybridMultilevel"/>
    <w:tmpl w:val="6178D71A"/>
    <w:lvl w:ilvl="0" w:tplc="400EBF3A">
      <w:start w:val="1"/>
      <w:numFmt w:val="bullet"/>
      <w:lvlText w:val=""/>
      <w:lvlPicBulletId w:val="1"/>
      <w:lvlJc w:val="left"/>
      <w:pPr>
        <w:ind w:left="720" w:hanging="363"/>
      </w:pPr>
      <w:rPr>
        <w:rFonts w:ascii="Symbol" w:hAnsi="Symbol" w:hint="default"/>
        <w:color w:val="auto"/>
        <w:sz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51B0FCD"/>
    <w:multiLevelType w:val="hybridMultilevel"/>
    <w:tmpl w:val="D86E7208"/>
    <w:lvl w:ilvl="0" w:tplc="A6E2D5AC">
      <w:start w:val="1"/>
      <w:numFmt w:val="bullet"/>
      <w:suff w:val="space"/>
      <w:lvlText w:val=""/>
      <w:lvlPicBulletId w:val="1"/>
      <w:lvlJc w:val="left"/>
      <w:pPr>
        <w:ind w:left="284" w:firstLine="0"/>
      </w:pPr>
      <w:rPr>
        <w:rFonts w:ascii="Symbol" w:hAnsi="Symbol" w:hint="default"/>
        <w:color w:val="auto"/>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657574C"/>
    <w:multiLevelType w:val="hybridMultilevel"/>
    <w:tmpl w:val="185CFEAA"/>
    <w:lvl w:ilvl="0" w:tplc="F7260CFA">
      <w:start w:val="1"/>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15:restartNumberingAfterBreak="0">
    <w:nsid w:val="7B9A1687"/>
    <w:multiLevelType w:val="multilevel"/>
    <w:tmpl w:val="F9305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2655803">
    <w:abstractNumId w:val="24"/>
  </w:num>
  <w:num w:numId="2" w16cid:durableId="354622515">
    <w:abstractNumId w:val="15"/>
  </w:num>
  <w:num w:numId="3" w16cid:durableId="1955212024">
    <w:abstractNumId w:val="17"/>
  </w:num>
  <w:num w:numId="4" w16cid:durableId="366688605">
    <w:abstractNumId w:val="13"/>
  </w:num>
  <w:num w:numId="5" w16cid:durableId="818379835">
    <w:abstractNumId w:val="18"/>
  </w:num>
  <w:num w:numId="6" w16cid:durableId="1429036954">
    <w:abstractNumId w:val="22"/>
  </w:num>
  <w:num w:numId="7" w16cid:durableId="249236473">
    <w:abstractNumId w:val="21"/>
  </w:num>
  <w:num w:numId="8" w16cid:durableId="223955252">
    <w:abstractNumId w:val="3"/>
  </w:num>
  <w:num w:numId="9" w16cid:durableId="1215969887">
    <w:abstractNumId w:val="0"/>
  </w:num>
  <w:num w:numId="10" w16cid:durableId="744450689">
    <w:abstractNumId w:val="11"/>
  </w:num>
  <w:num w:numId="11" w16cid:durableId="220748780">
    <w:abstractNumId w:val="11"/>
    <w:lvlOverride w:ilvl="0">
      <w:startOverride w:val="1"/>
    </w:lvlOverride>
  </w:num>
  <w:num w:numId="12" w16cid:durableId="1947537672">
    <w:abstractNumId w:val="2"/>
  </w:num>
  <w:num w:numId="13" w16cid:durableId="1883244071">
    <w:abstractNumId w:val="14"/>
  </w:num>
  <w:num w:numId="14" w16cid:durableId="77674857">
    <w:abstractNumId w:val="5"/>
  </w:num>
  <w:num w:numId="15" w16cid:durableId="1280263859">
    <w:abstractNumId w:val="4"/>
  </w:num>
  <w:num w:numId="16" w16cid:durableId="622154475">
    <w:abstractNumId w:val="16"/>
  </w:num>
  <w:num w:numId="17" w16cid:durableId="523783937">
    <w:abstractNumId w:val="8"/>
  </w:num>
  <w:num w:numId="18" w16cid:durableId="582839423">
    <w:abstractNumId w:val="20"/>
  </w:num>
  <w:num w:numId="19" w16cid:durableId="1578322209">
    <w:abstractNumId w:val="19"/>
  </w:num>
  <w:num w:numId="20" w16cid:durableId="483394906">
    <w:abstractNumId w:val="23"/>
  </w:num>
  <w:num w:numId="21" w16cid:durableId="1168905024">
    <w:abstractNumId w:val="12"/>
  </w:num>
  <w:num w:numId="22" w16cid:durableId="239218888">
    <w:abstractNumId w:val="7"/>
  </w:num>
  <w:num w:numId="23" w16cid:durableId="12988806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781829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32917171">
    <w:abstractNumId w:val="6"/>
  </w:num>
  <w:num w:numId="26" w16cid:durableId="551818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CA7"/>
    <w:rsid w:val="00007592"/>
    <w:rsid w:val="00011FCB"/>
    <w:rsid w:val="00024D75"/>
    <w:rsid w:val="00030A77"/>
    <w:rsid w:val="000C04C2"/>
    <w:rsid w:val="000D666B"/>
    <w:rsid w:val="000E7E70"/>
    <w:rsid w:val="00114AF3"/>
    <w:rsid w:val="001458D6"/>
    <w:rsid w:val="00167CB8"/>
    <w:rsid w:val="001E542A"/>
    <w:rsid w:val="002264A2"/>
    <w:rsid w:val="002B50A4"/>
    <w:rsid w:val="002C33EA"/>
    <w:rsid w:val="00312BC4"/>
    <w:rsid w:val="00333840"/>
    <w:rsid w:val="00351C77"/>
    <w:rsid w:val="003606FE"/>
    <w:rsid w:val="003E538D"/>
    <w:rsid w:val="003E7FCC"/>
    <w:rsid w:val="003F15C1"/>
    <w:rsid w:val="0040717A"/>
    <w:rsid w:val="00433C96"/>
    <w:rsid w:val="004454A2"/>
    <w:rsid w:val="004F665E"/>
    <w:rsid w:val="0052295E"/>
    <w:rsid w:val="0053442F"/>
    <w:rsid w:val="005A6F2C"/>
    <w:rsid w:val="006A2C5F"/>
    <w:rsid w:val="00743FEE"/>
    <w:rsid w:val="00753B7A"/>
    <w:rsid w:val="0075413F"/>
    <w:rsid w:val="00756D03"/>
    <w:rsid w:val="00805EFE"/>
    <w:rsid w:val="0080691B"/>
    <w:rsid w:val="0080751E"/>
    <w:rsid w:val="00832982"/>
    <w:rsid w:val="0085321C"/>
    <w:rsid w:val="008F5E5A"/>
    <w:rsid w:val="009026F7"/>
    <w:rsid w:val="00902A6A"/>
    <w:rsid w:val="00965ACE"/>
    <w:rsid w:val="009A74ED"/>
    <w:rsid w:val="00A01E91"/>
    <w:rsid w:val="00A04C4A"/>
    <w:rsid w:val="00A311A6"/>
    <w:rsid w:val="00A42CA7"/>
    <w:rsid w:val="00AA0983"/>
    <w:rsid w:val="00AA4DC8"/>
    <w:rsid w:val="00AC6406"/>
    <w:rsid w:val="00AF208F"/>
    <w:rsid w:val="00B16631"/>
    <w:rsid w:val="00B20C99"/>
    <w:rsid w:val="00B2422E"/>
    <w:rsid w:val="00BC2176"/>
    <w:rsid w:val="00BF4607"/>
    <w:rsid w:val="00C06C82"/>
    <w:rsid w:val="00C16E51"/>
    <w:rsid w:val="00C23E11"/>
    <w:rsid w:val="00CA2B66"/>
    <w:rsid w:val="00CC4090"/>
    <w:rsid w:val="00D1045C"/>
    <w:rsid w:val="00D83194"/>
    <w:rsid w:val="00D83B80"/>
    <w:rsid w:val="00DA2D28"/>
    <w:rsid w:val="00DA69BE"/>
    <w:rsid w:val="00DB051A"/>
    <w:rsid w:val="00DB1F15"/>
    <w:rsid w:val="00E8119A"/>
    <w:rsid w:val="00E841A9"/>
    <w:rsid w:val="00E920A2"/>
    <w:rsid w:val="00EE7A23"/>
    <w:rsid w:val="00EF151E"/>
    <w:rsid w:val="00F462DC"/>
    <w:rsid w:val="00F539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7DE70"/>
  <w15:chartTrackingRefBased/>
  <w15:docId w15:val="{0E9C4B5D-7ECC-43BE-81D3-CF433F58C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2"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D03"/>
    <w:pPr>
      <w:spacing w:after="0"/>
      <w:jc w:val="both"/>
    </w:pPr>
    <w:rPr>
      <w:rFonts w:ascii="Tw Cen MT" w:hAnsi="Tw Cen MT"/>
      <w:sz w:val="24"/>
    </w:rPr>
  </w:style>
  <w:style w:type="paragraph" w:styleId="Titre1">
    <w:name w:val="heading 1"/>
    <w:basedOn w:val="Normal"/>
    <w:next w:val="Normal"/>
    <w:link w:val="Titre1Car"/>
    <w:uiPriority w:val="2"/>
    <w:qFormat/>
    <w:rsid w:val="0080751E"/>
    <w:pPr>
      <w:keepNext/>
      <w:keepLines/>
      <w:numPr>
        <w:numId w:val="8"/>
      </w:numPr>
      <w:spacing w:before="240"/>
      <w:ind w:left="714" w:hanging="357"/>
      <w:outlineLvl w:val="0"/>
    </w:pPr>
    <w:rPr>
      <w:rFonts w:eastAsiaTheme="majorEastAsia" w:cstheme="majorBidi"/>
      <w:b/>
      <w:color w:val="634D4D"/>
      <w:sz w:val="32"/>
      <w:szCs w:val="32"/>
    </w:rPr>
  </w:style>
  <w:style w:type="paragraph" w:styleId="Titre2">
    <w:name w:val="heading 2"/>
    <w:basedOn w:val="Normal"/>
    <w:next w:val="Normal"/>
    <w:link w:val="Titre2Car"/>
    <w:uiPriority w:val="2"/>
    <w:unhideWhenUsed/>
    <w:qFormat/>
    <w:rsid w:val="00E920A2"/>
    <w:pPr>
      <w:keepNext/>
      <w:keepLines/>
      <w:numPr>
        <w:numId w:val="9"/>
      </w:numPr>
      <w:spacing w:before="40"/>
      <w:outlineLvl w:val="1"/>
    </w:pPr>
    <w:rPr>
      <w:rFonts w:asciiTheme="majorHAnsi" w:eastAsiaTheme="majorEastAsia" w:hAnsiTheme="majorHAnsi" w:cstheme="majorBidi"/>
      <w:b/>
      <w:color w:val="634D4D"/>
      <w:sz w:val="26"/>
      <w:szCs w:val="26"/>
    </w:rPr>
  </w:style>
  <w:style w:type="paragraph" w:styleId="Titre3">
    <w:name w:val="heading 3"/>
    <w:basedOn w:val="Normal"/>
    <w:next w:val="Normal"/>
    <w:link w:val="Titre3Car"/>
    <w:uiPriority w:val="2"/>
    <w:unhideWhenUsed/>
    <w:qFormat/>
    <w:rsid w:val="00E8119A"/>
    <w:pPr>
      <w:keepNext/>
      <w:keepLines/>
      <w:numPr>
        <w:numId w:val="10"/>
      </w:numPr>
      <w:spacing w:before="40"/>
      <w:ind w:left="1068"/>
      <w:outlineLvl w:val="2"/>
    </w:pPr>
    <w:rPr>
      <w:rFonts w:eastAsiaTheme="majorEastAsia" w:cstheme="majorBidi"/>
      <w:color w:val="CCA876"/>
      <w:szCs w:val="24"/>
    </w:rPr>
  </w:style>
  <w:style w:type="paragraph" w:styleId="Titre4">
    <w:name w:val="heading 4"/>
    <w:basedOn w:val="Normal"/>
    <w:next w:val="Normal"/>
    <w:link w:val="Titre4Car"/>
    <w:uiPriority w:val="2"/>
    <w:unhideWhenUsed/>
    <w:qFormat/>
    <w:rsid w:val="00832982"/>
    <w:pPr>
      <w:keepNext/>
      <w:keepLines/>
      <w:numPr>
        <w:numId w:val="13"/>
      </w:numPr>
      <w:spacing w:before="40"/>
      <w:outlineLvl w:val="3"/>
    </w:pPr>
    <w:rPr>
      <w:rFonts w:eastAsiaTheme="majorEastAsia" w:cstheme="majorBidi"/>
      <w:iCs/>
      <w:color w:val="CCA876"/>
    </w:rPr>
  </w:style>
  <w:style w:type="paragraph" w:styleId="Titre5">
    <w:name w:val="heading 5"/>
    <w:basedOn w:val="Normal"/>
    <w:next w:val="Normal"/>
    <w:link w:val="Titre5Car"/>
    <w:uiPriority w:val="2"/>
    <w:unhideWhenUsed/>
    <w:qFormat/>
    <w:rsid w:val="00DA2D28"/>
    <w:pPr>
      <w:keepNext/>
      <w:keepLines/>
      <w:spacing w:before="40"/>
      <w:outlineLvl w:val="4"/>
    </w:pPr>
    <w:rPr>
      <w:rFonts w:eastAsiaTheme="majorEastAsia" w:cstheme="majorBidi"/>
      <w:color w:val="CCA876"/>
    </w:rPr>
  </w:style>
  <w:style w:type="paragraph" w:styleId="Titre6">
    <w:name w:val="heading 6"/>
    <w:basedOn w:val="Normal"/>
    <w:next w:val="Normal"/>
    <w:link w:val="Titre6Car"/>
    <w:uiPriority w:val="2"/>
    <w:unhideWhenUsed/>
    <w:qFormat/>
    <w:rsid w:val="00DA2D28"/>
    <w:pPr>
      <w:keepNext/>
      <w:keepLines/>
      <w:spacing w:before="40"/>
      <w:outlineLvl w:val="5"/>
    </w:pPr>
    <w:rPr>
      <w:rFonts w:eastAsiaTheme="majorEastAsia" w:cstheme="majorBidi"/>
      <w:color w:val="CCA87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rsid w:val="00F539E4"/>
    <w:rPr>
      <w:b/>
      <w:bCs/>
    </w:rPr>
  </w:style>
  <w:style w:type="paragraph" w:styleId="NormalWeb">
    <w:name w:val="Normal (Web)"/>
    <w:basedOn w:val="Normal"/>
    <w:uiPriority w:val="99"/>
    <w:semiHidden/>
    <w:unhideWhenUsed/>
    <w:rsid w:val="00F539E4"/>
    <w:pPr>
      <w:spacing w:before="100" w:beforeAutospacing="1" w:after="100" w:afterAutospacing="1" w:line="240" w:lineRule="auto"/>
    </w:pPr>
    <w:rPr>
      <w:rFonts w:ascii="Times New Roman" w:eastAsia="Times New Roman" w:hAnsi="Times New Roman" w:cs="Times New Roman"/>
      <w:szCs w:val="24"/>
      <w:lang w:eastAsia="fr-FR"/>
    </w:rPr>
  </w:style>
  <w:style w:type="character" w:styleId="Lienhypertexte">
    <w:name w:val="Hyperlink"/>
    <w:basedOn w:val="Policepardfaut"/>
    <w:uiPriority w:val="99"/>
    <w:unhideWhenUsed/>
    <w:rsid w:val="00F539E4"/>
    <w:rPr>
      <w:color w:val="0000FF"/>
      <w:u w:val="single"/>
    </w:rPr>
  </w:style>
  <w:style w:type="character" w:styleId="Accentuation">
    <w:name w:val="Emphasis"/>
    <w:basedOn w:val="Policepardfaut"/>
    <w:uiPriority w:val="20"/>
    <w:rsid w:val="00F539E4"/>
    <w:rPr>
      <w:i/>
      <w:iCs/>
    </w:rPr>
  </w:style>
  <w:style w:type="table" w:styleId="TableauListe7Couleur">
    <w:name w:val="List Table 7 Colorful"/>
    <w:basedOn w:val="TableauNormal"/>
    <w:uiPriority w:val="52"/>
    <w:rsid w:val="00F539E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F539E4"/>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Grille3">
    <w:name w:val="Grid Table 3"/>
    <w:basedOn w:val="TableauNormal"/>
    <w:uiPriority w:val="48"/>
    <w:rsid w:val="00F539E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2-Accentuation2">
    <w:name w:val="Grid Table 2 Accent 2"/>
    <w:basedOn w:val="TableauNormal"/>
    <w:uiPriority w:val="47"/>
    <w:rsid w:val="00F539E4"/>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Grille2">
    <w:name w:val="Grid Table 2"/>
    <w:basedOn w:val="TableauNormal"/>
    <w:uiPriority w:val="47"/>
    <w:rsid w:val="00F539E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3">
    <w:name w:val="Grid Table 2 Accent 3"/>
    <w:basedOn w:val="TableauNormal"/>
    <w:uiPriority w:val="47"/>
    <w:rsid w:val="00F539E4"/>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En-tte">
    <w:name w:val="header"/>
    <w:basedOn w:val="Normal"/>
    <w:link w:val="En-tteCar"/>
    <w:uiPriority w:val="99"/>
    <w:unhideWhenUsed/>
    <w:rsid w:val="00DA69BE"/>
    <w:pPr>
      <w:tabs>
        <w:tab w:val="center" w:pos="4536"/>
        <w:tab w:val="right" w:pos="9072"/>
      </w:tabs>
      <w:spacing w:line="240" w:lineRule="auto"/>
    </w:pPr>
  </w:style>
  <w:style w:type="character" w:customStyle="1" w:styleId="En-tteCar">
    <w:name w:val="En-tête Car"/>
    <w:basedOn w:val="Policepardfaut"/>
    <w:link w:val="En-tte"/>
    <w:uiPriority w:val="99"/>
    <w:rsid w:val="00DA69BE"/>
  </w:style>
  <w:style w:type="paragraph" w:styleId="Pieddepage">
    <w:name w:val="footer"/>
    <w:basedOn w:val="Normal"/>
    <w:link w:val="PieddepageCar"/>
    <w:uiPriority w:val="99"/>
    <w:unhideWhenUsed/>
    <w:rsid w:val="00DA69BE"/>
    <w:pPr>
      <w:tabs>
        <w:tab w:val="center" w:pos="4536"/>
        <w:tab w:val="right" w:pos="9072"/>
      </w:tabs>
      <w:spacing w:line="240" w:lineRule="auto"/>
    </w:pPr>
  </w:style>
  <w:style w:type="character" w:customStyle="1" w:styleId="PieddepageCar">
    <w:name w:val="Pied de page Car"/>
    <w:basedOn w:val="Policepardfaut"/>
    <w:link w:val="Pieddepage"/>
    <w:uiPriority w:val="99"/>
    <w:rsid w:val="00DA69BE"/>
  </w:style>
  <w:style w:type="paragraph" w:styleId="Titre">
    <w:name w:val="Title"/>
    <w:basedOn w:val="Normal"/>
    <w:next w:val="Normal"/>
    <w:link w:val="TitreCar"/>
    <w:uiPriority w:val="2"/>
    <w:qFormat/>
    <w:rsid w:val="00DA69BE"/>
    <w:pPr>
      <w:spacing w:line="240" w:lineRule="auto"/>
      <w:contextualSpacing/>
    </w:pPr>
    <w:rPr>
      <w:rFonts w:eastAsiaTheme="majorEastAsia" w:cstheme="majorBidi"/>
      <w:b/>
      <w:color w:val="92754C"/>
      <w:spacing w:val="-10"/>
      <w:kern w:val="28"/>
      <w:sz w:val="56"/>
      <w:szCs w:val="56"/>
    </w:rPr>
  </w:style>
  <w:style w:type="character" w:customStyle="1" w:styleId="TitreCar">
    <w:name w:val="Titre Car"/>
    <w:basedOn w:val="Policepardfaut"/>
    <w:link w:val="Titre"/>
    <w:uiPriority w:val="2"/>
    <w:rsid w:val="0080751E"/>
    <w:rPr>
      <w:rFonts w:ascii="Tw Cen MT" w:eastAsiaTheme="majorEastAsia" w:hAnsi="Tw Cen MT" w:cstheme="majorBidi"/>
      <w:b/>
      <w:color w:val="92754C"/>
      <w:spacing w:val="-10"/>
      <w:kern w:val="28"/>
      <w:sz w:val="56"/>
      <w:szCs w:val="56"/>
    </w:rPr>
  </w:style>
  <w:style w:type="character" w:customStyle="1" w:styleId="Titre1Car">
    <w:name w:val="Titre 1 Car"/>
    <w:basedOn w:val="Policepardfaut"/>
    <w:link w:val="Titre1"/>
    <w:uiPriority w:val="2"/>
    <w:rsid w:val="0080751E"/>
    <w:rPr>
      <w:rFonts w:ascii="Tw Cen MT" w:eastAsiaTheme="majorEastAsia" w:hAnsi="Tw Cen MT" w:cstheme="majorBidi"/>
      <w:b/>
      <w:color w:val="634D4D"/>
      <w:sz w:val="32"/>
      <w:szCs w:val="32"/>
    </w:rPr>
  </w:style>
  <w:style w:type="character" w:customStyle="1" w:styleId="Titre2Car">
    <w:name w:val="Titre 2 Car"/>
    <w:basedOn w:val="Policepardfaut"/>
    <w:link w:val="Titre2"/>
    <w:uiPriority w:val="2"/>
    <w:rsid w:val="0080751E"/>
    <w:rPr>
      <w:rFonts w:asciiTheme="majorHAnsi" w:eastAsiaTheme="majorEastAsia" w:hAnsiTheme="majorHAnsi" w:cstheme="majorBidi"/>
      <w:b/>
      <w:color w:val="634D4D"/>
      <w:sz w:val="26"/>
      <w:szCs w:val="26"/>
    </w:rPr>
  </w:style>
  <w:style w:type="character" w:customStyle="1" w:styleId="Titre3Car">
    <w:name w:val="Titre 3 Car"/>
    <w:basedOn w:val="Policepardfaut"/>
    <w:link w:val="Titre3"/>
    <w:uiPriority w:val="2"/>
    <w:rsid w:val="0080751E"/>
    <w:rPr>
      <w:rFonts w:ascii="Tw Cen MT" w:eastAsiaTheme="majorEastAsia" w:hAnsi="Tw Cen MT" w:cstheme="majorBidi"/>
      <w:color w:val="CCA876"/>
      <w:sz w:val="24"/>
      <w:szCs w:val="24"/>
    </w:rPr>
  </w:style>
  <w:style w:type="character" w:customStyle="1" w:styleId="Titre4Car">
    <w:name w:val="Titre 4 Car"/>
    <w:basedOn w:val="Policepardfaut"/>
    <w:link w:val="Titre4"/>
    <w:uiPriority w:val="2"/>
    <w:rsid w:val="0080751E"/>
    <w:rPr>
      <w:rFonts w:ascii="Tw Cen MT" w:eastAsiaTheme="majorEastAsia" w:hAnsi="Tw Cen MT" w:cstheme="majorBidi"/>
      <w:iCs/>
      <w:color w:val="CCA876"/>
      <w:sz w:val="24"/>
    </w:rPr>
  </w:style>
  <w:style w:type="character" w:customStyle="1" w:styleId="Titre5Car">
    <w:name w:val="Titre 5 Car"/>
    <w:basedOn w:val="Policepardfaut"/>
    <w:link w:val="Titre5"/>
    <w:uiPriority w:val="2"/>
    <w:rsid w:val="0080751E"/>
    <w:rPr>
      <w:rFonts w:ascii="Tw Cen MT" w:eastAsiaTheme="majorEastAsia" w:hAnsi="Tw Cen MT" w:cstheme="majorBidi"/>
      <w:color w:val="CCA876"/>
      <w:sz w:val="24"/>
    </w:rPr>
  </w:style>
  <w:style w:type="paragraph" w:styleId="Paragraphedeliste">
    <w:name w:val="List Paragraph"/>
    <w:basedOn w:val="Normal"/>
    <w:uiPriority w:val="34"/>
    <w:qFormat/>
    <w:rsid w:val="000C04C2"/>
    <w:pPr>
      <w:ind w:left="720"/>
      <w:contextualSpacing/>
    </w:pPr>
  </w:style>
  <w:style w:type="character" w:customStyle="1" w:styleId="Titre6Car">
    <w:name w:val="Titre 6 Car"/>
    <w:basedOn w:val="Policepardfaut"/>
    <w:link w:val="Titre6"/>
    <w:uiPriority w:val="2"/>
    <w:rsid w:val="0080751E"/>
    <w:rPr>
      <w:rFonts w:ascii="Tw Cen MT" w:eastAsiaTheme="majorEastAsia" w:hAnsi="Tw Cen MT" w:cstheme="majorBidi"/>
      <w:color w:val="CCA876"/>
      <w:sz w:val="24"/>
    </w:rPr>
  </w:style>
  <w:style w:type="character" w:styleId="Rfrencelgre">
    <w:name w:val="Subtle Reference"/>
    <w:basedOn w:val="Policepardfaut"/>
    <w:uiPriority w:val="31"/>
    <w:rsid w:val="00AC6406"/>
    <w:rPr>
      <w:smallCaps/>
      <w:color w:val="5A5A5A" w:themeColor="text1" w:themeTint="A5"/>
    </w:rPr>
  </w:style>
  <w:style w:type="character" w:styleId="Accentuationintense">
    <w:name w:val="Intense Emphasis"/>
    <w:basedOn w:val="Policepardfaut"/>
    <w:uiPriority w:val="21"/>
    <w:rsid w:val="00AC6406"/>
    <w:rPr>
      <w:i/>
      <w:iCs/>
      <w:color w:val="4472C4" w:themeColor="accent1"/>
    </w:rPr>
  </w:style>
  <w:style w:type="paragraph" w:styleId="Sous-titre">
    <w:name w:val="Subtitle"/>
    <w:basedOn w:val="Normal"/>
    <w:next w:val="Normal"/>
    <w:link w:val="Sous-titreCar"/>
    <w:uiPriority w:val="11"/>
    <w:qFormat/>
    <w:rsid w:val="00AC6406"/>
    <w:pPr>
      <w:numPr>
        <w:ilvl w:val="1"/>
      </w:numPr>
      <w:spacing w:after="160"/>
    </w:pPr>
    <w:rPr>
      <w:rFonts w:eastAsiaTheme="minorEastAsia"/>
      <w:color w:val="5A5A5A" w:themeColor="text1" w:themeTint="A5"/>
      <w:spacing w:val="15"/>
      <w:sz w:val="22"/>
    </w:rPr>
  </w:style>
  <w:style w:type="character" w:customStyle="1" w:styleId="Sous-titreCar">
    <w:name w:val="Sous-titre Car"/>
    <w:basedOn w:val="Policepardfaut"/>
    <w:link w:val="Sous-titre"/>
    <w:uiPriority w:val="11"/>
    <w:rsid w:val="00AC6406"/>
    <w:rPr>
      <w:rFonts w:ascii="Tw Cen MT" w:eastAsiaTheme="minorEastAsia" w:hAnsi="Tw Cen MT"/>
      <w:color w:val="5A5A5A" w:themeColor="text1" w:themeTint="A5"/>
      <w:spacing w:val="15"/>
    </w:rPr>
  </w:style>
  <w:style w:type="character" w:styleId="Numrodepage">
    <w:name w:val="page number"/>
    <w:uiPriority w:val="11"/>
    <w:rsid w:val="00114AF3"/>
    <w:rPr>
      <w:rFonts w:cs="Times New Roman"/>
    </w:rPr>
  </w:style>
  <w:style w:type="character" w:styleId="Mentionnonrsolue">
    <w:name w:val="Unresolved Mention"/>
    <w:basedOn w:val="Policepardfaut"/>
    <w:uiPriority w:val="99"/>
    <w:semiHidden/>
    <w:unhideWhenUsed/>
    <w:rsid w:val="00114AF3"/>
    <w:rPr>
      <w:color w:val="605E5C"/>
      <w:shd w:val="clear" w:color="auto" w:fill="E1DFDD"/>
    </w:rPr>
  </w:style>
  <w:style w:type="paragraph" w:customStyle="1" w:styleId="Titrenonnumrot">
    <w:name w:val="Titre non numéroté"/>
    <w:basedOn w:val="Titre1"/>
    <w:qFormat/>
    <w:rsid w:val="00E920A2"/>
    <w:pPr>
      <w:numPr>
        <w:numId w:val="0"/>
      </w:numPr>
    </w:pPr>
    <w:rPr>
      <w:color w:val="B03434"/>
    </w:rPr>
  </w:style>
  <w:style w:type="paragraph" w:customStyle="1" w:styleId="Corrig">
    <w:name w:val="Corrigé"/>
    <w:basedOn w:val="Normal"/>
    <w:uiPriority w:val="10"/>
    <w:qFormat/>
    <w:rsid w:val="00D83194"/>
    <w:rPr>
      <w:color w:val="B03434"/>
    </w:rPr>
  </w:style>
  <w:style w:type="paragraph" w:customStyle="1" w:styleId="Professeur">
    <w:name w:val="Professeur"/>
    <w:basedOn w:val="Normal"/>
    <w:uiPriority w:val="10"/>
    <w:qFormat/>
    <w:rsid w:val="00D83194"/>
    <w:rPr>
      <w:color w:val="70AD47" w:themeColor="accent6"/>
    </w:rPr>
  </w:style>
  <w:style w:type="paragraph" w:customStyle="1" w:styleId="Sous-titrenonnumrot">
    <w:name w:val="Sous-titre non numéroté"/>
    <w:basedOn w:val="Titrenonnumrot"/>
    <w:qFormat/>
    <w:rsid w:val="0080751E"/>
    <w:pPr>
      <w:spacing w:before="120"/>
    </w:pPr>
    <w:rPr>
      <w:b w:val="0"/>
    </w:rPr>
  </w:style>
  <w:style w:type="table" w:styleId="Grilledutableau">
    <w:name w:val="Table Grid"/>
    <w:basedOn w:val="TableauNormal"/>
    <w:uiPriority w:val="39"/>
    <w:rsid w:val="00351C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A42CA7"/>
    <w:pPr>
      <w:spacing w:line="240" w:lineRule="auto"/>
    </w:pPr>
    <w:rPr>
      <w:rFonts w:ascii="Calibri" w:eastAsia="Times New Roman" w:hAnsi="Calibri" w:cs="Times New Roman"/>
      <w:sz w:val="20"/>
      <w:szCs w:val="20"/>
      <w:lang w:eastAsia="fr-FR"/>
    </w:rPr>
  </w:style>
  <w:style w:type="character" w:customStyle="1" w:styleId="NotedebasdepageCar">
    <w:name w:val="Note de bas de page Car"/>
    <w:basedOn w:val="Policepardfaut"/>
    <w:link w:val="Notedebasdepage"/>
    <w:uiPriority w:val="99"/>
    <w:semiHidden/>
    <w:rsid w:val="00A42CA7"/>
    <w:rPr>
      <w:rFonts w:ascii="Calibri" w:eastAsia="Times New Roman" w:hAnsi="Calibri" w:cs="Times New Roman"/>
      <w:sz w:val="20"/>
      <w:szCs w:val="20"/>
      <w:lang w:eastAsia="fr-FR"/>
    </w:rPr>
  </w:style>
  <w:style w:type="character" w:styleId="Appelnotedebasdep">
    <w:name w:val="footnote reference"/>
    <w:basedOn w:val="Policepardfaut"/>
    <w:uiPriority w:val="99"/>
    <w:semiHidden/>
    <w:unhideWhenUsed/>
    <w:rsid w:val="00A42C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278273">
      <w:bodyDiv w:val="1"/>
      <w:marLeft w:val="0"/>
      <w:marRight w:val="0"/>
      <w:marTop w:val="0"/>
      <w:marBottom w:val="0"/>
      <w:divBdr>
        <w:top w:val="none" w:sz="0" w:space="0" w:color="auto"/>
        <w:left w:val="none" w:sz="0" w:space="0" w:color="auto"/>
        <w:bottom w:val="none" w:sz="0" w:space="0" w:color="auto"/>
        <w:right w:val="none" w:sz="0" w:space="0" w:color="auto"/>
      </w:divBdr>
    </w:div>
    <w:div w:id="922497115">
      <w:bodyDiv w:val="1"/>
      <w:marLeft w:val="0"/>
      <w:marRight w:val="0"/>
      <w:marTop w:val="0"/>
      <w:marBottom w:val="0"/>
      <w:divBdr>
        <w:top w:val="none" w:sz="0" w:space="0" w:color="auto"/>
        <w:left w:val="none" w:sz="0" w:space="0" w:color="auto"/>
        <w:bottom w:val="none" w:sz="0" w:space="0" w:color="auto"/>
        <w:right w:val="none" w:sz="0" w:space="0" w:color="auto"/>
      </w:divBdr>
    </w:div>
    <w:div w:id="1244874081">
      <w:bodyDiv w:val="1"/>
      <w:marLeft w:val="0"/>
      <w:marRight w:val="0"/>
      <w:marTop w:val="0"/>
      <w:marBottom w:val="0"/>
      <w:divBdr>
        <w:top w:val="none" w:sz="0" w:space="0" w:color="auto"/>
        <w:left w:val="none" w:sz="0" w:space="0" w:color="auto"/>
        <w:bottom w:val="none" w:sz="0" w:space="0" w:color="auto"/>
        <w:right w:val="none" w:sz="0" w:space="0" w:color="auto"/>
      </w:divBdr>
    </w:div>
    <w:div w:id="149980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fmart\Desktop\LF_2025.docx"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gifrance.gouv.fr/jorf/id/JORFTEXT000051168007" TargetMode="Externa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file:///C:\Users\fmart\Desktop\LF_2025.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C:\Users\fmart\Desktop\LF_2025.docx"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C:\Users\fmart\Desktop\LF_2025.docx" TargetMode="External"/><Relationship Id="rId14" Type="http://schemas.openxmlformats.org/officeDocument/2006/relationships/hyperlink" Target="#DEBUT"/></Relationships>
</file>

<file path=word/_rels/footer1.xml.rels><?xml version="1.0" encoding="UTF-8" standalone="yes"?>
<Relationships xmlns="http://schemas.openxmlformats.org/package/2006/relationships"><Relationship Id="rId3" Type="http://schemas.openxmlformats.org/officeDocument/2006/relationships/hyperlink" Target="https://www.crcf-edu.fr/" TargetMode="External"/><Relationship Id="rId2" Type="http://schemas.openxmlformats.org/officeDocument/2006/relationships/image" Target="media/image7.png"/><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3" Type="http://schemas.openxmlformats.org/officeDocument/2006/relationships/hyperlink" Target="https://www.crcf-edu.fr/" TargetMode="External"/><Relationship Id="rId2" Type="http://schemas.openxmlformats.org/officeDocument/2006/relationships/image" Target="media/image7.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gi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art\T&#233;l&#233;chargements\Mod&#232;le%20document%20vierg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Modèle document vierge.dotx</Template>
  <TotalTime>532</TotalTime>
  <Pages>10</Pages>
  <Words>3216</Words>
  <Characters>17693</Characters>
  <Application>Microsoft Office Word</Application>
  <DocSecurity>0</DocSecurity>
  <Lines>147</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fmarty</dc:creator>
  <cp:keywords/>
  <dc:description/>
  <cp:lastModifiedBy>françois MARTY</cp:lastModifiedBy>
  <cp:revision>4</cp:revision>
  <dcterms:created xsi:type="dcterms:W3CDTF">2025-03-10T16:42:00Z</dcterms:created>
  <dcterms:modified xsi:type="dcterms:W3CDTF">2025-03-11T08:26:00Z</dcterms:modified>
</cp:coreProperties>
</file>