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97F" w:rsidRPr="00E85C04" w:rsidRDefault="00662F9E" w:rsidP="00C2424A">
      <w:pPr>
        <w:spacing w:after="60"/>
        <w:jc w:val="left"/>
        <w:rPr>
          <w:rFonts w:ascii="Arial Black" w:hAnsi="Arial Black"/>
          <w:b/>
          <w:sz w:val="28"/>
        </w:rPr>
      </w:pPr>
      <w:r>
        <w:rPr>
          <w:b/>
          <w:bCs/>
          <w:noProof/>
        </w:rPr>
        <w:drawing>
          <wp:anchor distT="0" distB="0" distL="144145" distR="144145" simplePos="0" relativeHeight="251657728" behindDoc="0" locked="0" layoutInCell="1" allowOverlap="0">
            <wp:simplePos x="0" y="0"/>
            <wp:positionH relativeFrom="column">
              <wp:posOffset>1905</wp:posOffset>
            </wp:positionH>
            <wp:positionV relativeFrom="paragraph">
              <wp:posOffset>177800</wp:posOffset>
            </wp:positionV>
            <wp:extent cx="746760" cy="84455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1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BC297F" w:rsidRPr="00E85C04">
        <w:rPr>
          <w:rFonts w:ascii="Arial Black" w:hAnsi="Arial Black"/>
          <w:b/>
          <w:sz w:val="24"/>
        </w:rPr>
        <w:t xml:space="preserve">Centre de </w:t>
      </w:r>
      <w:r w:rsidR="00E85C04" w:rsidRPr="00E85C04">
        <w:rPr>
          <w:rFonts w:ascii="Arial Black" w:hAnsi="Arial Black"/>
          <w:b/>
          <w:sz w:val="24"/>
        </w:rPr>
        <w:t>R</w:t>
      </w:r>
      <w:r w:rsidR="00BC297F" w:rsidRPr="00E85C04">
        <w:rPr>
          <w:rFonts w:ascii="Arial Black" w:hAnsi="Arial Black"/>
          <w:b/>
          <w:sz w:val="24"/>
        </w:rPr>
        <w:t xml:space="preserve">essources </w:t>
      </w:r>
      <w:r w:rsidR="00C2424A">
        <w:rPr>
          <w:rFonts w:ascii="Arial Black" w:hAnsi="Arial Black"/>
          <w:b/>
          <w:sz w:val="24"/>
        </w:rPr>
        <w:br/>
      </w:r>
      <w:r w:rsidR="00E85C04" w:rsidRPr="00E85C04">
        <w:rPr>
          <w:rFonts w:ascii="Arial Black" w:hAnsi="Arial Black"/>
          <w:b/>
          <w:sz w:val="24"/>
        </w:rPr>
        <w:t>C</w:t>
      </w:r>
      <w:r w:rsidR="00BC297F" w:rsidRPr="00E85C04">
        <w:rPr>
          <w:rFonts w:ascii="Arial Black" w:hAnsi="Arial Black"/>
          <w:b/>
          <w:sz w:val="24"/>
        </w:rPr>
        <w:t xml:space="preserve">omptabilité </w:t>
      </w:r>
      <w:r w:rsidR="00E85C04" w:rsidRPr="00E85C04">
        <w:rPr>
          <w:rFonts w:ascii="Arial Black" w:hAnsi="Arial Black"/>
          <w:b/>
          <w:sz w:val="24"/>
        </w:rPr>
        <w:t>F</w:t>
      </w:r>
      <w:r w:rsidR="00BC297F" w:rsidRPr="00E85C04">
        <w:rPr>
          <w:rFonts w:ascii="Arial Black" w:hAnsi="Arial Black"/>
          <w:b/>
          <w:sz w:val="24"/>
        </w:rPr>
        <w:t>inance</w:t>
      </w:r>
    </w:p>
    <w:p w:rsidR="00494661" w:rsidRPr="004563F0" w:rsidRDefault="00494661" w:rsidP="00AA3015">
      <w:pPr>
        <w:rPr>
          <w:sz w:val="20"/>
        </w:rPr>
      </w:pPr>
      <w:r w:rsidRPr="004563F0">
        <w:rPr>
          <w:sz w:val="20"/>
        </w:rPr>
        <w:t>Lycée MARIE CURIE</w:t>
      </w:r>
    </w:p>
    <w:p w:rsidR="004563F0" w:rsidRPr="004563F0" w:rsidRDefault="00494661" w:rsidP="00AA3015">
      <w:pPr>
        <w:rPr>
          <w:sz w:val="20"/>
        </w:rPr>
      </w:pPr>
      <w:r w:rsidRPr="004563F0">
        <w:rPr>
          <w:sz w:val="20"/>
        </w:rPr>
        <w:t xml:space="preserve">Avenue du 8 mai 1945 - BP 348 </w:t>
      </w:r>
    </w:p>
    <w:p w:rsidR="00BC297F" w:rsidRPr="004563F0" w:rsidRDefault="00494661" w:rsidP="00AA3015">
      <w:pPr>
        <w:rPr>
          <w:sz w:val="16"/>
        </w:rPr>
      </w:pPr>
      <w:r w:rsidRPr="004563F0">
        <w:rPr>
          <w:sz w:val="20"/>
        </w:rPr>
        <w:t>38435 ECHIROLLES cedex</w:t>
      </w:r>
    </w:p>
    <w:p w:rsidR="00BC297F" w:rsidRPr="00E85C04" w:rsidRDefault="0066592F" w:rsidP="00E96191">
      <w:pPr>
        <w:pStyle w:val="Liste"/>
        <w:numPr>
          <w:ilvl w:val="0"/>
          <w:numId w:val="0"/>
        </w:numPr>
        <w:ind w:left="284"/>
        <w:rPr>
          <w:lang w:val="nl-NL"/>
        </w:rPr>
      </w:pPr>
      <w:hyperlink r:id="rId9" w:history="1">
        <w:r w:rsidR="00E85C04" w:rsidRPr="00ED0EFA">
          <w:rPr>
            <w:rStyle w:val="Lienhypertexte"/>
            <w:b/>
            <w:sz w:val="18"/>
            <w:lang w:val="nl-NL"/>
          </w:rPr>
          <w:t>http://crcf.ac-grenoble.fr/</w:t>
        </w:r>
      </w:hyperlink>
    </w:p>
    <w:p w:rsidR="00C95349" w:rsidRDefault="00C95349" w:rsidP="00C95349">
      <w:bookmarkStart w:id="0" w:name="Intitulé"/>
    </w:p>
    <w:p w:rsidR="00C95349" w:rsidRDefault="00C95349" w:rsidP="00C95349"/>
    <w:p w:rsidR="00C95349" w:rsidRPr="00C95349" w:rsidRDefault="00C95349" w:rsidP="00C95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95349">
        <w:rPr>
          <w:rFonts w:asciiTheme="minorHAnsi" w:hAnsiTheme="minorHAnsi" w:cstheme="minorHAnsi"/>
          <w:b/>
          <w:sz w:val="36"/>
          <w:szCs w:val="36"/>
        </w:rPr>
        <w:t>Actualité comptable</w:t>
      </w:r>
    </w:p>
    <w:p w:rsidR="00C95349" w:rsidRDefault="00C95349" w:rsidP="00C95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C95349" w:rsidRDefault="0066592F" w:rsidP="00C95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eastAsia="Calibri" w:hAnsiTheme="minorHAnsi" w:cstheme="minorHAnsi"/>
          <w:color w:val="000000" w:themeColor="text1"/>
        </w:rPr>
      </w:pPr>
      <w:hyperlink r:id="rId10" w:history="1">
        <w:r w:rsidR="00C95349" w:rsidRPr="00AD73B7">
          <w:rPr>
            <w:rStyle w:val="Lienhypertexte"/>
            <w:rFonts w:asciiTheme="minorHAnsi" w:eastAsia="Calibri" w:hAnsiTheme="minorHAnsi" w:cstheme="minorHAnsi"/>
          </w:rPr>
          <w:t>Règlement ANC n°</w:t>
        </w:r>
        <w:r w:rsidR="005462AA">
          <w:rPr>
            <w:rStyle w:val="Lienhypertexte"/>
            <w:rFonts w:asciiTheme="minorHAnsi" w:eastAsia="Calibri" w:hAnsiTheme="minorHAnsi" w:cstheme="minorHAnsi"/>
          </w:rPr>
          <w:t xml:space="preserve"> 2019</w:t>
        </w:r>
        <w:r w:rsidR="00C95349" w:rsidRPr="00AD73B7">
          <w:rPr>
            <w:rStyle w:val="Lienhypertexte"/>
            <w:rFonts w:asciiTheme="minorHAnsi" w:eastAsia="Calibri" w:hAnsiTheme="minorHAnsi" w:cstheme="minorHAnsi"/>
          </w:rPr>
          <w:t>-0</w:t>
        </w:r>
        <w:r w:rsidR="00BB49A1">
          <w:rPr>
            <w:rStyle w:val="Lienhypertexte"/>
            <w:rFonts w:asciiTheme="minorHAnsi" w:eastAsia="Calibri" w:hAnsiTheme="minorHAnsi" w:cstheme="minorHAnsi"/>
          </w:rPr>
          <w:t>9</w:t>
        </w:r>
      </w:hyperlink>
      <w:r w:rsidR="00C95349" w:rsidRPr="00C95349">
        <w:rPr>
          <w:rFonts w:asciiTheme="minorHAnsi" w:eastAsia="Calibri" w:hAnsiTheme="minorHAnsi" w:cstheme="minorHAnsi"/>
          <w:color w:val="000000" w:themeColor="text1"/>
        </w:rPr>
        <w:t xml:space="preserve"> du </w:t>
      </w:r>
      <w:r w:rsidR="00BB49A1">
        <w:rPr>
          <w:rFonts w:asciiTheme="minorHAnsi" w:eastAsia="Calibri" w:hAnsiTheme="minorHAnsi" w:cstheme="minorHAnsi"/>
          <w:color w:val="000000" w:themeColor="text1"/>
        </w:rPr>
        <w:t xml:space="preserve">18 décembre </w:t>
      </w:r>
      <w:r w:rsidR="005462AA">
        <w:rPr>
          <w:rFonts w:asciiTheme="minorHAnsi" w:eastAsia="Calibri" w:hAnsiTheme="minorHAnsi" w:cstheme="minorHAnsi"/>
          <w:color w:val="000000" w:themeColor="text1"/>
        </w:rPr>
        <w:t>2019</w:t>
      </w:r>
      <w:r w:rsidR="00BB49A1">
        <w:t>relatif aux frais de formation</w:t>
      </w:r>
    </w:p>
    <w:p w:rsidR="00C95349" w:rsidRDefault="00C95349" w:rsidP="00C95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eastAsia="Calibri" w:hAnsiTheme="minorHAnsi" w:cstheme="minorHAnsi"/>
          <w:color w:val="000000" w:themeColor="text1"/>
        </w:rPr>
      </w:pPr>
    </w:p>
    <w:p w:rsidR="00C95349" w:rsidRPr="005462AA" w:rsidRDefault="005462AA" w:rsidP="00C95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eastAsia="Calibri" w:hAnsiTheme="minorHAnsi" w:cstheme="minorHAnsi"/>
          <w:color w:val="000000" w:themeColor="text1"/>
        </w:rPr>
      </w:pPr>
      <w:r w:rsidRPr="00C94276">
        <w:rPr>
          <w:rFonts w:asciiTheme="minorHAnsi" w:eastAsia="Calibri" w:hAnsiTheme="minorHAnsi" w:cstheme="minorHAnsi"/>
          <w:color w:val="000000" w:themeColor="text1"/>
        </w:rPr>
        <w:t>homologué par</w:t>
      </w:r>
      <w:r w:rsidR="00A27E60">
        <w:rPr>
          <w:rFonts w:asciiTheme="minorHAnsi" w:eastAsia="Calibri" w:hAnsiTheme="minorHAnsi" w:cstheme="minorHAnsi"/>
          <w:color w:val="000000" w:themeColor="text1"/>
        </w:rPr>
        <w:t xml:space="preserve"> </w:t>
      </w:r>
      <w:hyperlink r:id="rId11" w:history="1">
        <w:r w:rsidRPr="005462AA">
          <w:rPr>
            <w:rStyle w:val="Lienhypertexte"/>
            <w:rFonts w:asciiTheme="minorHAnsi" w:eastAsia="Calibri" w:hAnsiTheme="minorHAnsi" w:cstheme="minorHAnsi"/>
            <w:b/>
            <w:bCs/>
          </w:rPr>
          <w:t>arrêté du 2</w:t>
        </w:r>
        <w:r w:rsidR="00BB49A1">
          <w:rPr>
            <w:rStyle w:val="Lienhypertexte"/>
            <w:rFonts w:asciiTheme="minorHAnsi" w:eastAsia="Calibri" w:hAnsiTheme="minorHAnsi" w:cstheme="minorHAnsi"/>
            <w:b/>
            <w:bCs/>
          </w:rPr>
          <w:t>2 avril 2020</w:t>
        </w:r>
        <w:r w:rsidRPr="005462AA">
          <w:rPr>
            <w:rStyle w:val="Lienhypertexte"/>
            <w:rFonts w:asciiTheme="minorHAnsi" w:eastAsia="Calibri" w:hAnsiTheme="minorHAnsi" w:cstheme="minorHAnsi"/>
            <w:b/>
            <w:bCs/>
          </w:rPr>
          <w:t> </w:t>
        </w:r>
      </w:hyperlink>
      <w:r w:rsidR="00C94276">
        <w:t xml:space="preserve">et </w:t>
      </w:r>
      <w:r w:rsidR="00BB49A1" w:rsidRPr="00BB49A1">
        <w:rPr>
          <w:rFonts w:asciiTheme="minorHAnsi" w:eastAsia="Calibri" w:hAnsiTheme="minorHAnsi" w:cstheme="minorHAnsi"/>
          <w:color w:val="000000" w:themeColor="text1"/>
        </w:rPr>
        <w:t>publié au Journal Officiel du 30 avril 2020</w:t>
      </w:r>
    </w:p>
    <w:p w:rsidR="00C95349" w:rsidRPr="00C95349" w:rsidRDefault="00C95349" w:rsidP="00C95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57008E" w:rsidRDefault="0057008E" w:rsidP="00C95349"/>
    <w:p w:rsidR="005462AA" w:rsidRDefault="005462AA" w:rsidP="00C95349"/>
    <w:bookmarkEnd w:id="0"/>
    <w:p w:rsidR="00BB49A1" w:rsidRDefault="00C95349" w:rsidP="00BB49A1">
      <w:pPr>
        <w:spacing w:after="120" w:line="259" w:lineRule="auto"/>
        <w:rPr>
          <w:rFonts w:eastAsia="Calibri" w:cstheme="minorHAnsi"/>
          <w:bCs/>
          <w:color w:val="000000" w:themeColor="text1"/>
        </w:rPr>
      </w:pPr>
      <w:r w:rsidRPr="00BB49A1">
        <w:rPr>
          <w:rFonts w:eastAsia="Calibri" w:cstheme="minorHAnsi"/>
          <w:bCs/>
          <w:color w:val="000000" w:themeColor="text1"/>
        </w:rPr>
        <w:t>Le règlement ANC n° 201</w:t>
      </w:r>
      <w:r w:rsidR="005462AA" w:rsidRPr="00BB49A1">
        <w:rPr>
          <w:rFonts w:eastAsia="Calibri" w:cstheme="minorHAnsi"/>
          <w:bCs/>
          <w:color w:val="000000" w:themeColor="text1"/>
        </w:rPr>
        <w:t>9</w:t>
      </w:r>
      <w:r w:rsidRPr="00BB49A1">
        <w:rPr>
          <w:rFonts w:eastAsia="Calibri" w:cstheme="minorHAnsi"/>
          <w:bCs/>
          <w:color w:val="000000" w:themeColor="text1"/>
        </w:rPr>
        <w:t>-0</w:t>
      </w:r>
      <w:r w:rsidR="00BB49A1" w:rsidRPr="00BB49A1">
        <w:rPr>
          <w:rFonts w:eastAsia="Calibri" w:cstheme="minorHAnsi"/>
          <w:bCs/>
          <w:color w:val="000000" w:themeColor="text1"/>
        </w:rPr>
        <w:t>9</w:t>
      </w:r>
      <w:r w:rsidR="00BB49A1">
        <w:rPr>
          <w:rFonts w:eastAsia="Calibri" w:cstheme="minorHAnsi"/>
          <w:bCs/>
          <w:color w:val="000000" w:themeColor="text1"/>
        </w:rPr>
        <w:t> :</w:t>
      </w:r>
    </w:p>
    <w:p w:rsidR="005462AA" w:rsidRPr="00BB49A1" w:rsidRDefault="00BB49A1" w:rsidP="00323C9B">
      <w:pPr>
        <w:pStyle w:val="Paragraphedeliste"/>
        <w:numPr>
          <w:ilvl w:val="0"/>
          <w:numId w:val="9"/>
        </w:numPr>
        <w:spacing w:after="120" w:line="259" w:lineRule="auto"/>
        <w:rPr>
          <w:rFonts w:eastAsia="Calibri" w:cstheme="minorHAnsi"/>
          <w:bCs/>
          <w:color w:val="000000" w:themeColor="text1"/>
        </w:rPr>
      </w:pPr>
      <w:r w:rsidRPr="00BB49A1">
        <w:rPr>
          <w:rFonts w:eastAsia="Calibri" w:cstheme="minorHAnsi"/>
          <w:bCs/>
          <w:color w:val="000000" w:themeColor="text1"/>
        </w:rPr>
        <w:t>permet d’immobiliser sur option les frais externes de formation relatifs à la mise en service d’une immobilisation</w:t>
      </w:r>
    </w:p>
    <w:p w:rsidR="00BB49A1" w:rsidRPr="00BB49A1" w:rsidRDefault="00BB49A1" w:rsidP="00323C9B">
      <w:pPr>
        <w:pStyle w:val="Paragraphedeliste"/>
        <w:numPr>
          <w:ilvl w:val="0"/>
          <w:numId w:val="9"/>
        </w:numPr>
        <w:spacing w:after="120" w:line="259" w:lineRule="auto"/>
        <w:rPr>
          <w:rFonts w:eastAsia="Calibri" w:cstheme="minorHAnsi"/>
          <w:bCs/>
          <w:color w:val="000000" w:themeColor="text1"/>
        </w:rPr>
      </w:pPr>
      <w:r w:rsidRPr="00BB49A1">
        <w:rPr>
          <w:rFonts w:eastAsia="Calibri" w:cstheme="minorHAnsi"/>
          <w:bCs/>
          <w:color w:val="000000" w:themeColor="text1"/>
        </w:rPr>
        <w:t>liste les informations qui peuvent figurer en annexe relatives à la formation professionnelle</w:t>
      </w:r>
    </w:p>
    <w:p w:rsidR="00BB49A1" w:rsidRPr="00BB49A1" w:rsidRDefault="00BB49A1" w:rsidP="00323C9B">
      <w:pPr>
        <w:pStyle w:val="Paragraphedeliste"/>
        <w:numPr>
          <w:ilvl w:val="0"/>
          <w:numId w:val="9"/>
        </w:numPr>
        <w:spacing w:after="120" w:line="259" w:lineRule="auto"/>
        <w:rPr>
          <w:rFonts w:eastAsia="Calibri" w:cstheme="minorHAnsi"/>
          <w:bCs/>
          <w:color w:val="000000" w:themeColor="text1"/>
        </w:rPr>
      </w:pPr>
      <w:r w:rsidRPr="00BB49A1">
        <w:rPr>
          <w:rFonts w:eastAsia="Calibri" w:cstheme="minorHAnsi"/>
          <w:bCs/>
          <w:color w:val="000000" w:themeColor="text1"/>
        </w:rPr>
        <w:t>change le libellé du compte 6333</w:t>
      </w:r>
    </w:p>
    <w:p w:rsidR="00BB49A1" w:rsidRDefault="00BB49A1" w:rsidP="00BB49A1">
      <w:pPr>
        <w:spacing w:after="120" w:line="259" w:lineRule="auto"/>
        <w:rPr>
          <w:rFonts w:eastAsia="Calibri" w:cstheme="minorHAnsi"/>
          <w:bCs/>
          <w:color w:val="000000" w:themeColor="text1"/>
        </w:rPr>
      </w:pPr>
    </w:p>
    <w:p w:rsidR="00BB49A1" w:rsidRDefault="00BB49A1" w:rsidP="00BB49A1">
      <w:pPr>
        <w:spacing w:after="120" w:line="259" w:lineRule="auto"/>
        <w:rPr>
          <w:rFonts w:eastAsia="Calibri" w:cstheme="minorHAnsi"/>
          <w:bCs/>
          <w:color w:val="000000" w:themeColor="text1"/>
        </w:rPr>
      </w:pPr>
      <w:r>
        <w:rPr>
          <w:rFonts w:eastAsia="Calibri" w:cstheme="minorHAnsi"/>
          <w:bCs/>
          <w:color w:val="000000" w:themeColor="text1"/>
        </w:rPr>
        <w:t>Il entre en vigueur au lendemain de sa publication, c’est à dire pour les exercices clos à compter du 1</w:t>
      </w:r>
      <w:r w:rsidRPr="00BB49A1">
        <w:rPr>
          <w:rFonts w:eastAsia="Calibri" w:cstheme="minorHAnsi"/>
          <w:bCs/>
          <w:color w:val="000000" w:themeColor="text1"/>
          <w:vertAlign w:val="superscript"/>
        </w:rPr>
        <w:t>er</w:t>
      </w:r>
      <w:r>
        <w:rPr>
          <w:rFonts w:eastAsia="Calibri" w:cstheme="minorHAnsi"/>
          <w:bCs/>
          <w:color w:val="000000" w:themeColor="text1"/>
        </w:rPr>
        <w:t xml:space="preserve"> mai 2020.</w:t>
      </w:r>
    </w:p>
    <w:p w:rsidR="00C94276" w:rsidRDefault="00C94276" w:rsidP="00BB49A1">
      <w:pPr>
        <w:spacing w:after="120" w:line="259" w:lineRule="auto"/>
        <w:rPr>
          <w:rFonts w:eastAsia="Calibri" w:cstheme="minorHAnsi"/>
          <w:bCs/>
          <w:color w:val="000000" w:themeColor="text1"/>
        </w:rPr>
      </w:pPr>
    </w:p>
    <w:p w:rsidR="001159E9" w:rsidRDefault="001159E9" w:rsidP="00BB49A1">
      <w:pPr>
        <w:spacing w:after="120" w:line="259" w:lineRule="auto"/>
        <w:rPr>
          <w:rFonts w:eastAsia="Calibri" w:cstheme="minorHAnsi"/>
          <w:bCs/>
          <w:color w:val="000000" w:themeColor="text1"/>
        </w:rPr>
      </w:pPr>
    </w:p>
    <w:p w:rsidR="003E38E9" w:rsidRPr="00AD73B7" w:rsidRDefault="003E38E9" w:rsidP="003E38E9">
      <w:pPr>
        <w:rPr>
          <w:rFonts w:asciiTheme="minorHAnsi" w:hAnsiTheme="minorHAnsi" w:cstheme="minorHAnsi"/>
          <w:b/>
          <w:szCs w:val="22"/>
          <w:u w:val="single"/>
        </w:rPr>
      </w:pPr>
      <w:r w:rsidRPr="00AD73B7">
        <w:rPr>
          <w:rFonts w:asciiTheme="minorHAnsi" w:hAnsiTheme="minorHAnsi" w:cstheme="minorHAnsi"/>
          <w:b/>
          <w:szCs w:val="22"/>
          <w:u w:val="single"/>
        </w:rPr>
        <w:t>Sommaire</w:t>
      </w:r>
    </w:p>
    <w:p w:rsidR="003E38E9" w:rsidRDefault="003E38E9" w:rsidP="003E38E9">
      <w:pPr>
        <w:spacing w:line="259" w:lineRule="auto"/>
      </w:pPr>
    </w:p>
    <w:p w:rsidR="001159E9" w:rsidRPr="001159E9" w:rsidRDefault="001159E9" w:rsidP="001159E9">
      <w:pPr>
        <w:pStyle w:val="Paragraphedeliste"/>
        <w:numPr>
          <w:ilvl w:val="0"/>
          <w:numId w:val="8"/>
        </w:numPr>
        <w:spacing w:after="120" w:line="259" w:lineRule="auto"/>
        <w:ind w:left="714" w:hanging="357"/>
        <w:contextualSpacing w:val="0"/>
        <w:jc w:val="both"/>
        <w:rPr>
          <w:rFonts w:eastAsia="Calibri" w:cstheme="minorHAnsi"/>
          <w:color w:val="000000" w:themeColor="text1"/>
        </w:rPr>
      </w:pPr>
      <w:r w:rsidRPr="001159E9">
        <w:rPr>
          <w:rFonts w:eastAsia="Calibri" w:cstheme="minorHAnsi"/>
          <w:color w:val="000000" w:themeColor="text1"/>
        </w:rPr>
        <w:t xml:space="preserve">Immobilisation de certains frais de formation </w:t>
      </w:r>
    </w:p>
    <w:p w:rsidR="001159E9" w:rsidRPr="001159E9" w:rsidRDefault="001159E9" w:rsidP="001159E9">
      <w:pPr>
        <w:pStyle w:val="Paragraphedeliste"/>
        <w:numPr>
          <w:ilvl w:val="0"/>
          <w:numId w:val="8"/>
        </w:numPr>
        <w:spacing w:after="120" w:line="259" w:lineRule="auto"/>
        <w:ind w:left="714" w:hanging="357"/>
        <w:contextualSpacing w:val="0"/>
        <w:jc w:val="both"/>
        <w:rPr>
          <w:rFonts w:eastAsia="Calibri" w:cstheme="minorHAnsi"/>
          <w:color w:val="000000" w:themeColor="text1"/>
        </w:rPr>
      </w:pPr>
      <w:r w:rsidRPr="001159E9">
        <w:rPr>
          <w:rFonts w:eastAsia="Calibri" w:cstheme="minorHAnsi"/>
          <w:color w:val="000000" w:themeColor="text1"/>
        </w:rPr>
        <w:t>Informations dans l’annexe relatives aux frais de formation professionnelle</w:t>
      </w:r>
    </w:p>
    <w:p w:rsidR="001159E9" w:rsidRPr="001159E9" w:rsidRDefault="001159E9" w:rsidP="001159E9">
      <w:pPr>
        <w:pStyle w:val="Paragraphedeliste"/>
        <w:numPr>
          <w:ilvl w:val="0"/>
          <w:numId w:val="8"/>
        </w:numPr>
        <w:spacing w:after="120" w:line="259" w:lineRule="auto"/>
        <w:ind w:left="714" w:hanging="357"/>
        <w:contextualSpacing w:val="0"/>
        <w:jc w:val="both"/>
        <w:rPr>
          <w:rFonts w:eastAsia="Calibri" w:cstheme="minorHAnsi"/>
          <w:color w:val="000000" w:themeColor="text1"/>
        </w:rPr>
      </w:pPr>
      <w:r w:rsidRPr="001159E9">
        <w:rPr>
          <w:rFonts w:eastAsia="Calibri" w:cstheme="minorHAnsi"/>
          <w:color w:val="000000" w:themeColor="text1"/>
        </w:rPr>
        <w:t>Changement de libellé du compte 6333</w:t>
      </w:r>
    </w:p>
    <w:p w:rsidR="003E38E9" w:rsidRDefault="003E38E9" w:rsidP="00BB49A1">
      <w:pPr>
        <w:spacing w:after="120" w:line="259" w:lineRule="auto"/>
        <w:rPr>
          <w:rFonts w:eastAsia="Calibri" w:cstheme="minorHAnsi"/>
          <w:bCs/>
          <w:color w:val="000000" w:themeColor="text1"/>
        </w:rPr>
      </w:pPr>
    </w:p>
    <w:p w:rsidR="003E38E9" w:rsidRDefault="003E38E9" w:rsidP="00BB49A1">
      <w:pPr>
        <w:spacing w:after="120" w:line="259" w:lineRule="auto"/>
        <w:rPr>
          <w:rFonts w:eastAsia="Calibri" w:cstheme="minorHAnsi"/>
          <w:bCs/>
          <w:color w:val="000000" w:themeColor="text1"/>
        </w:rPr>
      </w:pPr>
    </w:p>
    <w:p w:rsidR="00BB49A1" w:rsidRPr="00091E31" w:rsidRDefault="00BB49A1" w:rsidP="00323C9B">
      <w:pPr>
        <w:pStyle w:val="Titre1"/>
        <w:keepNext/>
        <w:keepLines/>
        <w:numPr>
          <w:ilvl w:val="0"/>
          <w:numId w:val="6"/>
        </w:numPr>
        <w:pBdr>
          <w:top w:val="none" w:sz="0" w:space="0" w:color="auto"/>
          <w:bottom w:val="none" w:sz="0" w:space="0" w:color="auto"/>
        </w:pBdr>
        <w:shd w:val="clear" w:color="auto" w:fill="auto"/>
        <w:spacing w:before="240" w:after="0"/>
        <w:ind w:left="284" w:hanging="284"/>
        <w:rPr>
          <w:rFonts w:asciiTheme="minorHAnsi" w:eastAsiaTheme="majorEastAsia" w:hAnsiTheme="minorHAnsi" w:cstheme="majorBidi"/>
          <w:color w:val="0070C0"/>
          <w:sz w:val="24"/>
          <w:szCs w:val="32"/>
          <w:u w:val="single"/>
        </w:rPr>
      </w:pPr>
      <w:r>
        <w:rPr>
          <w:rFonts w:asciiTheme="minorHAnsi" w:eastAsiaTheme="majorEastAsia" w:hAnsiTheme="minorHAnsi" w:cstheme="majorBidi"/>
          <w:color w:val="0070C0"/>
          <w:sz w:val="24"/>
          <w:szCs w:val="32"/>
          <w:u w:val="single"/>
        </w:rPr>
        <w:t>Immobilisation de certains frais de formation</w:t>
      </w:r>
    </w:p>
    <w:p w:rsidR="00BB49A1" w:rsidRDefault="00BB49A1" w:rsidP="00D42AFA">
      <w:pPr>
        <w:spacing w:after="60" w:line="259" w:lineRule="auto"/>
        <w:rPr>
          <w:rFonts w:eastAsia="Calibri" w:cstheme="minorHAnsi"/>
          <w:bCs/>
          <w:color w:val="000000" w:themeColor="text1"/>
        </w:rPr>
      </w:pPr>
    </w:p>
    <w:p w:rsidR="00BB49A1" w:rsidRDefault="00BB49A1" w:rsidP="00BB49A1">
      <w:pPr>
        <w:spacing w:after="120" w:line="259" w:lineRule="auto"/>
        <w:rPr>
          <w:rFonts w:eastAsia="Calibri" w:cstheme="minorHAnsi"/>
          <w:bCs/>
          <w:color w:val="000000" w:themeColor="text1"/>
        </w:rPr>
      </w:pPr>
      <w:r>
        <w:rPr>
          <w:rFonts w:eastAsia="Calibri" w:cstheme="minorHAnsi"/>
          <w:bCs/>
          <w:color w:val="000000" w:themeColor="text1"/>
        </w:rPr>
        <w:t xml:space="preserve">Dorénavant, il est </w:t>
      </w:r>
      <w:r w:rsidRPr="00C94276">
        <w:rPr>
          <w:rFonts w:eastAsia="Calibri" w:cstheme="minorHAnsi"/>
          <w:b/>
          <w:color w:val="000000" w:themeColor="text1"/>
        </w:rPr>
        <w:t>possible</w:t>
      </w:r>
      <w:r>
        <w:rPr>
          <w:rFonts w:eastAsia="Calibri" w:cstheme="minorHAnsi"/>
          <w:bCs/>
          <w:color w:val="000000" w:themeColor="text1"/>
        </w:rPr>
        <w:t xml:space="preserve">, sur </w:t>
      </w:r>
      <w:r w:rsidRPr="00C94276">
        <w:rPr>
          <w:rFonts w:eastAsia="Calibri" w:cstheme="minorHAnsi"/>
          <w:b/>
          <w:color w:val="000000" w:themeColor="text1"/>
        </w:rPr>
        <w:t>option</w:t>
      </w:r>
      <w:r>
        <w:rPr>
          <w:rFonts w:eastAsia="Calibri" w:cstheme="minorHAnsi"/>
          <w:bCs/>
          <w:color w:val="000000" w:themeColor="text1"/>
        </w:rPr>
        <w:t xml:space="preserve">, de comptabiliser </w:t>
      </w:r>
      <w:r w:rsidRPr="00C94276">
        <w:rPr>
          <w:rFonts w:eastAsia="Calibri" w:cstheme="minorHAnsi"/>
          <w:b/>
          <w:color w:val="000000" w:themeColor="text1"/>
        </w:rPr>
        <w:t>soit en charge, soit à l’actif</w:t>
      </w:r>
      <w:r>
        <w:rPr>
          <w:rFonts w:eastAsia="Calibri" w:cstheme="minorHAnsi"/>
          <w:bCs/>
          <w:color w:val="000000" w:themeColor="text1"/>
        </w:rPr>
        <w:t xml:space="preserve"> certains </w:t>
      </w:r>
      <w:r w:rsidRPr="00C94276">
        <w:rPr>
          <w:rFonts w:eastAsia="Calibri" w:cstheme="minorHAnsi"/>
          <w:b/>
          <w:color w:val="000000" w:themeColor="text1"/>
        </w:rPr>
        <w:t>frais de formation.</w:t>
      </w:r>
    </w:p>
    <w:p w:rsidR="00BB49A1" w:rsidRDefault="00BB49A1" w:rsidP="00BB49A1">
      <w:pPr>
        <w:spacing w:after="120" w:line="259" w:lineRule="auto"/>
        <w:rPr>
          <w:rFonts w:eastAsia="Calibri" w:cstheme="minorHAnsi"/>
          <w:bCs/>
          <w:color w:val="000000" w:themeColor="text1"/>
        </w:rPr>
      </w:pPr>
      <w:r>
        <w:rPr>
          <w:rFonts w:eastAsia="Calibri" w:cstheme="minorHAnsi"/>
          <w:bCs/>
          <w:color w:val="000000" w:themeColor="text1"/>
        </w:rPr>
        <w:t>Il s’agit des f</w:t>
      </w:r>
      <w:r>
        <w:t xml:space="preserve">rais </w:t>
      </w:r>
      <w:r w:rsidRPr="00C94276">
        <w:rPr>
          <w:b/>
          <w:bCs/>
        </w:rPr>
        <w:t>externes</w:t>
      </w:r>
      <w:r>
        <w:t xml:space="preserve"> afférents à des formations </w:t>
      </w:r>
      <w:r w:rsidRPr="00C94276">
        <w:rPr>
          <w:b/>
          <w:bCs/>
        </w:rPr>
        <w:t>nécessaires à la mise en service</w:t>
      </w:r>
      <w:r>
        <w:t xml:space="preserve"> d’une immobilisation corporelle ou incorporelle.</w:t>
      </w:r>
    </w:p>
    <w:p w:rsidR="00BB49A1" w:rsidRDefault="00BB49A1" w:rsidP="00BB49A1">
      <w:pPr>
        <w:spacing w:after="120" w:line="259" w:lineRule="auto"/>
        <w:rPr>
          <w:rFonts w:eastAsia="Calibri" w:cstheme="minorHAnsi"/>
          <w:bCs/>
          <w:color w:val="000000" w:themeColor="text1"/>
        </w:rPr>
      </w:pPr>
      <w:r>
        <w:rPr>
          <w:rFonts w:eastAsia="Calibri" w:cstheme="minorHAnsi"/>
          <w:bCs/>
          <w:color w:val="000000" w:themeColor="text1"/>
        </w:rPr>
        <w:t xml:space="preserve">Il n’y a </w:t>
      </w:r>
      <w:r w:rsidRPr="00C94276">
        <w:rPr>
          <w:rFonts w:eastAsia="Calibri" w:cstheme="minorHAnsi"/>
          <w:b/>
          <w:color w:val="000000" w:themeColor="text1"/>
        </w:rPr>
        <w:t>pas de méthode de référence</w:t>
      </w:r>
      <w:r>
        <w:rPr>
          <w:rFonts w:eastAsia="Calibri" w:cstheme="minorHAnsi"/>
          <w:bCs/>
          <w:color w:val="000000" w:themeColor="text1"/>
        </w:rPr>
        <w:t>.</w:t>
      </w:r>
    </w:p>
    <w:p w:rsidR="00BB49A1" w:rsidRDefault="00BB49A1" w:rsidP="00BB49A1">
      <w:pPr>
        <w:spacing w:after="120" w:line="259" w:lineRule="auto"/>
        <w:rPr>
          <w:rFonts w:eastAsia="Calibri" w:cstheme="minorHAnsi"/>
          <w:bCs/>
          <w:color w:val="000000" w:themeColor="text1"/>
        </w:rPr>
      </w:pPr>
      <w:r>
        <w:rPr>
          <w:rFonts w:eastAsia="Calibri" w:cstheme="minorHAnsi"/>
          <w:bCs/>
          <w:color w:val="000000" w:themeColor="text1"/>
        </w:rPr>
        <w:t>Auparavant, ces frais ne pouvaient être immobilisés et étaient donc forcément comptabilisés en charge</w:t>
      </w:r>
      <w:r w:rsidR="007F71EE">
        <w:rPr>
          <w:rFonts w:eastAsia="Calibri" w:cstheme="minorHAnsi"/>
          <w:bCs/>
          <w:color w:val="000000" w:themeColor="text1"/>
        </w:rPr>
        <w:t xml:space="preserve"> (avis n° 2004-15)</w:t>
      </w:r>
      <w:r>
        <w:rPr>
          <w:rFonts w:eastAsia="Calibri" w:cstheme="minorHAnsi"/>
          <w:bCs/>
          <w:color w:val="000000" w:themeColor="text1"/>
        </w:rPr>
        <w:t>.</w:t>
      </w:r>
    </w:p>
    <w:p w:rsidR="00BB49A1" w:rsidRPr="007F71EE" w:rsidRDefault="00BB49A1" w:rsidP="00BB49A1">
      <w:pPr>
        <w:spacing w:after="120" w:line="259" w:lineRule="auto"/>
        <w:rPr>
          <w:rFonts w:eastAsia="Calibri" w:cstheme="minorHAnsi"/>
          <w:b/>
        </w:rPr>
      </w:pPr>
      <w:r>
        <w:rPr>
          <w:rFonts w:eastAsia="Calibri" w:cstheme="minorHAnsi"/>
          <w:bCs/>
          <w:color w:val="000000" w:themeColor="text1"/>
        </w:rPr>
        <w:lastRenderedPageBreak/>
        <w:t xml:space="preserve">Cette option est </w:t>
      </w:r>
      <w:r w:rsidRPr="00C94276">
        <w:rPr>
          <w:rFonts w:eastAsia="Calibri" w:cstheme="minorHAnsi"/>
          <w:b/>
        </w:rPr>
        <w:t>indépendante de l’option</w:t>
      </w:r>
      <w:r w:rsidR="007F71EE">
        <w:rPr>
          <w:rFonts w:eastAsia="Calibri" w:cstheme="minorHAnsi"/>
          <w:b/>
        </w:rPr>
        <w:t xml:space="preserve"> </w:t>
      </w:r>
      <w:r>
        <w:rPr>
          <w:rFonts w:eastAsia="Calibri" w:cstheme="minorHAnsi"/>
          <w:bCs/>
          <w:color w:val="000000" w:themeColor="text1"/>
        </w:rPr>
        <w:t xml:space="preserve">permettant d’immobiliser ou de mettre en charges, dans les comptes individuels, les </w:t>
      </w:r>
      <w:r w:rsidRPr="00C94276">
        <w:rPr>
          <w:rFonts w:eastAsia="Calibri" w:cstheme="minorHAnsi"/>
          <w:b/>
          <w:color w:val="000000" w:themeColor="text1"/>
        </w:rPr>
        <w:t>droits de mutation, honoraires, commissions et frais d’actes</w:t>
      </w:r>
      <w:r w:rsidR="00A27E60">
        <w:rPr>
          <w:rFonts w:eastAsia="Calibri" w:cstheme="minorHAnsi"/>
          <w:b/>
          <w:color w:val="000000" w:themeColor="text1"/>
        </w:rPr>
        <w:t xml:space="preserve"> liés à l’acquisition</w:t>
      </w:r>
      <w:r>
        <w:rPr>
          <w:rFonts w:eastAsia="Calibri" w:cstheme="minorHAnsi"/>
          <w:bCs/>
          <w:color w:val="000000" w:themeColor="text1"/>
        </w:rPr>
        <w:t>.</w:t>
      </w:r>
    </w:p>
    <w:p w:rsidR="00BB49A1" w:rsidRDefault="00BB49A1" w:rsidP="00D42AFA">
      <w:pPr>
        <w:spacing w:after="60" w:line="259" w:lineRule="auto"/>
        <w:rPr>
          <w:rFonts w:eastAsia="Calibri" w:cstheme="minorHAnsi"/>
          <w:color w:val="000000" w:themeColor="text1"/>
        </w:rPr>
      </w:pPr>
    </w:p>
    <w:p w:rsidR="00C94276" w:rsidRDefault="00C94276" w:rsidP="00D42AFA">
      <w:pPr>
        <w:spacing w:after="60" w:line="259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Pour rappel :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830"/>
        <w:gridCol w:w="2220"/>
        <w:gridCol w:w="2226"/>
        <w:gridCol w:w="2500"/>
      </w:tblGrid>
      <w:tr w:rsidR="00805568" w:rsidTr="00323C9B">
        <w:tc>
          <w:tcPr>
            <w:tcW w:w="2830" w:type="dxa"/>
            <w:vMerge w:val="restart"/>
            <w:vAlign w:val="center"/>
          </w:tcPr>
          <w:p w:rsidR="00805568" w:rsidRPr="00323C9B" w:rsidRDefault="00805568" w:rsidP="00323C9B">
            <w:pPr>
              <w:ind w:left="-68"/>
              <w:jc w:val="center"/>
              <w:rPr>
                <w:b/>
                <w:bCs/>
              </w:rPr>
            </w:pPr>
            <w:r w:rsidRPr="00323C9B">
              <w:rPr>
                <w:b/>
                <w:bCs/>
              </w:rPr>
              <w:t>Elément</w:t>
            </w:r>
          </w:p>
        </w:tc>
        <w:tc>
          <w:tcPr>
            <w:tcW w:w="4446" w:type="dxa"/>
            <w:gridSpan w:val="2"/>
            <w:vAlign w:val="center"/>
          </w:tcPr>
          <w:p w:rsidR="00805568" w:rsidRPr="00323C9B" w:rsidRDefault="00805568" w:rsidP="00323C9B">
            <w:pPr>
              <w:ind w:left="-68"/>
              <w:jc w:val="center"/>
              <w:rPr>
                <w:b/>
                <w:bCs/>
              </w:rPr>
            </w:pPr>
            <w:r w:rsidRPr="00323C9B">
              <w:rPr>
                <w:b/>
                <w:bCs/>
              </w:rPr>
              <w:t>Immobilisation</w:t>
            </w:r>
          </w:p>
        </w:tc>
        <w:tc>
          <w:tcPr>
            <w:tcW w:w="2500" w:type="dxa"/>
            <w:vMerge w:val="restart"/>
            <w:vAlign w:val="center"/>
          </w:tcPr>
          <w:p w:rsidR="00805568" w:rsidRPr="00323C9B" w:rsidRDefault="00805568" w:rsidP="00323C9B">
            <w:pPr>
              <w:ind w:left="-68"/>
              <w:jc w:val="center"/>
              <w:rPr>
                <w:b/>
                <w:bCs/>
              </w:rPr>
            </w:pPr>
            <w:r w:rsidRPr="00323C9B">
              <w:rPr>
                <w:b/>
                <w:bCs/>
              </w:rPr>
              <w:t>Traitement comptable</w:t>
            </w:r>
          </w:p>
        </w:tc>
      </w:tr>
      <w:tr w:rsidR="00805568" w:rsidTr="00323C9B">
        <w:tc>
          <w:tcPr>
            <w:tcW w:w="2830" w:type="dxa"/>
            <w:vMerge/>
            <w:vAlign w:val="center"/>
          </w:tcPr>
          <w:p w:rsidR="00805568" w:rsidRPr="00F324B1" w:rsidRDefault="00805568" w:rsidP="00323C9B">
            <w:pPr>
              <w:ind w:left="-68"/>
              <w:jc w:val="center"/>
            </w:pPr>
          </w:p>
        </w:tc>
        <w:tc>
          <w:tcPr>
            <w:tcW w:w="2220" w:type="dxa"/>
            <w:vAlign w:val="center"/>
          </w:tcPr>
          <w:p w:rsidR="00805568" w:rsidRPr="00323C9B" w:rsidRDefault="00805568" w:rsidP="00323C9B">
            <w:pPr>
              <w:ind w:left="-68"/>
              <w:jc w:val="center"/>
              <w:rPr>
                <w:b/>
                <w:bCs/>
              </w:rPr>
            </w:pPr>
            <w:r w:rsidRPr="00323C9B">
              <w:rPr>
                <w:b/>
                <w:bCs/>
              </w:rPr>
              <w:t>corporelle</w:t>
            </w:r>
          </w:p>
        </w:tc>
        <w:tc>
          <w:tcPr>
            <w:tcW w:w="2226" w:type="dxa"/>
            <w:vAlign w:val="center"/>
          </w:tcPr>
          <w:p w:rsidR="00805568" w:rsidRPr="00323C9B" w:rsidRDefault="00805568" w:rsidP="00323C9B">
            <w:pPr>
              <w:ind w:left="-68"/>
              <w:jc w:val="center"/>
              <w:rPr>
                <w:b/>
                <w:bCs/>
              </w:rPr>
            </w:pPr>
            <w:r w:rsidRPr="00323C9B">
              <w:rPr>
                <w:b/>
                <w:bCs/>
              </w:rPr>
              <w:t>incorporelle</w:t>
            </w:r>
          </w:p>
        </w:tc>
        <w:tc>
          <w:tcPr>
            <w:tcW w:w="2500" w:type="dxa"/>
            <w:vMerge/>
            <w:vAlign w:val="center"/>
          </w:tcPr>
          <w:p w:rsidR="00805568" w:rsidRPr="00F324B1" w:rsidRDefault="00805568" w:rsidP="00323C9B">
            <w:pPr>
              <w:ind w:left="-68"/>
              <w:jc w:val="center"/>
            </w:pPr>
          </w:p>
        </w:tc>
      </w:tr>
      <w:tr w:rsidR="00805568" w:rsidTr="00323C9B">
        <w:tc>
          <w:tcPr>
            <w:tcW w:w="2830" w:type="dxa"/>
            <w:vAlign w:val="center"/>
          </w:tcPr>
          <w:p w:rsidR="00805568" w:rsidRPr="00F324B1" w:rsidRDefault="00805568" w:rsidP="00323C9B">
            <w:pPr>
              <w:ind w:left="-68"/>
              <w:jc w:val="center"/>
            </w:pPr>
            <w:r>
              <w:t>Prix d’achat, y compris droits de douane et taxes non récupérables, après déduction des remises, rabais commerciaux et escomptes de règlement</w:t>
            </w:r>
          </w:p>
        </w:tc>
        <w:tc>
          <w:tcPr>
            <w:tcW w:w="2220" w:type="dxa"/>
            <w:vAlign w:val="center"/>
          </w:tcPr>
          <w:p w:rsidR="00805568" w:rsidRPr="00F324B1" w:rsidRDefault="00F324B1" w:rsidP="00323C9B">
            <w:pPr>
              <w:ind w:left="-68"/>
              <w:jc w:val="center"/>
            </w:pPr>
            <w:r>
              <w:t>X</w:t>
            </w:r>
          </w:p>
        </w:tc>
        <w:tc>
          <w:tcPr>
            <w:tcW w:w="2226" w:type="dxa"/>
            <w:vAlign w:val="center"/>
          </w:tcPr>
          <w:p w:rsidR="00805568" w:rsidRPr="00F324B1" w:rsidRDefault="00F324B1" w:rsidP="00323C9B">
            <w:pPr>
              <w:ind w:left="-68"/>
              <w:jc w:val="center"/>
            </w:pPr>
            <w:r>
              <w:t>X</w:t>
            </w:r>
          </w:p>
        </w:tc>
        <w:tc>
          <w:tcPr>
            <w:tcW w:w="2500" w:type="dxa"/>
            <w:vAlign w:val="center"/>
          </w:tcPr>
          <w:p w:rsidR="00805568" w:rsidRPr="00F324B1" w:rsidRDefault="00323C9B" w:rsidP="00323C9B">
            <w:pPr>
              <w:ind w:left="-68"/>
              <w:jc w:val="center"/>
            </w:pPr>
            <w:r w:rsidRPr="00F324B1">
              <w:t>Dans le co</w:t>
            </w:r>
            <w:r w:rsidR="00A27E60">
              <w:t>û</w:t>
            </w:r>
            <w:r w:rsidRPr="00F324B1">
              <w:t>t d’acquisition de l’immobilisation</w:t>
            </w:r>
          </w:p>
        </w:tc>
      </w:tr>
      <w:tr w:rsidR="00805568" w:rsidTr="00323C9B">
        <w:tc>
          <w:tcPr>
            <w:tcW w:w="2830" w:type="dxa"/>
            <w:vAlign w:val="center"/>
          </w:tcPr>
          <w:p w:rsidR="00805568" w:rsidRPr="00F324B1" w:rsidRDefault="00805568" w:rsidP="00323C9B">
            <w:pPr>
              <w:ind w:left="-68"/>
              <w:jc w:val="center"/>
            </w:pPr>
            <w:r>
              <w:t>coûts directement attribuables</w:t>
            </w:r>
            <w:r w:rsidR="00F324B1">
              <w:t>…</w:t>
            </w:r>
          </w:p>
        </w:tc>
        <w:tc>
          <w:tcPr>
            <w:tcW w:w="2220" w:type="dxa"/>
            <w:vAlign w:val="center"/>
          </w:tcPr>
          <w:p w:rsidR="00805568" w:rsidRPr="00F324B1" w:rsidRDefault="00F324B1" w:rsidP="00323C9B">
            <w:pPr>
              <w:ind w:left="-68"/>
              <w:jc w:val="center"/>
            </w:pPr>
            <w:r>
              <w:t xml:space="preserve">… </w:t>
            </w:r>
            <w:r w:rsidR="00805568">
              <w:t>engagés pour mettre l’actif en place et en état de fonctionner selon l’utilisation prévue par la direction</w:t>
            </w:r>
          </w:p>
        </w:tc>
        <w:tc>
          <w:tcPr>
            <w:tcW w:w="2226" w:type="dxa"/>
            <w:vAlign w:val="center"/>
          </w:tcPr>
          <w:p w:rsidR="00805568" w:rsidRPr="00F324B1" w:rsidRDefault="00F324B1" w:rsidP="00323C9B">
            <w:pPr>
              <w:ind w:left="-68"/>
              <w:jc w:val="center"/>
            </w:pPr>
            <w:r>
              <w:t xml:space="preserve">… </w:t>
            </w:r>
            <w:r w:rsidR="00805568">
              <w:t>à la préparation de cet actif en vue de l’utilisation envisagée.</w:t>
            </w:r>
          </w:p>
        </w:tc>
        <w:tc>
          <w:tcPr>
            <w:tcW w:w="2500" w:type="dxa"/>
            <w:vAlign w:val="center"/>
          </w:tcPr>
          <w:p w:rsidR="00805568" w:rsidRPr="00F324B1" w:rsidRDefault="00805568" w:rsidP="00323C9B">
            <w:pPr>
              <w:ind w:left="-68"/>
              <w:jc w:val="center"/>
            </w:pPr>
            <w:r w:rsidRPr="00F324B1">
              <w:t xml:space="preserve">Dans le </w:t>
            </w:r>
            <w:r w:rsidR="00A27E60" w:rsidRPr="00F324B1">
              <w:t>co</w:t>
            </w:r>
            <w:r w:rsidR="00A27E60">
              <w:t>û</w:t>
            </w:r>
            <w:r w:rsidR="00A27E60" w:rsidRPr="00F324B1">
              <w:t xml:space="preserve">t </w:t>
            </w:r>
            <w:r w:rsidRPr="00F324B1">
              <w:t>d’acquisition de l’immobilisation</w:t>
            </w:r>
          </w:p>
        </w:tc>
      </w:tr>
      <w:tr w:rsidR="00805568" w:rsidTr="00323C9B">
        <w:tc>
          <w:tcPr>
            <w:tcW w:w="2830" w:type="dxa"/>
            <w:vAlign w:val="center"/>
          </w:tcPr>
          <w:p w:rsidR="00805568" w:rsidRPr="00F324B1" w:rsidRDefault="00805568" w:rsidP="00323C9B">
            <w:pPr>
              <w:ind w:left="-68"/>
              <w:jc w:val="center"/>
            </w:pPr>
            <w:r>
              <w:t>Les frais externes afférents à des formations nécessaires à la mise en service de l’immobilisation</w:t>
            </w:r>
          </w:p>
        </w:tc>
        <w:tc>
          <w:tcPr>
            <w:tcW w:w="2220" w:type="dxa"/>
            <w:vAlign w:val="center"/>
          </w:tcPr>
          <w:p w:rsidR="00805568" w:rsidRPr="00F324B1" w:rsidRDefault="00F324B1" w:rsidP="00323C9B">
            <w:pPr>
              <w:ind w:left="-68"/>
              <w:jc w:val="center"/>
            </w:pPr>
            <w:r>
              <w:t>X</w:t>
            </w:r>
          </w:p>
        </w:tc>
        <w:tc>
          <w:tcPr>
            <w:tcW w:w="2226" w:type="dxa"/>
            <w:vAlign w:val="center"/>
          </w:tcPr>
          <w:p w:rsidR="00805568" w:rsidRPr="00F324B1" w:rsidRDefault="00F324B1" w:rsidP="00323C9B">
            <w:pPr>
              <w:ind w:left="-68"/>
              <w:jc w:val="center"/>
            </w:pPr>
            <w:r>
              <w:t>X</w:t>
            </w:r>
          </w:p>
        </w:tc>
        <w:tc>
          <w:tcPr>
            <w:tcW w:w="2500" w:type="dxa"/>
            <w:vAlign w:val="center"/>
          </w:tcPr>
          <w:p w:rsidR="00805568" w:rsidRPr="00F324B1" w:rsidRDefault="00805568" w:rsidP="00323C9B">
            <w:pPr>
              <w:ind w:left="-68"/>
              <w:jc w:val="center"/>
            </w:pPr>
            <w:r w:rsidRPr="00F324B1">
              <w:t>En option :</w:t>
            </w:r>
          </w:p>
          <w:p w:rsidR="00F324B1" w:rsidRDefault="00805568" w:rsidP="00323C9B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11" w:right="-25" w:hanging="126"/>
              <w:contextualSpacing w:val="0"/>
              <w:jc w:val="center"/>
              <w:rPr>
                <w:rFonts w:ascii="Calibri" w:hAnsi="Calibri"/>
              </w:rPr>
            </w:pPr>
            <w:r w:rsidRPr="00F324B1">
              <w:rPr>
                <w:rFonts w:ascii="Calibri" w:hAnsi="Calibri"/>
              </w:rPr>
              <w:t xml:space="preserve">dans le </w:t>
            </w:r>
            <w:r w:rsidR="00A27E60" w:rsidRPr="00F324B1">
              <w:t>co</w:t>
            </w:r>
            <w:r w:rsidR="00A27E60">
              <w:t>û</w:t>
            </w:r>
            <w:r w:rsidR="00A27E60" w:rsidRPr="00F324B1">
              <w:t xml:space="preserve">t </w:t>
            </w:r>
            <w:r w:rsidRPr="00F324B1">
              <w:rPr>
                <w:rFonts w:ascii="Calibri" w:hAnsi="Calibri"/>
              </w:rPr>
              <w:t>d’acquisition de l’immobilisation</w:t>
            </w:r>
          </w:p>
          <w:p w:rsidR="00805568" w:rsidRPr="00F324B1" w:rsidRDefault="00F324B1" w:rsidP="00323C9B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11" w:right="-25" w:hanging="126"/>
              <w:contextualSpacing w:val="0"/>
              <w:jc w:val="center"/>
              <w:rPr>
                <w:rFonts w:ascii="Calibri" w:hAnsi="Calibri"/>
              </w:rPr>
            </w:pPr>
            <w:r w:rsidRPr="00F324B1">
              <w:rPr>
                <w:rFonts w:ascii="Calibri" w:hAnsi="Calibri"/>
              </w:rPr>
              <w:t>en charges</w:t>
            </w:r>
          </w:p>
          <w:p w:rsidR="00C94276" w:rsidRDefault="00C94276" w:rsidP="00323C9B">
            <w:pPr>
              <w:ind w:left="-68"/>
              <w:jc w:val="center"/>
            </w:pPr>
          </w:p>
          <w:p w:rsidR="00805568" w:rsidRPr="00F324B1" w:rsidRDefault="00F324B1" w:rsidP="00323C9B">
            <w:pPr>
              <w:ind w:left="-68"/>
              <w:jc w:val="center"/>
            </w:pPr>
            <w:r w:rsidRPr="00F324B1">
              <w:t>P</w:t>
            </w:r>
            <w:r w:rsidR="00805568" w:rsidRPr="00F324B1">
              <w:t>as de méthode de référence</w:t>
            </w:r>
          </w:p>
        </w:tc>
      </w:tr>
      <w:tr w:rsidR="00805568" w:rsidTr="00323C9B">
        <w:tc>
          <w:tcPr>
            <w:tcW w:w="2830" w:type="dxa"/>
            <w:vAlign w:val="center"/>
          </w:tcPr>
          <w:p w:rsidR="00805568" w:rsidRPr="00F324B1" w:rsidRDefault="00F324B1" w:rsidP="00323C9B">
            <w:pPr>
              <w:ind w:left="-68"/>
              <w:jc w:val="center"/>
            </w:pPr>
            <w:r>
              <w:t>Droits de mutation, honoraires ou commissions et frais d’actes, liés à l’acquisition</w:t>
            </w:r>
          </w:p>
        </w:tc>
        <w:tc>
          <w:tcPr>
            <w:tcW w:w="2220" w:type="dxa"/>
            <w:vAlign w:val="center"/>
          </w:tcPr>
          <w:p w:rsidR="00805568" w:rsidRPr="00F324B1" w:rsidRDefault="00F324B1" w:rsidP="00323C9B">
            <w:pPr>
              <w:ind w:left="-68"/>
              <w:jc w:val="center"/>
            </w:pPr>
            <w:r>
              <w:t>X</w:t>
            </w:r>
          </w:p>
        </w:tc>
        <w:tc>
          <w:tcPr>
            <w:tcW w:w="2226" w:type="dxa"/>
            <w:vAlign w:val="center"/>
          </w:tcPr>
          <w:p w:rsidR="00805568" w:rsidRPr="00F324B1" w:rsidRDefault="00F324B1" w:rsidP="00323C9B">
            <w:pPr>
              <w:ind w:left="-68"/>
              <w:jc w:val="center"/>
            </w:pPr>
            <w:r>
              <w:t>X</w:t>
            </w:r>
          </w:p>
        </w:tc>
        <w:tc>
          <w:tcPr>
            <w:tcW w:w="2500" w:type="dxa"/>
            <w:vAlign w:val="center"/>
          </w:tcPr>
          <w:p w:rsidR="00F324B1" w:rsidRPr="00F324B1" w:rsidRDefault="00F324B1" w:rsidP="00323C9B">
            <w:pPr>
              <w:ind w:left="-68"/>
              <w:jc w:val="center"/>
            </w:pPr>
            <w:r>
              <w:t>Dans les comptes individuels, en</w:t>
            </w:r>
            <w:r w:rsidRPr="00F324B1">
              <w:t xml:space="preserve"> option :</w:t>
            </w:r>
          </w:p>
          <w:p w:rsidR="00F324B1" w:rsidRPr="00F324B1" w:rsidRDefault="00F324B1" w:rsidP="00323C9B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11" w:right="-25" w:hanging="126"/>
              <w:contextualSpacing w:val="0"/>
              <w:jc w:val="center"/>
              <w:rPr>
                <w:rFonts w:ascii="Calibri" w:hAnsi="Calibri"/>
              </w:rPr>
            </w:pPr>
            <w:r w:rsidRPr="00F324B1">
              <w:rPr>
                <w:rFonts w:ascii="Calibri" w:hAnsi="Calibri"/>
              </w:rPr>
              <w:t xml:space="preserve">dans le </w:t>
            </w:r>
            <w:r w:rsidR="00A27E60" w:rsidRPr="00F324B1">
              <w:t>co</w:t>
            </w:r>
            <w:r w:rsidR="00A27E60">
              <w:t>û</w:t>
            </w:r>
            <w:r w:rsidR="00A27E60" w:rsidRPr="00F324B1">
              <w:t xml:space="preserve">t </w:t>
            </w:r>
            <w:r w:rsidRPr="00F324B1">
              <w:rPr>
                <w:rFonts w:ascii="Calibri" w:hAnsi="Calibri"/>
              </w:rPr>
              <w:t>d’acquisition de l’immobilisation</w:t>
            </w:r>
          </w:p>
          <w:p w:rsidR="00F324B1" w:rsidRPr="00F324B1" w:rsidRDefault="00F324B1" w:rsidP="00323C9B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11" w:right="-25" w:hanging="126"/>
              <w:contextualSpacing w:val="0"/>
              <w:jc w:val="center"/>
              <w:rPr>
                <w:rFonts w:ascii="Calibri" w:hAnsi="Calibri"/>
              </w:rPr>
            </w:pPr>
            <w:r w:rsidRPr="00F324B1">
              <w:rPr>
                <w:rFonts w:ascii="Calibri" w:hAnsi="Calibri"/>
              </w:rPr>
              <w:t>en charges</w:t>
            </w:r>
          </w:p>
          <w:p w:rsidR="00C94276" w:rsidRDefault="00C94276" w:rsidP="00323C9B">
            <w:pPr>
              <w:ind w:left="-68"/>
              <w:jc w:val="center"/>
            </w:pPr>
          </w:p>
          <w:p w:rsidR="00805568" w:rsidRPr="00F324B1" w:rsidRDefault="00F324B1" w:rsidP="00323C9B">
            <w:pPr>
              <w:ind w:left="-68"/>
              <w:jc w:val="center"/>
            </w:pPr>
            <w:r>
              <w:t>M</w:t>
            </w:r>
            <w:r w:rsidRPr="00F324B1">
              <w:t>éthode de référence</w:t>
            </w:r>
            <w:r>
              <w:t xml:space="preserve"> = dans le cout d’acquisition de l’immobilisation</w:t>
            </w:r>
          </w:p>
        </w:tc>
      </w:tr>
      <w:tr w:rsidR="00805568" w:rsidTr="00323C9B">
        <w:tc>
          <w:tcPr>
            <w:tcW w:w="2830" w:type="dxa"/>
            <w:vAlign w:val="center"/>
          </w:tcPr>
          <w:p w:rsidR="00805568" w:rsidRPr="00F324B1" w:rsidRDefault="00C94276" w:rsidP="00323C9B">
            <w:pPr>
              <w:ind w:left="-68"/>
              <w:jc w:val="center"/>
            </w:pPr>
            <w:r>
              <w:t>coûts d’emprunt engagés pour financer l’acquisition de l’immobilisation</w:t>
            </w:r>
          </w:p>
        </w:tc>
        <w:tc>
          <w:tcPr>
            <w:tcW w:w="2220" w:type="dxa"/>
            <w:vAlign w:val="center"/>
          </w:tcPr>
          <w:p w:rsidR="00805568" w:rsidRPr="00F324B1" w:rsidRDefault="00C94276" w:rsidP="00323C9B">
            <w:pPr>
              <w:ind w:left="-68"/>
              <w:jc w:val="center"/>
            </w:pPr>
            <w:r>
              <w:t>X</w:t>
            </w:r>
          </w:p>
        </w:tc>
        <w:tc>
          <w:tcPr>
            <w:tcW w:w="2226" w:type="dxa"/>
            <w:vAlign w:val="center"/>
          </w:tcPr>
          <w:p w:rsidR="00805568" w:rsidRPr="00F324B1" w:rsidRDefault="00C94276" w:rsidP="00323C9B">
            <w:pPr>
              <w:ind w:left="-68"/>
              <w:jc w:val="center"/>
            </w:pPr>
            <w:bookmarkStart w:id="1" w:name="_GoBack"/>
            <w:bookmarkEnd w:id="1"/>
            <w:r>
              <w:t>X</w:t>
            </w:r>
          </w:p>
        </w:tc>
        <w:tc>
          <w:tcPr>
            <w:tcW w:w="2500" w:type="dxa"/>
            <w:vAlign w:val="center"/>
          </w:tcPr>
          <w:p w:rsidR="00C94276" w:rsidRDefault="00C94276" w:rsidP="00323C9B">
            <w:pPr>
              <w:ind w:left="-68"/>
              <w:jc w:val="center"/>
            </w:pPr>
            <w:r>
              <w:t>Sous condition de l’article 213-9 du PCG (actif éligible, période)</w:t>
            </w:r>
          </w:p>
          <w:p w:rsidR="00C94276" w:rsidRDefault="00C94276" w:rsidP="00323C9B">
            <w:pPr>
              <w:ind w:left="-68"/>
              <w:jc w:val="center"/>
            </w:pPr>
          </w:p>
          <w:p w:rsidR="00C94276" w:rsidRPr="00F324B1" w:rsidRDefault="00C94276" w:rsidP="00323C9B">
            <w:pPr>
              <w:ind w:left="-68"/>
              <w:jc w:val="center"/>
            </w:pPr>
            <w:r w:rsidRPr="00F324B1">
              <w:t>En option :</w:t>
            </w:r>
          </w:p>
          <w:p w:rsidR="00C94276" w:rsidRDefault="00C94276" w:rsidP="00323C9B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11" w:right="-25" w:hanging="126"/>
              <w:contextualSpacing w:val="0"/>
              <w:jc w:val="center"/>
              <w:rPr>
                <w:rFonts w:ascii="Calibri" w:hAnsi="Calibri"/>
              </w:rPr>
            </w:pPr>
            <w:r w:rsidRPr="00F324B1">
              <w:rPr>
                <w:rFonts w:ascii="Calibri" w:hAnsi="Calibri"/>
              </w:rPr>
              <w:t xml:space="preserve">dans le </w:t>
            </w:r>
            <w:r w:rsidR="00A27E60" w:rsidRPr="00F324B1">
              <w:t>co</w:t>
            </w:r>
            <w:r w:rsidR="00A27E60">
              <w:t>û</w:t>
            </w:r>
            <w:r w:rsidR="00A27E60" w:rsidRPr="00F324B1">
              <w:t xml:space="preserve">t </w:t>
            </w:r>
            <w:r w:rsidRPr="00F324B1">
              <w:rPr>
                <w:rFonts w:ascii="Calibri" w:hAnsi="Calibri"/>
              </w:rPr>
              <w:t>d’acquisition de l’immobilisation</w:t>
            </w:r>
          </w:p>
          <w:p w:rsidR="00C94276" w:rsidRPr="00F324B1" w:rsidRDefault="00C94276" w:rsidP="00323C9B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11" w:right="-25" w:hanging="126"/>
              <w:contextualSpacing w:val="0"/>
              <w:jc w:val="center"/>
              <w:rPr>
                <w:rFonts w:ascii="Calibri" w:hAnsi="Calibri"/>
              </w:rPr>
            </w:pPr>
            <w:r w:rsidRPr="00F324B1">
              <w:rPr>
                <w:rFonts w:ascii="Calibri" w:hAnsi="Calibri"/>
              </w:rPr>
              <w:t>en charges</w:t>
            </w:r>
          </w:p>
          <w:p w:rsidR="00C94276" w:rsidRDefault="00C94276" w:rsidP="00323C9B">
            <w:pPr>
              <w:ind w:left="-68"/>
              <w:jc w:val="center"/>
            </w:pPr>
          </w:p>
          <w:p w:rsidR="00805568" w:rsidRPr="00F324B1" w:rsidRDefault="00C94276" w:rsidP="00323C9B">
            <w:pPr>
              <w:ind w:left="-68"/>
              <w:jc w:val="center"/>
            </w:pPr>
            <w:r w:rsidRPr="00F324B1">
              <w:t>Pas de méthode de référence</w:t>
            </w:r>
          </w:p>
        </w:tc>
      </w:tr>
      <w:tr w:rsidR="00C94276" w:rsidTr="00323C9B">
        <w:tc>
          <w:tcPr>
            <w:tcW w:w="2830" w:type="dxa"/>
            <w:vAlign w:val="center"/>
          </w:tcPr>
          <w:p w:rsidR="00C94276" w:rsidRPr="00F324B1" w:rsidRDefault="00C94276" w:rsidP="00323C9B">
            <w:pPr>
              <w:ind w:left="-68"/>
              <w:jc w:val="center"/>
            </w:pPr>
            <w:r>
              <w:t>Coûts de démantèlement, d’enlèvement et de restauration du site sur lequel est située l’immobilisation</w:t>
            </w:r>
          </w:p>
        </w:tc>
        <w:tc>
          <w:tcPr>
            <w:tcW w:w="2220" w:type="dxa"/>
            <w:vAlign w:val="center"/>
          </w:tcPr>
          <w:p w:rsidR="00C94276" w:rsidRPr="00F324B1" w:rsidRDefault="00C94276" w:rsidP="00323C9B">
            <w:pPr>
              <w:ind w:left="-68"/>
              <w:jc w:val="center"/>
            </w:pPr>
            <w:r>
              <w:t>X</w:t>
            </w:r>
          </w:p>
        </w:tc>
        <w:tc>
          <w:tcPr>
            <w:tcW w:w="2226" w:type="dxa"/>
            <w:vAlign w:val="center"/>
          </w:tcPr>
          <w:p w:rsidR="00C94276" w:rsidRPr="00F324B1" w:rsidRDefault="007F6F79" w:rsidP="00323C9B">
            <w:pPr>
              <w:ind w:left="-68"/>
              <w:jc w:val="center"/>
            </w:pPr>
            <w:r>
              <w:t>Non applicable</w:t>
            </w:r>
          </w:p>
        </w:tc>
        <w:tc>
          <w:tcPr>
            <w:tcW w:w="2500" w:type="dxa"/>
            <w:vAlign w:val="center"/>
          </w:tcPr>
          <w:p w:rsidR="00C94276" w:rsidRPr="00F324B1" w:rsidRDefault="00C94276" w:rsidP="00323C9B">
            <w:pPr>
              <w:ind w:left="-68"/>
              <w:jc w:val="center"/>
            </w:pPr>
            <w:r w:rsidRPr="00F324B1">
              <w:t xml:space="preserve">Dans le </w:t>
            </w:r>
            <w:r w:rsidR="00A27E60" w:rsidRPr="00F324B1">
              <w:t>co</w:t>
            </w:r>
            <w:r w:rsidR="00A27E60">
              <w:t>û</w:t>
            </w:r>
            <w:r w:rsidR="00A27E60" w:rsidRPr="00F324B1">
              <w:t xml:space="preserve">t </w:t>
            </w:r>
            <w:r w:rsidRPr="00F324B1">
              <w:t>d’acquisition de l’immobilisation</w:t>
            </w:r>
          </w:p>
        </w:tc>
      </w:tr>
    </w:tbl>
    <w:p w:rsidR="00BB49A1" w:rsidRDefault="00BB49A1" w:rsidP="00D42AFA">
      <w:pPr>
        <w:spacing w:after="60" w:line="259" w:lineRule="auto"/>
        <w:rPr>
          <w:rFonts w:eastAsia="Calibri" w:cstheme="minorHAnsi"/>
          <w:color w:val="000000" w:themeColor="text1"/>
        </w:rPr>
      </w:pPr>
    </w:p>
    <w:p w:rsidR="00323C9B" w:rsidRPr="00091E31" w:rsidRDefault="00323C9B" w:rsidP="00323C9B">
      <w:pPr>
        <w:pStyle w:val="Titre1"/>
        <w:keepNext/>
        <w:keepLines/>
        <w:numPr>
          <w:ilvl w:val="0"/>
          <w:numId w:val="6"/>
        </w:numPr>
        <w:pBdr>
          <w:top w:val="none" w:sz="0" w:space="0" w:color="auto"/>
          <w:bottom w:val="none" w:sz="0" w:space="0" w:color="auto"/>
        </w:pBdr>
        <w:shd w:val="clear" w:color="auto" w:fill="auto"/>
        <w:spacing w:before="240" w:after="0"/>
        <w:ind w:left="284" w:hanging="284"/>
        <w:rPr>
          <w:rFonts w:asciiTheme="minorHAnsi" w:eastAsiaTheme="majorEastAsia" w:hAnsiTheme="minorHAnsi" w:cstheme="majorBidi"/>
          <w:color w:val="0070C0"/>
          <w:sz w:val="24"/>
          <w:szCs w:val="32"/>
          <w:u w:val="single"/>
        </w:rPr>
      </w:pPr>
      <w:r>
        <w:rPr>
          <w:rFonts w:asciiTheme="minorHAnsi" w:eastAsiaTheme="majorEastAsia" w:hAnsiTheme="minorHAnsi" w:cstheme="majorBidi"/>
          <w:color w:val="0070C0"/>
          <w:sz w:val="24"/>
          <w:szCs w:val="32"/>
          <w:u w:val="single"/>
        </w:rPr>
        <w:lastRenderedPageBreak/>
        <w:t>Informations dans l’annexe relatives aux frais de formation professionnelle</w:t>
      </w:r>
    </w:p>
    <w:p w:rsidR="00BB49A1" w:rsidRDefault="00BB49A1" w:rsidP="00D42AFA">
      <w:pPr>
        <w:spacing w:after="60" w:line="259" w:lineRule="auto"/>
        <w:rPr>
          <w:rFonts w:eastAsia="Calibri" w:cstheme="minorHAnsi"/>
          <w:color w:val="000000" w:themeColor="text1"/>
        </w:rPr>
      </w:pPr>
    </w:p>
    <w:p w:rsidR="003E38E9" w:rsidRDefault="003E38E9" w:rsidP="00BB49A1">
      <w:pPr>
        <w:shd w:val="clear" w:color="auto" w:fill="FFFFFF"/>
        <w:spacing w:after="150"/>
        <w:jc w:val="left"/>
        <w:rPr>
          <w:rFonts w:ascii="Arial" w:hAnsi="Arial" w:cs="Arial"/>
          <w:color w:val="333333"/>
          <w:sz w:val="20"/>
        </w:rPr>
      </w:pPr>
      <w:r>
        <w:rPr>
          <w:rFonts w:ascii="Arial" w:hAnsi="Arial" w:cs="Arial"/>
          <w:color w:val="333333"/>
          <w:sz w:val="20"/>
        </w:rPr>
        <w:t>Des informations relatives à la formation professionnelle peuvent figurer en annexe (montant total, en historique, par type de formation, rapporté à la masse salariale, nombre d’heures, part des salariés).</w:t>
      </w:r>
    </w:p>
    <w:p w:rsidR="003E38E9" w:rsidRDefault="003E38E9" w:rsidP="00BB49A1">
      <w:pPr>
        <w:shd w:val="clear" w:color="auto" w:fill="FFFFFF"/>
        <w:spacing w:after="150"/>
        <w:jc w:val="left"/>
        <w:rPr>
          <w:rFonts w:ascii="Arial" w:hAnsi="Arial" w:cs="Arial"/>
          <w:color w:val="333333"/>
          <w:sz w:val="20"/>
        </w:rPr>
      </w:pPr>
    </w:p>
    <w:p w:rsidR="003E38E9" w:rsidRDefault="003E38E9" w:rsidP="00BB49A1">
      <w:pPr>
        <w:shd w:val="clear" w:color="auto" w:fill="FFFFFF"/>
        <w:spacing w:after="150"/>
        <w:jc w:val="left"/>
        <w:rPr>
          <w:rFonts w:ascii="Arial" w:hAnsi="Arial" w:cs="Arial"/>
          <w:color w:val="333333"/>
          <w:sz w:val="20"/>
        </w:rPr>
      </w:pPr>
      <w:r>
        <w:rPr>
          <w:rFonts w:ascii="Arial" w:hAnsi="Arial" w:cs="Arial"/>
          <w:color w:val="333333"/>
          <w:sz w:val="20"/>
        </w:rPr>
        <w:t>Le règlement propose des modèles de tableaux à insérer dans l’annexe</w:t>
      </w:r>
    </w:p>
    <w:p w:rsidR="005462AA" w:rsidRDefault="005462AA" w:rsidP="00D42AFA">
      <w:pPr>
        <w:spacing w:after="60" w:line="259" w:lineRule="auto"/>
        <w:rPr>
          <w:rFonts w:eastAsia="Calibri" w:cstheme="minorHAnsi"/>
          <w:color w:val="000000" w:themeColor="text1"/>
        </w:rPr>
      </w:pPr>
    </w:p>
    <w:p w:rsidR="00091E31" w:rsidRPr="00091E31" w:rsidRDefault="001159E9" w:rsidP="003E38E9">
      <w:pPr>
        <w:pStyle w:val="Titre1"/>
        <w:keepNext/>
        <w:keepLines/>
        <w:numPr>
          <w:ilvl w:val="0"/>
          <w:numId w:val="6"/>
        </w:numPr>
        <w:pBdr>
          <w:top w:val="none" w:sz="0" w:space="0" w:color="auto"/>
          <w:bottom w:val="none" w:sz="0" w:space="0" w:color="auto"/>
        </w:pBdr>
        <w:shd w:val="clear" w:color="auto" w:fill="auto"/>
        <w:spacing w:before="240" w:after="0"/>
        <w:ind w:left="284" w:hanging="284"/>
        <w:rPr>
          <w:rFonts w:asciiTheme="minorHAnsi" w:eastAsiaTheme="majorEastAsia" w:hAnsiTheme="minorHAnsi" w:cstheme="majorBidi"/>
          <w:color w:val="0070C0"/>
          <w:sz w:val="24"/>
          <w:szCs w:val="32"/>
          <w:u w:val="single"/>
        </w:rPr>
      </w:pPr>
      <w:r>
        <w:rPr>
          <w:rFonts w:asciiTheme="minorHAnsi" w:eastAsiaTheme="majorEastAsia" w:hAnsiTheme="minorHAnsi" w:cstheme="majorBidi"/>
          <w:color w:val="0070C0"/>
          <w:sz w:val="24"/>
          <w:szCs w:val="32"/>
          <w:u w:val="single"/>
        </w:rPr>
        <w:t>Changement de libellé du compte 6333</w:t>
      </w:r>
    </w:p>
    <w:p w:rsidR="002936D1" w:rsidRDefault="002936D1" w:rsidP="002936D1">
      <w:pPr>
        <w:spacing w:line="259" w:lineRule="auto"/>
        <w:rPr>
          <w:rFonts w:eastAsiaTheme="majorEastAsia"/>
          <w:lang w:eastAsia="en-US"/>
        </w:rPr>
      </w:pPr>
    </w:p>
    <w:p w:rsidR="001159E9" w:rsidRDefault="001159E9" w:rsidP="00091E31">
      <w:pPr>
        <w:spacing w:line="259" w:lineRule="auto"/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>Le compte 6333 dont le libellé était « </w:t>
      </w:r>
      <w:r w:rsidRPr="001159E9">
        <w:rPr>
          <w:rFonts w:eastAsiaTheme="majorEastAsia"/>
          <w:lang w:eastAsia="en-US"/>
        </w:rPr>
        <w:t>Participation des employeurs à la formation professionnelle continue</w:t>
      </w:r>
      <w:r>
        <w:rPr>
          <w:rFonts w:eastAsiaTheme="majorEastAsia"/>
          <w:lang w:eastAsia="en-US"/>
        </w:rPr>
        <w:t> » s’intitule dorénavant « Contribution unique des employeurs à la formation professionnelle ».</w:t>
      </w:r>
    </w:p>
    <w:p w:rsidR="001159E9" w:rsidRDefault="001159E9" w:rsidP="00091E31">
      <w:pPr>
        <w:spacing w:line="259" w:lineRule="auto"/>
        <w:rPr>
          <w:rFonts w:eastAsiaTheme="majorEastAsia"/>
          <w:lang w:eastAsia="en-US"/>
        </w:rPr>
      </w:pPr>
    </w:p>
    <w:p w:rsidR="001159E9" w:rsidRDefault="001159E9" w:rsidP="00091E31">
      <w:pPr>
        <w:spacing w:line="259" w:lineRule="auto"/>
        <w:rPr>
          <w:rFonts w:eastAsiaTheme="majorEastAsia"/>
          <w:lang w:eastAsia="en-US"/>
        </w:rPr>
      </w:pPr>
    </w:p>
    <w:p w:rsidR="001159E9" w:rsidRDefault="001159E9" w:rsidP="001159E9">
      <w:pPr>
        <w:spacing w:line="259" w:lineRule="auto"/>
        <w:rPr>
          <w:rFonts w:eastAsiaTheme="majorEastAsia"/>
          <w:lang w:eastAsia="en-US"/>
        </w:rPr>
      </w:pPr>
    </w:p>
    <w:p w:rsidR="001159E9" w:rsidRDefault="001159E9" w:rsidP="001159E9">
      <w:pPr>
        <w:spacing w:line="259" w:lineRule="auto"/>
        <w:rPr>
          <w:rFonts w:eastAsiaTheme="majorEastAsia"/>
          <w:lang w:eastAsia="en-US"/>
        </w:rPr>
      </w:pPr>
    </w:p>
    <w:p w:rsidR="001159E9" w:rsidRDefault="001159E9" w:rsidP="00091E31">
      <w:pPr>
        <w:spacing w:line="259" w:lineRule="auto"/>
        <w:rPr>
          <w:rFonts w:eastAsiaTheme="majorEastAsia"/>
          <w:lang w:eastAsia="en-US"/>
        </w:rPr>
      </w:pPr>
    </w:p>
    <w:sectPr w:rsidR="001159E9" w:rsidSect="00F5722D">
      <w:headerReference w:type="default" r:id="rId12"/>
      <w:footerReference w:type="default" r:id="rId13"/>
      <w:type w:val="continuous"/>
      <w:pgSz w:w="11906" w:h="16838" w:code="9"/>
      <w:pgMar w:top="1134" w:right="1418" w:bottom="1021" w:left="1418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92F" w:rsidRDefault="0066592F">
      <w:r>
        <w:separator/>
      </w:r>
    </w:p>
  </w:endnote>
  <w:endnote w:type="continuationSeparator" w:id="0">
    <w:p w:rsidR="0066592F" w:rsidRDefault="0066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9A1" w:rsidRPr="00ED5A97" w:rsidRDefault="00BB49A1" w:rsidP="00ED5A97">
    <w:pPr>
      <w:pStyle w:val="Pieddepage"/>
    </w:pPr>
    <w:r w:rsidRPr="00F12DC5">
      <w:rPr>
        <w:sz w:val="12"/>
      </w:rPr>
      <w:t>Veille comptable 20</w:t>
    </w:r>
    <w:r>
      <w:rPr>
        <w:sz w:val="12"/>
      </w:rPr>
      <w:t>20</w:t>
    </w:r>
    <w:r w:rsidRPr="00F12DC5">
      <w:rPr>
        <w:sz w:val="12"/>
      </w:rPr>
      <w:t xml:space="preserve"> n°</w:t>
    </w:r>
    <w:r w:rsidR="00323C9B">
      <w:rPr>
        <w:sz w:val="12"/>
      </w:rPr>
      <w:t>2</w:t>
    </w:r>
    <w:r w:rsidRPr="00F12DC5">
      <w:rPr>
        <w:sz w:val="12"/>
      </w:rPr>
      <w:t>. doc</w:t>
    </w:r>
    <w:r w:rsidRPr="00ED5A97">
      <w:tab/>
    </w:r>
    <w:r w:rsidRPr="00ED5A97">
      <w:rPr>
        <w:sz w:val="16"/>
      </w:rPr>
      <w:t xml:space="preserve">© Réseau CRCF - Ministère de l'Éducation nationale - </w:t>
    </w:r>
    <w:hyperlink r:id="rId1" w:history="1">
      <w:r w:rsidRPr="00ED5A97">
        <w:rPr>
          <w:rStyle w:val="Lienhypertexte"/>
          <w:color w:val="auto"/>
          <w:sz w:val="16"/>
          <w:szCs w:val="16"/>
          <w:u w:val="none"/>
        </w:rPr>
        <w:t>http://crcf.ac-grenoble.fr</w:t>
      </w:r>
    </w:hyperlink>
    <w:r w:rsidRPr="00ED5A97">
      <w:tab/>
      <w:t xml:space="preserve">page </w:t>
    </w:r>
    <w:r w:rsidR="008B6AEB" w:rsidRPr="00ED5A97">
      <w:fldChar w:fldCharType="begin"/>
    </w:r>
    <w:r w:rsidRPr="00ED5A97">
      <w:instrText xml:space="preserve"> PAGE   \* MERGEFORMAT </w:instrText>
    </w:r>
    <w:r w:rsidR="008B6AEB" w:rsidRPr="00ED5A97">
      <w:fldChar w:fldCharType="separate"/>
    </w:r>
    <w:r w:rsidR="007F71EE">
      <w:rPr>
        <w:noProof/>
      </w:rPr>
      <w:t>2</w:t>
    </w:r>
    <w:r w:rsidR="008B6AEB" w:rsidRPr="00ED5A97">
      <w:fldChar w:fldCharType="end"/>
    </w:r>
    <w:r w:rsidRPr="00ED5A97">
      <w:t>/</w:t>
    </w:r>
    <w:r w:rsidR="0066592F">
      <w:fldChar w:fldCharType="begin"/>
    </w:r>
    <w:r w:rsidR="0066592F">
      <w:instrText xml:space="preserve"> NUMPAGES   \* MERGEFORMAT </w:instrText>
    </w:r>
    <w:r w:rsidR="0066592F">
      <w:fldChar w:fldCharType="separate"/>
    </w:r>
    <w:r w:rsidR="007F71EE">
      <w:rPr>
        <w:noProof/>
      </w:rPr>
      <w:t>3</w:t>
    </w:r>
    <w:r w:rsidR="0066592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92F" w:rsidRDefault="0066592F">
      <w:r>
        <w:separator/>
      </w:r>
    </w:p>
  </w:footnote>
  <w:footnote w:type="continuationSeparator" w:id="0">
    <w:p w:rsidR="0066592F" w:rsidRDefault="00665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9A1" w:rsidRPr="00ED5A97" w:rsidRDefault="00BB49A1" w:rsidP="00ED5A97">
    <w:pPr>
      <w:pStyle w:val="En-tte"/>
    </w:pPr>
    <w:r>
      <w:t>Actualité comptable</w:t>
    </w:r>
    <w:r w:rsidRPr="00ED5A97">
      <w:tab/>
    </w:r>
    <w:r w:rsidRPr="00ED5A97">
      <w:tab/>
    </w:r>
    <w:r>
      <w:t>Septembre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65_"/>
      </v:shape>
    </w:pict>
  </w:numPicBullet>
  <w:abstractNum w:abstractNumId="0" w15:restartNumberingAfterBreak="0">
    <w:nsid w:val="0AAF1BA4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BCD7BC9"/>
    <w:multiLevelType w:val="hybridMultilevel"/>
    <w:tmpl w:val="6324EB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03CBA"/>
    <w:multiLevelType w:val="hybridMultilevel"/>
    <w:tmpl w:val="E4506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5277C"/>
    <w:multiLevelType w:val="multilevel"/>
    <w:tmpl w:val="070A608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4" w15:restartNumberingAfterBreak="0">
    <w:nsid w:val="2A831A75"/>
    <w:multiLevelType w:val="hybridMultilevel"/>
    <w:tmpl w:val="7A929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77F1B"/>
    <w:multiLevelType w:val="hybridMultilevel"/>
    <w:tmpl w:val="87262E24"/>
    <w:lvl w:ilvl="0" w:tplc="6DE44B46">
      <w:start w:val="1"/>
      <w:numFmt w:val="bullet"/>
      <w:pStyle w:val="List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A499E"/>
    <w:multiLevelType w:val="hybridMultilevel"/>
    <w:tmpl w:val="5ADE7884"/>
    <w:lvl w:ilvl="0" w:tplc="DCBA708E">
      <w:start w:val="1"/>
      <w:numFmt w:val="bullet"/>
      <w:pStyle w:val="liste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97838"/>
    <w:multiLevelType w:val="hybridMultilevel"/>
    <w:tmpl w:val="9912B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5336C"/>
    <w:multiLevelType w:val="hybridMultilevel"/>
    <w:tmpl w:val="CF1604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97A2B"/>
    <w:multiLevelType w:val="hybridMultilevel"/>
    <w:tmpl w:val="1C2E736E"/>
    <w:lvl w:ilvl="0" w:tplc="1AC4396C">
      <w:start w:val="1"/>
      <w:numFmt w:val="bullet"/>
      <w:pStyle w:val="StyleVerdana8ptAvant5ptAprs6ptInterligneAumo1"/>
      <w:lvlText w:val=""/>
      <w:lvlJc w:val="left"/>
      <w:pPr>
        <w:tabs>
          <w:tab w:val="num" w:pos="426"/>
        </w:tabs>
        <w:ind w:left="426" w:hanging="142"/>
      </w:pPr>
      <w:rPr>
        <w:rFonts w:ascii="Symbol" w:hAnsi="Symbol" w:hint="default"/>
        <w:sz w:val="18"/>
        <w:szCs w:val="18"/>
      </w:rPr>
    </w:lvl>
    <w:lvl w:ilvl="1" w:tplc="040C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35E203C"/>
    <w:multiLevelType w:val="hybridMultilevel"/>
    <w:tmpl w:val="CF1604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2"/>
  </w:num>
  <w:num w:numId="10">
    <w:abstractNumId w:val="7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EA"/>
    <w:rsid w:val="00000189"/>
    <w:rsid w:val="00016B2F"/>
    <w:rsid w:val="00020DF6"/>
    <w:rsid w:val="00030DE5"/>
    <w:rsid w:val="00044392"/>
    <w:rsid w:val="00045EF8"/>
    <w:rsid w:val="000473B7"/>
    <w:rsid w:val="00060389"/>
    <w:rsid w:val="00070014"/>
    <w:rsid w:val="00091E31"/>
    <w:rsid w:val="000924F4"/>
    <w:rsid w:val="00093417"/>
    <w:rsid w:val="00093D7C"/>
    <w:rsid w:val="00094210"/>
    <w:rsid w:val="00097F94"/>
    <w:rsid w:val="000C2D62"/>
    <w:rsid w:val="000D0628"/>
    <w:rsid w:val="00102B5B"/>
    <w:rsid w:val="001159E9"/>
    <w:rsid w:val="00150D9C"/>
    <w:rsid w:val="00151650"/>
    <w:rsid w:val="0015246D"/>
    <w:rsid w:val="001735D1"/>
    <w:rsid w:val="001934F7"/>
    <w:rsid w:val="001A5C95"/>
    <w:rsid w:val="001D2444"/>
    <w:rsid w:val="001D500F"/>
    <w:rsid w:val="001E0018"/>
    <w:rsid w:val="001F30FF"/>
    <w:rsid w:val="001F4166"/>
    <w:rsid w:val="0020688C"/>
    <w:rsid w:val="00217004"/>
    <w:rsid w:val="002231F6"/>
    <w:rsid w:val="00230396"/>
    <w:rsid w:val="00240001"/>
    <w:rsid w:val="00250221"/>
    <w:rsid w:val="00251623"/>
    <w:rsid w:val="00273CD9"/>
    <w:rsid w:val="00280C29"/>
    <w:rsid w:val="00283C6F"/>
    <w:rsid w:val="002936D1"/>
    <w:rsid w:val="002A063C"/>
    <w:rsid w:val="002A35E3"/>
    <w:rsid w:val="002B632B"/>
    <w:rsid w:val="002C4C4D"/>
    <w:rsid w:val="002D4028"/>
    <w:rsid w:val="002E58AD"/>
    <w:rsid w:val="002E6E3A"/>
    <w:rsid w:val="002F280B"/>
    <w:rsid w:val="002F2BD3"/>
    <w:rsid w:val="002F61A3"/>
    <w:rsid w:val="0030302D"/>
    <w:rsid w:val="00323C9B"/>
    <w:rsid w:val="0032792C"/>
    <w:rsid w:val="00333D37"/>
    <w:rsid w:val="00335B0A"/>
    <w:rsid w:val="003968C6"/>
    <w:rsid w:val="003A1A03"/>
    <w:rsid w:val="003B1E29"/>
    <w:rsid w:val="003B4D2D"/>
    <w:rsid w:val="003B53A3"/>
    <w:rsid w:val="003B7ADB"/>
    <w:rsid w:val="003D4EEE"/>
    <w:rsid w:val="003E38E9"/>
    <w:rsid w:val="003E469F"/>
    <w:rsid w:val="003E5082"/>
    <w:rsid w:val="003E785A"/>
    <w:rsid w:val="003E79BA"/>
    <w:rsid w:val="003F4A6D"/>
    <w:rsid w:val="00412819"/>
    <w:rsid w:val="00416205"/>
    <w:rsid w:val="004563F0"/>
    <w:rsid w:val="004723A2"/>
    <w:rsid w:val="00485820"/>
    <w:rsid w:val="004878D8"/>
    <w:rsid w:val="004945F6"/>
    <w:rsid w:val="00494661"/>
    <w:rsid w:val="004A0727"/>
    <w:rsid w:val="004C2CD6"/>
    <w:rsid w:val="004D1E60"/>
    <w:rsid w:val="004E22CF"/>
    <w:rsid w:val="0050214D"/>
    <w:rsid w:val="00534ACD"/>
    <w:rsid w:val="005461B5"/>
    <w:rsid w:val="005462AA"/>
    <w:rsid w:val="0055086D"/>
    <w:rsid w:val="005532AF"/>
    <w:rsid w:val="00553891"/>
    <w:rsid w:val="00555C2B"/>
    <w:rsid w:val="0057008E"/>
    <w:rsid w:val="005748D2"/>
    <w:rsid w:val="005808F0"/>
    <w:rsid w:val="005858B8"/>
    <w:rsid w:val="005A2EB6"/>
    <w:rsid w:val="005B7E5B"/>
    <w:rsid w:val="006073E0"/>
    <w:rsid w:val="00625F26"/>
    <w:rsid w:val="00633F70"/>
    <w:rsid w:val="00644C99"/>
    <w:rsid w:val="00653276"/>
    <w:rsid w:val="00657C9E"/>
    <w:rsid w:val="00662F9E"/>
    <w:rsid w:val="0066592F"/>
    <w:rsid w:val="00677458"/>
    <w:rsid w:val="0067773E"/>
    <w:rsid w:val="00692512"/>
    <w:rsid w:val="006A058D"/>
    <w:rsid w:val="006A6AF0"/>
    <w:rsid w:val="006A7700"/>
    <w:rsid w:val="006B2337"/>
    <w:rsid w:val="006B2493"/>
    <w:rsid w:val="006B618F"/>
    <w:rsid w:val="006E511E"/>
    <w:rsid w:val="006F29D2"/>
    <w:rsid w:val="006F6B32"/>
    <w:rsid w:val="00703D53"/>
    <w:rsid w:val="00707D27"/>
    <w:rsid w:val="007218FC"/>
    <w:rsid w:val="0073264E"/>
    <w:rsid w:val="00734305"/>
    <w:rsid w:val="00742289"/>
    <w:rsid w:val="007536C1"/>
    <w:rsid w:val="00762D43"/>
    <w:rsid w:val="00771FA0"/>
    <w:rsid w:val="007745C9"/>
    <w:rsid w:val="00782042"/>
    <w:rsid w:val="00787BE3"/>
    <w:rsid w:val="007A1A0D"/>
    <w:rsid w:val="007B6B62"/>
    <w:rsid w:val="007C0974"/>
    <w:rsid w:val="007D1648"/>
    <w:rsid w:val="007F0C73"/>
    <w:rsid w:val="007F6F79"/>
    <w:rsid w:val="007F71EE"/>
    <w:rsid w:val="00805568"/>
    <w:rsid w:val="0081689C"/>
    <w:rsid w:val="00825703"/>
    <w:rsid w:val="00850718"/>
    <w:rsid w:val="008602E9"/>
    <w:rsid w:val="00866276"/>
    <w:rsid w:val="00873551"/>
    <w:rsid w:val="00873873"/>
    <w:rsid w:val="00895D27"/>
    <w:rsid w:val="00896530"/>
    <w:rsid w:val="008976D7"/>
    <w:rsid w:val="008B1E61"/>
    <w:rsid w:val="008B3941"/>
    <w:rsid w:val="008B6AEB"/>
    <w:rsid w:val="008C1FC5"/>
    <w:rsid w:val="008C35AC"/>
    <w:rsid w:val="008C415E"/>
    <w:rsid w:val="008E7D0A"/>
    <w:rsid w:val="008F2F8B"/>
    <w:rsid w:val="0090509F"/>
    <w:rsid w:val="00910001"/>
    <w:rsid w:val="00917123"/>
    <w:rsid w:val="00933156"/>
    <w:rsid w:val="00936048"/>
    <w:rsid w:val="00956F1D"/>
    <w:rsid w:val="009622C9"/>
    <w:rsid w:val="00982901"/>
    <w:rsid w:val="00992100"/>
    <w:rsid w:val="00992A30"/>
    <w:rsid w:val="00996418"/>
    <w:rsid w:val="009A49A8"/>
    <w:rsid w:val="009A4A6D"/>
    <w:rsid w:val="009B4368"/>
    <w:rsid w:val="009C3961"/>
    <w:rsid w:val="009D1A99"/>
    <w:rsid w:val="009E0FC5"/>
    <w:rsid w:val="009F0D00"/>
    <w:rsid w:val="009F438B"/>
    <w:rsid w:val="00A01D74"/>
    <w:rsid w:val="00A27E60"/>
    <w:rsid w:val="00A3151D"/>
    <w:rsid w:val="00A33E74"/>
    <w:rsid w:val="00A33E9D"/>
    <w:rsid w:val="00A46E8C"/>
    <w:rsid w:val="00A860D2"/>
    <w:rsid w:val="00AA3015"/>
    <w:rsid w:val="00AB3D5B"/>
    <w:rsid w:val="00AD39CE"/>
    <w:rsid w:val="00AD73B7"/>
    <w:rsid w:val="00AE4856"/>
    <w:rsid w:val="00B036D5"/>
    <w:rsid w:val="00B543E0"/>
    <w:rsid w:val="00B654DA"/>
    <w:rsid w:val="00B927E8"/>
    <w:rsid w:val="00B957E2"/>
    <w:rsid w:val="00BA25F7"/>
    <w:rsid w:val="00BA41EA"/>
    <w:rsid w:val="00BA4734"/>
    <w:rsid w:val="00BB17CD"/>
    <w:rsid w:val="00BB49A1"/>
    <w:rsid w:val="00BB756B"/>
    <w:rsid w:val="00BC297F"/>
    <w:rsid w:val="00BD1DF2"/>
    <w:rsid w:val="00BF0220"/>
    <w:rsid w:val="00BF3665"/>
    <w:rsid w:val="00C065D3"/>
    <w:rsid w:val="00C162C4"/>
    <w:rsid w:val="00C2424A"/>
    <w:rsid w:val="00C30425"/>
    <w:rsid w:val="00C525AD"/>
    <w:rsid w:val="00C57C62"/>
    <w:rsid w:val="00C81112"/>
    <w:rsid w:val="00C8440E"/>
    <w:rsid w:val="00C9394F"/>
    <w:rsid w:val="00C94276"/>
    <w:rsid w:val="00C948B0"/>
    <w:rsid w:val="00C95349"/>
    <w:rsid w:val="00CA60EA"/>
    <w:rsid w:val="00CC58DB"/>
    <w:rsid w:val="00CE199E"/>
    <w:rsid w:val="00CF7068"/>
    <w:rsid w:val="00D03824"/>
    <w:rsid w:val="00D102BE"/>
    <w:rsid w:val="00D12D23"/>
    <w:rsid w:val="00D1469C"/>
    <w:rsid w:val="00D1497E"/>
    <w:rsid w:val="00D23A96"/>
    <w:rsid w:val="00D27D31"/>
    <w:rsid w:val="00D42AFA"/>
    <w:rsid w:val="00D652B9"/>
    <w:rsid w:val="00DA0870"/>
    <w:rsid w:val="00DA1F26"/>
    <w:rsid w:val="00DA249E"/>
    <w:rsid w:val="00DA6585"/>
    <w:rsid w:val="00DC1B41"/>
    <w:rsid w:val="00DD3A16"/>
    <w:rsid w:val="00DE7E4D"/>
    <w:rsid w:val="00DF0382"/>
    <w:rsid w:val="00DF0F27"/>
    <w:rsid w:val="00DF555C"/>
    <w:rsid w:val="00E35E35"/>
    <w:rsid w:val="00E85C04"/>
    <w:rsid w:val="00E96191"/>
    <w:rsid w:val="00EA0C87"/>
    <w:rsid w:val="00ED53BD"/>
    <w:rsid w:val="00ED5A97"/>
    <w:rsid w:val="00F0560B"/>
    <w:rsid w:val="00F12DC5"/>
    <w:rsid w:val="00F16420"/>
    <w:rsid w:val="00F21AFC"/>
    <w:rsid w:val="00F324B1"/>
    <w:rsid w:val="00F35225"/>
    <w:rsid w:val="00F439E6"/>
    <w:rsid w:val="00F43ECC"/>
    <w:rsid w:val="00F5722D"/>
    <w:rsid w:val="00F81336"/>
    <w:rsid w:val="00F84664"/>
    <w:rsid w:val="00F87E2F"/>
    <w:rsid w:val="00FB30A1"/>
    <w:rsid w:val="00FC09DC"/>
    <w:rsid w:val="00FD38D1"/>
    <w:rsid w:val="00FE4D51"/>
    <w:rsid w:val="00FE6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149F37"/>
  <w15:docId w15:val="{38114D30-7642-424E-B94C-BACBE2A0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E35"/>
    <w:pPr>
      <w:jc w:val="both"/>
    </w:pPr>
    <w:rPr>
      <w:rFonts w:ascii="Calibri" w:hAnsi="Calibri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250221"/>
    <w:pPr>
      <w:pBdr>
        <w:top w:val="single" w:sz="18" w:space="4" w:color="B8CCE4"/>
        <w:bottom w:val="single" w:sz="8" w:space="1" w:color="0F243E"/>
      </w:pBdr>
      <w:shd w:val="clear" w:color="auto" w:fill="1F497D"/>
      <w:spacing w:before="120" w:after="240"/>
      <w:jc w:val="left"/>
      <w:outlineLvl w:val="0"/>
    </w:pPr>
    <w:rPr>
      <w:rFonts w:ascii="Arial" w:eastAsia="Calibri" w:hAnsi="Arial" w:cs="Arial"/>
      <w:b/>
      <w:color w:val="FFFFFF"/>
      <w:sz w:val="28"/>
      <w:szCs w:val="22"/>
      <w:lang w:eastAsia="en-US"/>
    </w:rPr>
  </w:style>
  <w:style w:type="paragraph" w:styleId="Titre2">
    <w:name w:val="heading 2"/>
    <w:basedOn w:val="Normal"/>
    <w:next w:val="Normal"/>
    <w:qFormat/>
    <w:rsid w:val="00A01D74"/>
    <w:pPr>
      <w:keepNext/>
      <w:numPr>
        <w:ilvl w:val="1"/>
        <w:numId w:val="1"/>
      </w:numPr>
      <w:spacing w:before="240" w:after="240"/>
      <w:outlineLvl w:val="1"/>
    </w:pPr>
    <w:rPr>
      <w:rFonts w:ascii="Arial" w:hAnsi="Arial" w:cs="Arial"/>
      <w:b/>
      <w:bCs/>
      <w:iCs/>
      <w:color w:val="0F243E"/>
      <w:sz w:val="26"/>
      <w:szCs w:val="26"/>
      <w:u w:val="single"/>
    </w:rPr>
  </w:style>
  <w:style w:type="paragraph" w:styleId="Titre3">
    <w:name w:val="heading 3"/>
    <w:basedOn w:val="Normal"/>
    <w:next w:val="Normal"/>
    <w:autoRedefine/>
    <w:qFormat/>
    <w:rsid w:val="00A01D74"/>
    <w:pPr>
      <w:keepNext/>
      <w:numPr>
        <w:ilvl w:val="2"/>
        <w:numId w:val="1"/>
      </w:numPr>
      <w:tabs>
        <w:tab w:val="left" w:pos="1134"/>
      </w:tabs>
      <w:spacing w:before="240" w:after="120"/>
      <w:outlineLvl w:val="2"/>
    </w:pPr>
    <w:rPr>
      <w:rFonts w:ascii="Arial" w:hAnsi="Arial" w:cs="Arial"/>
      <w:b/>
      <w:bCs/>
      <w:i/>
      <w:iCs/>
      <w:color w:val="0F243E"/>
      <w:szCs w:val="26"/>
    </w:rPr>
  </w:style>
  <w:style w:type="paragraph" w:styleId="Titre4">
    <w:name w:val="heading 4"/>
    <w:basedOn w:val="Normal"/>
    <w:next w:val="Normal"/>
    <w:qFormat/>
    <w:rsid w:val="00A01D74"/>
    <w:pPr>
      <w:keepNext/>
      <w:numPr>
        <w:ilvl w:val="3"/>
        <w:numId w:val="1"/>
      </w:numPr>
      <w:spacing w:before="120" w:after="120"/>
      <w:outlineLvl w:val="3"/>
    </w:pPr>
    <w:rPr>
      <w:rFonts w:ascii="Arial" w:hAnsi="Arial" w:cs="Arial"/>
      <w:b/>
      <w:bCs/>
      <w:color w:val="0F243E"/>
      <w:sz w:val="20"/>
      <w:szCs w:val="24"/>
    </w:rPr>
  </w:style>
  <w:style w:type="paragraph" w:styleId="Titre5">
    <w:name w:val="heading 5"/>
    <w:basedOn w:val="Normal"/>
    <w:next w:val="Normal"/>
    <w:qFormat/>
    <w:rsid w:val="00A01D74"/>
    <w:pPr>
      <w:numPr>
        <w:ilvl w:val="4"/>
        <w:numId w:val="1"/>
      </w:numPr>
      <w:spacing w:before="120" w:after="60"/>
      <w:outlineLvl w:val="4"/>
    </w:pPr>
    <w:rPr>
      <w:rFonts w:cs="Arial"/>
      <w:bCs/>
      <w:i/>
      <w:iCs/>
      <w:szCs w:val="22"/>
    </w:rPr>
  </w:style>
  <w:style w:type="paragraph" w:styleId="Titre6">
    <w:name w:val="heading 6"/>
    <w:basedOn w:val="Normal"/>
    <w:next w:val="Normal"/>
    <w:qFormat/>
    <w:rsid w:val="0032792C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">
    <w:name w:val="List"/>
    <w:basedOn w:val="Normal"/>
    <w:rsid w:val="00097F94"/>
    <w:pPr>
      <w:numPr>
        <w:numId w:val="4"/>
      </w:numPr>
      <w:tabs>
        <w:tab w:val="left" w:pos="567"/>
      </w:tabs>
      <w:spacing w:after="120"/>
      <w:ind w:left="568" w:hanging="284"/>
    </w:pPr>
  </w:style>
  <w:style w:type="character" w:styleId="Lienhypertexte">
    <w:name w:val="Hyperlink"/>
    <w:uiPriority w:val="99"/>
    <w:rsid w:val="008C1FC5"/>
    <w:rPr>
      <w:color w:val="0000FF"/>
      <w:u w:val="single"/>
    </w:rPr>
  </w:style>
  <w:style w:type="character" w:styleId="lev">
    <w:name w:val="Strong"/>
    <w:uiPriority w:val="22"/>
    <w:qFormat/>
    <w:rsid w:val="00AD39CE"/>
    <w:rPr>
      <w:b/>
      <w:bCs/>
    </w:rPr>
  </w:style>
  <w:style w:type="character" w:styleId="Marquedecommentaire">
    <w:name w:val="annotation reference"/>
    <w:semiHidden/>
    <w:rsid w:val="00016B2F"/>
    <w:rPr>
      <w:sz w:val="16"/>
      <w:szCs w:val="16"/>
    </w:rPr>
  </w:style>
  <w:style w:type="paragraph" w:styleId="Commentaire">
    <w:name w:val="annotation text"/>
    <w:basedOn w:val="Normal"/>
    <w:semiHidden/>
    <w:rsid w:val="00016B2F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016B2F"/>
    <w:rPr>
      <w:b/>
      <w:bCs/>
    </w:rPr>
  </w:style>
  <w:style w:type="paragraph" w:styleId="Textedebulles">
    <w:name w:val="Balloon Text"/>
    <w:basedOn w:val="Normal"/>
    <w:semiHidden/>
    <w:rsid w:val="00016B2F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ED5A97"/>
    <w:pPr>
      <w:tabs>
        <w:tab w:val="center" w:pos="5760"/>
        <w:tab w:val="right" w:pos="9072"/>
      </w:tabs>
    </w:pPr>
    <w:rPr>
      <w:rFonts w:ascii="Arial" w:hAnsi="Arial" w:cs="Arial"/>
      <w:b/>
      <w:sz w:val="18"/>
      <w:szCs w:val="18"/>
    </w:rPr>
  </w:style>
  <w:style w:type="paragraph" w:styleId="Pieddepage">
    <w:name w:val="footer"/>
    <w:basedOn w:val="Normal"/>
    <w:rsid w:val="00ED5A97"/>
    <w:pPr>
      <w:pBdr>
        <w:top w:val="single" w:sz="4" w:space="1" w:color="auto"/>
      </w:pBdr>
      <w:tabs>
        <w:tab w:val="center" w:pos="4860"/>
        <w:tab w:val="right" w:pos="9072"/>
      </w:tabs>
    </w:pPr>
    <w:rPr>
      <w:rFonts w:ascii="Arial" w:hAnsi="Arial" w:cs="Arial"/>
      <w:b/>
      <w:sz w:val="18"/>
      <w:szCs w:val="18"/>
    </w:rPr>
  </w:style>
  <w:style w:type="paragraph" w:customStyle="1" w:styleId="Titre215pt">
    <w:name w:val="Titre 2 + 15 pt"/>
    <w:aliases w:val="Non Italique"/>
    <w:basedOn w:val="Titre2"/>
    <w:rsid w:val="002F2BD3"/>
    <w:rPr>
      <w:i/>
      <w:sz w:val="30"/>
      <w:szCs w:val="30"/>
    </w:rPr>
  </w:style>
  <w:style w:type="paragraph" w:styleId="TM1">
    <w:name w:val="toc 1"/>
    <w:basedOn w:val="Normal"/>
    <w:next w:val="Normal"/>
    <w:autoRedefine/>
    <w:uiPriority w:val="39"/>
    <w:rsid w:val="00A33E74"/>
    <w:pPr>
      <w:tabs>
        <w:tab w:val="left" w:pos="284"/>
        <w:tab w:val="right" w:leader="dot" w:pos="9072"/>
      </w:tabs>
      <w:spacing w:before="360"/>
    </w:pPr>
    <w:rPr>
      <w:rFonts w:ascii="Arial" w:hAnsi="Arial" w:cs="Arial"/>
      <w:b/>
      <w:bCs/>
      <w:caps/>
      <w:noProof/>
      <w:sz w:val="24"/>
      <w:szCs w:val="24"/>
    </w:rPr>
  </w:style>
  <w:style w:type="paragraph" w:styleId="TM2">
    <w:name w:val="toc 2"/>
    <w:basedOn w:val="Normal"/>
    <w:next w:val="Normal"/>
    <w:autoRedefine/>
    <w:uiPriority w:val="39"/>
    <w:rsid w:val="00A33E74"/>
    <w:pPr>
      <w:tabs>
        <w:tab w:val="left" w:pos="567"/>
        <w:tab w:val="right" w:pos="9072"/>
      </w:tabs>
      <w:spacing w:before="240"/>
      <w:ind w:left="142"/>
    </w:pPr>
    <w:rPr>
      <w:b/>
      <w:bCs/>
      <w:noProof/>
      <w:sz w:val="20"/>
    </w:rPr>
  </w:style>
  <w:style w:type="paragraph" w:styleId="TM3">
    <w:name w:val="toc 3"/>
    <w:basedOn w:val="Normal"/>
    <w:next w:val="Normal"/>
    <w:autoRedefine/>
    <w:uiPriority w:val="39"/>
    <w:rsid w:val="00A33E74"/>
    <w:pPr>
      <w:tabs>
        <w:tab w:val="left" w:pos="993"/>
        <w:tab w:val="right" w:leader="dot" w:pos="9072"/>
      </w:tabs>
      <w:ind w:left="426"/>
    </w:pPr>
    <w:rPr>
      <w:noProof/>
      <w:sz w:val="20"/>
    </w:rPr>
  </w:style>
  <w:style w:type="paragraph" w:styleId="TM4">
    <w:name w:val="toc 4"/>
    <w:basedOn w:val="Normal"/>
    <w:next w:val="Normal"/>
    <w:autoRedefine/>
    <w:semiHidden/>
    <w:rsid w:val="00F35225"/>
    <w:pPr>
      <w:ind w:left="440"/>
    </w:pPr>
    <w:rPr>
      <w:sz w:val="20"/>
    </w:rPr>
  </w:style>
  <w:style w:type="paragraph" w:styleId="TM5">
    <w:name w:val="toc 5"/>
    <w:basedOn w:val="Normal"/>
    <w:next w:val="Normal"/>
    <w:autoRedefine/>
    <w:semiHidden/>
    <w:rsid w:val="00F35225"/>
    <w:pPr>
      <w:ind w:left="660"/>
    </w:pPr>
    <w:rPr>
      <w:sz w:val="20"/>
    </w:rPr>
  </w:style>
  <w:style w:type="paragraph" w:styleId="TM6">
    <w:name w:val="toc 6"/>
    <w:basedOn w:val="Normal"/>
    <w:next w:val="Normal"/>
    <w:autoRedefine/>
    <w:semiHidden/>
    <w:rsid w:val="00F35225"/>
    <w:pPr>
      <w:ind w:left="880"/>
    </w:pPr>
    <w:rPr>
      <w:sz w:val="20"/>
    </w:rPr>
  </w:style>
  <w:style w:type="paragraph" w:styleId="TM7">
    <w:name w:val="toc 7"/>
    <w:basedOn w:val="Normal"/>
    <w:next w:val="Normal"/>
    <w:autoRedefine/>
    <w:semiHidden/>
    <w:rsid w:val="00F35225"/>
    <w:pPr>
      <w:ind w:left="1100"/>
    </w:pPr>
    <w:rPr>
      <w:sz w:val="20"/>
    </w:rPr>
  </w:style>
  <w:style w:type="paragraph" w:styleId="TM8">
    <w:name w:val="toc 8"/>
    <w:basedOn w:val="Normal"/>
    <w:next w:val="Normal"/>
    <w:autoRedefine/>
    <w:semiHidden/>
    <w:rsid w:val="00F35225"/>
    <w:pPr>
      <w:ind w:left="1320"/>
    </w:pPr>
    <w:rPr>
      <w:sz w:val="20"/>
    </w:rPr>
  </w:style>
  <w:style w:type="paragraph" w:styleId="TM9">
    <w:name w:val="toc 9"/>
    <w:basedOn w:val="Normal"/>
    <w:next w:val="Normal"/>
    <w:autoRedefine/>
    <w:semiHidden/>
    <w:rsid w:val="00F35225"/>
    <w:pPr>
      <w:ind w:left="1540"/>
    </w:pPr>
    <w:rPr>
      <w:sz w:val="20"/>
    </w:rPr>
  </w:style>
  <w:style w:type="numbering" w:styleId="111111">
    <w:name w:val="Outline List 2"/>
    <w:basedOn w:val="Aucuneliste"/>
    <w:rsid w:val="006E511E"/>
    <w:pPr>
      <w:numPr>
        <w:numId w:val="2"/>
      </w:numPr>
    </w:pPr>
  </w:style>
  <w:style w:type="paragraph" w:customStyle="1" w:styleId="StyleVerdana8ptAvant5ptAprs6ptInterligneAumo1">
    <w:name w:val="Style Verdana 8 pt Avant : 5 pt Après : 6 pt Interligne : Au mo...1"/>
    <w:basedOn w:val="Normal"/>
    <w:rsid w:val="006E511E"/>
    <w:pPr>
      <w:numPr>
        <w:numId w:val="3"/>
      </w:numPr>
    </w:pPr>
  </w:style>
  <w:style w:type="character" w:styleId="Lienhypertextesuivivisit">
    <w:name w:val="FollowedHyperlink"/>
    <w:rsid w:val="00AE4856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771FA0"/>
    <w:pPr>
      <w:spacing w:before="100" w:beforeAutospacing="1" w:after="100" w:afterAutospacing="1"/>
    </w:pPr>
    <w:rPr>
      <w:sz w:val="24"/>
      <w:szCs w:val="24"/>
    </w:rPr>
  </w:style>
  <w:style w:type="character" w:styleId="Accentuation">
    <w:name w:val="Emphasis"/>
    <w:uiPriority w:val="20"/>
    <w:qFormat/>
    <w:rsid w:val="00771FA0"/>
    <w:rPr>
      <w:i/>
      <w:iCs/>
    </w:rPr>
  </w:style>
  <w:style w:type="paragraph" w:styleId="Titre">
    <w:name w:val="Title"/>
    <w:basedOn w:val="Normal"/>
    <w:next w:val="Normal"/>
    <w:link w:val="TitreCar"/>
    <w:qFormat/>
    <w:rsid w:val="00A01D74"/>
    <w:pPr>
      <w:pBdr>
        <w:top w:val="single" w:sz="4" w:space="6" w:color="DDDDDD"/>
        <w:bottom w:val="single" w:sz="4" w:space="6" w:color="DDDDDD"/>
      </w:pBdr>
      <w:shd w:val="clear" w:color="auto" w:fill="DBE5F1"/>
      <w:spacing w:before="120" w:after="240"/>
      <w:ind w:left="1701" w:right="1701"/>
      <w:jc w:val="center"/>
    </w:pPr>
    <w:rPr>
      <w:rFonts w:ascii="Arial" w:hAnsi="Arial" w:cs="Arial"/>
      <w:b/>
      <w:sz w:val="36"/>
      <w:szCs w:val="36"/>
    </w:rPr>
  </w:style>
  <w:style w:type="character" w:customStyle="1" w:styleId="TitreCar">
    <w:name w:val="Titre Car"/>
    <w:link w:val="Titre"/>
    <w:rsid w:val="00A01D74"/>
    <w:rPr>
      <w:rFonts w:ascii="Arial" w:hAnsi="Arial" w:cs="Arial"/>
      <w:b/>
      <w:sz w:val="36"/>
      <w:szCs w:val="36"/>
      <w:shd w:val="clear" w:color="auto" w:fill="DBE5F1"/>
    </w:rPr>
  </w:style>
  <w:style w:type="paragraph" w:customStyle="1" w:styleId="liste2">
    <w:name w:val="liste2"/>
    <w:basedOn w:val="Normal"/>
    <w:link w:val="liste2Car"/>
    <w:qFormat/>
    <w:rsid w:val="00097F94"/>
    <w:pPr>
      <w:numPr>
        <w:numId w:val="5"/>
      </w:numPr>
      <w:spacing w:after="120"/>
      <w:ind w:left="851" w:hanging="284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33E74"/>
    <w:pPr>
      <w:keepNext/>
      <w:keepLines/>
      <w:pBdr>
        <w:top w:val="none" w:sz="0" w:space="0" w:color="auto"/>
        <w:bottom w:val="none" w:sz="0" w:space="0" w:color="auto"/>
      </w:pBdr>
      <w:shd w:val="clear" w:color="auto" w:fill="auto"/>
      <w:spacing w:before="480" w:after="0" w:line="276" w:lineRule="auto"/>
      <w:outlineLvl w:val="9"/>
    </w:pPr>
    <w:rPr>
      <w:rFonts w:ascii="Cambria" w:eastAsia="Times New Roman" w:hAnsi="Cambria" w:cs="Times New Roman"/>
      <w:bCs/>
      <w:color w:val="365F91"/>
      <w:szCs w:val="28"/>
    </w:rPr>
  </w:style>
  <w:style w:type="character" w:customStyle="1" w:styleId="liste2Car">
    <w:name w:val="liste2 Car"/>
    <w:link w:val="liste2"/>
    <w:rsid w:val="00097F94"/>
    <w:rPr>
      <w:rFonts w:ascii="Calibri" w:hAnsi="Calibri"/>
      <w:sz w:val="22"/>
    </w:rPr>
  </w:style>
  <w:style w:type="paragraph" w:customStyle="1" w:styleId="Annexe">
    <w:name w:val="Annexe"/>
    <w:basedOn w:val="Normal"/>
    <w:link w:val="AnnexeCar"/>
    <w:qFormat/>
    <w:rsid w:val="006073E0"/>
    <w:pPr>
      <w:pBdr>
        <w:top w:val="single" w:sz="12" w:space="1" w:color="17365D"/>
      </w:pBdr>
      <w:shd w:val="clear" w:color="auto" w:fill="C6D9F1"/>
      <w:spacing w:before="120" w:after="240"/>
      <w:jc w:val="left"/>
    </w:pPr>
    <w:rPr>
      <w:rFonts w:eastAsia="Calibri"/>
      <w:b/>
      <w:color w:val="003366"/>
      <w:sz w:val="28"/>
      <w:szCs w:val="22"/>
      <w:lang w:eastAsia="en-US"/>
    </w:rPr>
  </w:style>
  <w:style w:type="character" w:customStyle="1" w:styleId="AnnexeCar">
    <w:name w:val="Annexe Car"/>
    <w:link w:val="Annexe"/>
    <w:rsid w:val="006073E0"/>
    <w:rPr>
      <w:rFonts w:ascii="Calibri" w:eastAsia="Calibri" w:hAnsi="Calibri"/>
      <w:b/>
      <w:color w:val="003366"/>
      <w:sz w:val="28"/>
      <w:szCs w:val="22"/>
      <w:shd w:val="clear" w:color="auto" w:fill="C6D9F1"/>
      <w:lang w:eastAsia="en-US"/>
    </w:rPr>
  </w:style>
  <w:style w:type="paragraph" w:styleId="Paragraphedeliste">
    <w:name w:val="List Paragraph"/>
    <w:basedOn w:val="Normal"/>
    <w:uiPriority w:val="34"/>
    <w:qFormat/>
    <w:rsid w:val="00C9534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Sansinterligne">
    <w:name w:val="No Spacing"/>
    <w:uiPriority w:val="1"/>
    <w:qFormat/>
    <w:rsid w:val="00C9534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C953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AD73B7"/>
    <w:rPr>
      <w:color w:val="808080"/>
      <w:shd w:val="clear" w:color="auto" w:fill="E6E6E6"/>
    </w:rPr>
  </w:style>
  <w:style w:type="character" w:customStyle="1" w:styleId="Titre1Car">
    <w:name w:val="Titre 1 Car"/>
    <w:basedOn w:val="Policepardfaut"/>
    <w:link w:val="Titre1"/>
    <w:uiPriority w:val="9"/>
    <w:rsid w:val="00782042"/>
    <w:rPr>
      <w:rFonts w:ascii="Arial" w:eastAsia="Calibri" w:hAnsi="Arial" w:cs="Arial"/>
      <w:b/>
      <w:color w:val="FFFFFF"/>
      <w:sz w:val="28"/>
      <w:szCs w:val="22"/>
      <w:shd w:val="clear" w:color="auto" w:fill="1F497D"/>
      <w:lang w:eastAsia="en-US"/>
    </w:rPr>
  </w:style>
  <w:style w:type="paragraph" w:styleId="Notedebasdepage">
    <w:name w:val="footnote text"/>
    <w:basedOn w:val="Normal"/>
    <w:link w:val="NotedebasdepageCar"/>
    <w:semiHidden/>
    <w:unhideWhenUsed/>
    <w:rsid w:val="00091E31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091E31"/>
    <w:rPr>
      <w:rFonts w:ascii="Calibri" w:hAnsi="Calibri"/>
    </w:rPr>
  </w:style>
  <w:style w:type="character" w:customStyle="1" w:styleId="ctreference">
    <w:name w:val="ct_reference"/>
    <w:basedOn w:val="Policepardfaut"/>
    <w:rsid w:val="00A3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affichTexte.do?cidTexte=JORFTEXT000041835276&amp;categorieLien=i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nc.gouv.fr/files/live/sites/anc/files/contributed/ANC/1.%20Normes%20fran%c3%a7aises/Reglements/2019/Reglt_2019_09/Reglt_2019_09_modifiant-2014-03_Frais-formatio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rcf.ac-grenoble.f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rtg.ac-grenobl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88AAC-BF1C-4D1E-B75D-B36518AF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&lt;Intitulé du document saisi dans Fichier, Propriétés&gt;</vt:lpstr>
    </vt:vector>
  </TitlesOfParts>
  <Company>CRCF EN</Company>
  <LinksUpToDate>false</LinksUpToDate>
  <CharactersWithSpaces>3919</CharactersWithSpaces>
  <SharedDoc>false</SharedDoc>
  <HLinks>
    <vt:vector size="78" baseType="variant">
      <vt:variant>
        <vt:i4>1966133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_Toc337805170</vt:lpwstr>
      </vt:variant>
      <vt:variant>
        <vt:i4>2031669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_Toc337805169</vt:lpwstr>
      </vt:variant>
      <vt:variant>
        <vt:i4>2031669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_Toc337805168</vt:lpwstr>
      </vt:variant>
      <vt:variant>
        <vt:i4>2031669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_Toc337805167</vt:lpwstr>
      </vt:variant>
      <vt:variant>
        <vt:i4>2031669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_Toc337805166</vt:lpwstr>
      </vt:variant>
      <vt:variant>
        <vt:i4>2031669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_Toc337805165</vt:lpwstr>
      </vt:variant>
      <vt:variant>
        <vt:i4>2031669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_Toc337805164</vt:lpwstr>
      </vt:variant>
      <vt:variant>
        <vt:i4>2031669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_Toc337805163</vt:lpwstr>
      </vt:variant>
      <vt:variant>
        <vt:i4>2031669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_Toc337805162</vt:lpwstr>
      </vt:variant>
      <vt:variant>
        <vt:i4>3866668</vt:i4>
      </vt:variant>
      <vt:variant>
        <vt:i4>0</vt:i4>
      </vt:variant>
      <vt:variant>
        <vt:i4>0</vt:i4>
      </vt:variant>
      <vt:variant>
        <vt:i4>5</vt:i4>
      </vt:variant>
      <vt:variant>
        <vt:lpwstr>http://crcf.ac-grenoble.fr/</vt:lpwstr>
      </vt:variant>
      <vt:variant>
        <vt:lpwstr/>
      </vt:variant>
      <vt:variant>
        <vt:i4>2883629</vt:i4>
      </vt:variant>
      <vt:variant>
        <vt:i4>33</vt:i4>
      </vt:variant>
      <vt:variant>
        <vt:i4>0</vt:i4>
      </vt:variant>
      <vt:variant>
        <vt:i4>5</vt:i4>
      </vt:variant>
      <vt:variant>
        <vt:lpwstr>http://crtg.ac-grenoble.fr/</vt:lpwstr>
      </vt:variant>
      <vt:variant>
        <vt:lpwstr/>
      </vt:variant>
      <vt:variant>
        <vt:i4>2883629</vt:i4>
      </vt:variant>
      <vt:variant>
        <vt:i4>21</vt:i4>
      </vt:variant>
      <vt:variant>
        <vt:i4>0</vt:i4>
      </vt:variant>
      <vt:variant>
        <vt:i4>5</vt:i4>
      </vt:variant>
      <vt:variant>
        <vt:lpwstr>http://crtg.ac-grenoble.fr/</vt:lpwstr>
      </vt:variant>
      <vt:variant>
        <vt:lpwstr/>
      </vt:variant>
      <vt:variant>
        <vt:i4>917510</vt:i4>
      </vt:variant>
      <vt:variant>
        <vt:i4>15</vt:i4>
      </vt:variant>
      <vt:variant>
        <vt:i4>0</vt:i4>
      </vt:variant>
      <vt:variant>
        <vt:i4>5</vt:i4>
      </vt:variant>
      <vt:variant>
        <vt:lpwstr>http://creativecommons.org/licenses/by-nc-sa/2.0/fr/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&lt;Intitulé du document saisi dans Fichier, Propriétés&gt;</dc:title>
  <dc:subject>&lt;catégorie, thème&gt; Ex: Crcf Privé, Fonctionnement...</dc:subject>
  <dc:creator>svial</dc:creator>
  <cp:keywords>Charte graphique Document type (séparateur=espace)</cp:keywords>
  <dc:description>Version 1.3, 23/10/2009, format Word 2000-2003</dc:description>
  <cp:lastModifiedBy>Audrey</cp:lastModifiedBy>
  <cp:revision>2</cp:revision>
  <cp:lastPrinted>2020-01-16T14:02:00Z</cp:lastPrinted>
  <dcterms:created xsi:type="dcterms:W3CDTF">2020-08-30T15:11:00Z</dcterms:created>
  <dcterms:modified xsi:type="dcterms:W3CDTF">2020-08-30T15:11:00Z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