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7F" w:rsidRPr="00E85C04" w:rsidRDefault="00662F9E" w:rsidP="00C2424A">
      <w:pPr>
        <w:spacing w:after="60"/>
        <w:jc w:val="left"/>
        <w:rPr>
          <w:rFonts w:ascii="Arial Black" w:hAnsi="Arial Black"/>
          <w:b/>
          <w:sz w:val="28"/>
        </w:rPr>
      </w:pPr>
      <w:r>
        <w:rPr>
          <w:b/>
          <w:bCs/>
          <w:noProof/>
        </w:rPr>
        <w:drawing>
          <wp:anchor distT="0" distB="0" distL="144145" distR="144145" simplePos="0" relativeHeight="251657728" behindDoc="0" locked="0" layoutInCell="1" allowOverlap="0">
            <wp:simplePos x="0" y="0"/>
            <wp:positionH relativeFrom="column">
              <wp:posOffset>1905</wp:posOffset>
            </wp:positionH>
            <wp:positionV relativeFrom="paragraph">
              <wp:posOffset>177800</wp:posOffset>
            </wp:positionV>
            <wp:extent cx="746760" cy="84455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-21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BC297F" w:rsidRPr="00E85C04">
        <w:rPr>
          <w:rFonts w:ascii="Arial Black" w:hAnsi="Arial Black"/>
          <w:b/>
          <w:sz w:val="24"/>
        </w:rPr>
        <w:t xml:space="preserve">Centre de </w:t>
      </w:r>
      <w:r w:rsidR="00E85C04" w:rsidRPr="00E85C04">
        <w:rPr>
          <w:rFonts w:ascii="Arial Black" w:hAnsi="Arial Black"/>
          <w:b/>
          <w:sz w:val="24"/>
        </w:rPr>
        <w:t>R</w:t>
      </w:r>
      <w:r w:rsidR="00BC297F" w:rsidRPr="00E85C04">
        <w:rPr>
          <w:rFonts w:ascii="Arial Black" w:hAnsi="Arial Black"/>
          <w:b/>
          <w:sz w:val="24"/>
        </w:rPr>
        <w:t xml:space="preserve">essources </w:t>
      </w:r>
      <w:r w:rsidR="00C2424A">
        <w:rPr>
          <w:rFonts w:ascii="Arial Black" w:hAnsi="Arial Black"/>
          <w:b/>
          <w:sz w:val="24"/>
        </w:rPr>
        <w:br/>
      </w:r>
      <w:r w:rsidR="00E85C04" w:rsidRPr="00E85C04">
        <w:rPr>
          <w:rFonts w:ascii="Arial Black" w:hAnsi="Arial Black"/>
          <w:b/>
          <w:sz w:val="24"/>
        </w:rPr>
        <w:t>C</w:t>
      </w:r>
      <w:r w:rsidR="00BC297F" w:rsidRPr="00E85C04">
        <w:rPr>
          <w:rFonts w:ascii="Arial Black" w:hAnsi="Arial Black"/>
          <w:b/>
          <w:sz w:val="24"/>
        </w:rPr>
        <w:t xml:space="preserve">omptabilité </w:t>
      </w:r>
      <w:r w:rsidR="00E85C04" w:rsidRPr="00E85C04">
        <w:rPr>
          <w:rFonts w:ascii="Arial Black" w:hAnsi="Arial Black"/>
          <w:b/>
          <w:sz w:val="24"/>
        </w:rPr>
        <w:t>F</w:t>
      </w:r>
      <w:r w:rsidR="00BC297F" w:rsidRPr="00E85C04">
        <w:rPr>
          <w:rFonts w:ascii="Arial Black" w:hAnsi="Arial Black"/>
          <w:b/>
          <w:sz w:val="24"/>
        </w:rPr>
        <w:t>inance</w:t>
      </w:r>
    </w:p>
    <w:p w:rsidR="00494661" w:rsidRPr="004563F0" w:rsidRDefault="00494661" w:rsidP="00AA3015">
      <w:pPr>
        <w:rPr>
          <w:sz w:val="20"/>
        </w:rPr>
      </w:pPr>
      <w:r w:rsidRPr="004563F0">
        <w:rPr>
          <w:sz w:val="20"/>
        </w:rPr>
        <w:t>Lycée MARIE CURIE</w:t>
      </w:r>
    </w:p>
    <w:p w:rsidR="004563F0" w:rsidRPr="004563F0" w:rsidRDefault="00494661" w:rsidP="00AA3015">
      <w:pPr>
        <w:rPr>
          <w:sz w:val="20"/>
        </w:rPr>
      </w:pPr>
      <w:r w:rsidRPr="004563F0">
        <w:rPr>
          <w:sz w:val="20"/>
        </w:rPr>
        <w:t xml:space="preserve">Avenue du 8 mai 1945 - BP 348 </w:t>
      </w:r>
    </w:p>
    <w:p w:rsidR="00BC297F" w:rsidRPr="004563F0" w:rsidRDefault="00494661" w:rsidP="00AA3015">
      <w:pPr>
        <w:rPr>
          <w:sz w:val="16"/>
        </w:rPr>
      </w:pPr>
      <w:r w:rsidRPr="004563F0">
        <w:rPr>
          <w:sz w:val="20"/>
        </w:rPr>
        <w:t>38435 ECHIROLLES cedex</w:t>
      </w:r>
    </w:p>
    <w:p w:rsidR="00BC297F" w:rsidRPr="00E85C04" w:rsidRDefault="004C4B68" w:rsidP="00E96191">
      <w:pPr>
        <w:pStyle w:val="Liste"/>
        <w:numPr>
          <w:ilvl w:val="0"/>
          <w:numId w:val="0"/>
        </w:numPr>
        <w:ind w:left="284"/>
        <w:rPr>
          <w:lang w:val="nl-NL"/>
        </w:rPr>
      </w:pPr>
      <w:hyperlink r:id="rId9" w:history="1">
        <w:r w:rsidR="00E85C04" w:rsidRPr="00ED0EFA">
          <w:rPr>
            <w:rStyle w:val="Lienhypertexte"/>
            <w:b/>
            <w:sz w:val="18"/>
            <w:lang w:val="nl-NL"/>
          </w:rPr>
          <w:t>http://crcf.ac-grenoble.fr/</w:t>
        </w:r>
      </w:hyperlink>
    </w:p>
    <w:p w:rsidR="007745C9" w:rsidRPr="004563F0" w:rsidRDefault="007745C9" w:rsidP="00A01D74">
      <w:pPr>
        <w:rPr>
          <w:lang w:val="nl-NL"/>
        </w:rPr>
      </w:pPr>
    </w:p>
    <w:p w:rsidR="00C95349" w:rsidRDefault="00C95349" w:rsidP="00C95349">
      <w:bookmarkStart w:id="0" w:name="Intitulé"/>
    </w:p>
    <w:p w:rsidR="00766C84" w:rsidRPr="00C95349" w:rsidRDefault="00C95349" w:rsidP="00766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95349">
        <w:rPr>
          <w:rFonts w:asciiTheme="minorHAnsi" w:hAnsiTheme="minorHAnsi" w:cstheme="minorHAnsi"/>
          <w:b/>
          <w:sz w:val="36"/>
          <w:szCs w:val="36"/>
        </w:rPr>
        <w:t>Actualité comptable</w:t>
      </w:r>
    </w:p>
    <w:p w:rsidR="00C95349" w:rsidRPr="00766C84" w:rsidRDefault="00025A65" w:rsidP="00766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jc w:val="center"/>
        <w:rPr>
          <w:rFonts w:asciiTheme="minorHAnsi" w:hAnsiTheme="minorHAnsi" w:cstheme="minorHAnsi"/>
          <w:b/>
          <w:sz w:val="40"/>
          <w:szCs w:val="36"/>
        </w:rPr>
      </w:pPr>
      <w:r>
        <w:rPr>
          <w:sz w:val="24"/>
        </w:rPr>
        <w:t>Loi Pacte : nouveaux seuils d’audit légal</w:t>
      </w:r>
    </w:p>
    <w:p w:rsidR="00C95349" w:rsidRPr="00C95349" w:rsidRDefault="00C95349" w:rsidP="00C9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C95349" w:rsidRDefault="00C95349" w:rsidP="00C95349"/>
    <w:p w:rsidR="00412BCA" w:rsidRDefault="00412BCA" w:rsidP="00766C84">
      <w:pPr>
        <w:spacing w:before="120"/>
        <w:rPr>
          <w:rFonts w:eastAsiaTheme="majorEastAsia"/>
          <w:lang w:eastAsia="en-US"/>
        </w:rPr>
      </w:pPr>
    </w:p>
    <w:p w:rsidR="004C6CF7" w:rsidRDefault="00387A03" w:rsidP="00766C84">
      <w:pPr>
        <w:spacing w:before="120"/>
        <w:rPr>
          <w:rFonts w:eastAsiaTheme="majorEastAsia"/>
          <w:b/>
          <w:lang w:eastAsia="en-US"/>
        </w:rPr>
      </w:pPr>
      <w:r w:rsidRPr="004C6CF7">
        <w:rPr>
          <w:rFonts w:eastAsiaTheme="majorEastAsia"/>
          <w:lang w:eastAsia="en-US"/>
        </w:rPr>
        <w:t xml:space="preserve">La loi n° 2019-486 du 22 mai 2019 relative à la croissance et la transformation des entreprises (dite loi PACTE) </w:t>
      </w:r>
      <w:r w:rsidRPr="004C6CF7">
        <w:rPr>
          <w:rFonts w:eastAsiaTheme="majorEastAsia"/>
          <w:b/>
          <w:lang w:eastAsia="en-US"/>
        </w:rPr>
        <w:t>modifie</w:t>
      </w:r>
      <w:r w:rsidR="00025A65" w:rsidRPr="004C6CF7">
        <w:rPr>
          <w:rFonts w:eastAsiaTheme="majorEastAsia"/>
          <w:b/>
          <w:lang w:eastAsia="en-US"/>
        </w:rPr>
        <w:t>,</w:t>
      </w:r>
      <w:r w:rsidRPr="004C6CF7">
        <w:rPr>
          <w:rFonts w:eastAsiaTheme="majorEastAsia"/>
          <w:b/>
          <w:lang w:eastAsia="en-US"/>
        </w:rPr>
        <w:t xml:space="preserve"> relève </w:t>
      </w:r>
      <w:r w:rsidR="00025A65" w:rsidRPr="004C6CF7">
        <w:rPr>
          <w:rFonts w:eastAsiaTheme="majorEastAsia"/>
          <w:b/>
          <w:lang w:eastAsia="en-US"/>
        </w:rPr>
        <w:t xml:space="preserve">et uniformise </w:t>
      </w:r>
      <w:r w:rsidRPr="004C6CF7">
        <w:rPr>
          <w:rFonts w:eastAsiaTheme="majorEastAsia"/>
          <w:b/>
          <w:lang w:eastAsia="en-US"/>
        </w:rPr>
        <w:t>les seuils de nomination des commissaires aux comptes</w:t>
      </w:r>
      <w:r w:rsidR="004C6CF7">
        <w:rPr>
          <w:rFonts w:eastAsiaTheme="majorEastAsia"/>
          <w:b/>
          <w:lang w:eastAsia="en-US"/>
        </w:rPr>
        <w:t>.</w:t>
      </w:r>
    </w:p>
    <w:p w:rsidR="00387A03" w:rsidRPr="004C6CF7" w:rsidRDefault="004C6CF7" w:rsidP="00766C84">
      <w:pPr>
        <w:spacing w:before="120"/>
        <w:rPr>
          <w:rFonts w:eastAsiaTheme="majorEastAsia"/>
          <w:lang w:eastAsia="en-US"/>
        </w:rPr>
      </w:pPr>
      <w:r w:rsidRPr="004C6CF7">
        <w:rPr>
          <w:rFonts w:eastAsiaTheme="majorEastAsia"/>
          <w:lang w:eastAsia="en-US"/>
        </w:rPr>
        <w:t xml:space="preserve">Il s’agit </w:t>
      </w:r>
      <w:r w:rsidR="00CA74DD">
        <w:rPr>
          <w:rFonts w:eastAsiaTheme="majorEastAsia"/>
          <w:lang w:eastAsia="en-US"/>
        </w:rPr>
        <w:t>pour cette loi d’</w:t>
      </w:r>
      <w:r w:rsidR="00CA74DD" w:rsidRPr="00CA74DD">
        <w:rPr>
          <w:rFonts w:eastAsiaTheme="majorEastAsia"/>
          <w:b/>
          <w:lang w:eastAsia="en-US"/>
        </w:rPr>
        <w:t>aligner</w:t>
      </w:r>
      <w:r w:rsidR="00CA74DD">
        <w:rPr>
          <w:rFonts w:eastAsiaTheme="majorEastAsia"/>
          <w:lang w:eastAsia="en-US"/>
        </w:rPr>
        <w:t xml:space="preserve"> les seuils de nomination des commissaires aux comptes</w:t>
      </w:r>
      <w:r w:rsidRPr="004C6CF7">
        <w:rPr>
          <w:rFonts w:eastAsiaTheme="majorEastAsia"/>
          <w:b/>
          <w:lang w:eastAsia="en-US"/>
        </w:rPr>
        <w:t xml:space="preserve"> sur les seuils européens de l'audit légal</w:t>
      </w:r>
      <w:r>
        <w:rPr>
          <w:rFonts w:eastAsiaTheme="majorEastAsia"/>
          <w:b/>
          <w:lang w:eastAsia="en-US"/>
        </w:rPr>
        <w:t>.</w:t>
      </w:r>
    </w:p>
    <w:p w:rsidR="00732ED5" w:rsidRDefault="00732ED5" w:rsidP="00025A65">
      <w:pPr>
        <w:spacing w:before="120"/>
        <w:rPr>
          <w:rFonts w:eastAsiaTheme="majorEastAsia"/>
          <w:lang w:eastAsia="en-US"/>
        </w:rPr>
      </w:pPr>
    </w:p>
    <w:p w:rsidR="00025A65" w:rsidRPr="008E5C5C" w:rsidRDefault="00025A65" w:rsidP="00025A65">
      <w:pPr>
        <w:spacing w:before="120"/>
        <w:rPr>
          <w:rFonts w:eastAsiaTheme="majorEastAsia"/>
          <w:sz w:val="20"/>
          <w:lang w:eastAsia="en-US"/>
        </w:rPr>
      </w:pPr>
      <w:r w:rsidRPr="008E5C5C">
        <w:rPr>
          <w:rFonts w:eastAsiaTheme="majorEastAsia"/>
          <w:sz w:val="20"/>
          <w:lang w:eastAsia="en-US"/>
        </w:rPr>
        <w:t>Loi n° 2019-486 du 22 mai 2019 :</w:t>
      </w:r>
    </w:p>
    <w:p w:rsidR="00412BCA" w:rsidRPr="008E5C5C" w:rsidRDefault="004C4B68" w:rsidP="00025A65">
      <w:pPr>
        <w:rPr>
          <w:sz w:val="18"/>
        </w:rPr>
      </w:pPr>
      <w:hyperlink r:id="rId10" w:history="1">
        <w:r w:rsidR="00412BCA" w:rsidRPr="008E5C5C">
          <w:rPr>
            <w:rStyle w:val="Lienhypertexte"/>
            <w:sz w:val="18"/>
          </w:rPr>
          <w:t>https://www.legifrance.gouv.fr/affichTexte.do?cidTexte=JORFTEXT000038496102&amp;dateTexte=20190616</w:t>
        </w:r>
      </w:hyperlink>
    </w:p>
    <w:p w:rsidR="00412BCA" w:rsidRPr="008E5C5C" w:rsidRDefault="00025A65" w:rsidP="00025A65">
      <w:pPr>
        <w:spacing w:before="120"/>
        <w:rPr>
          <w:rFonts w:eastAsiaTheme="majorEastAsia"/>
          <w:sz w:val="20"/>
          <w:lang w:eastAsia="en-US"/>
        </w:rPr>
      </w:pPr>
      <w:r w:rsidRPr="008E5C5C">
        <w:rPr>
          <w:rFonts w:eastAsiaTheme="majorEastAsia"/>
          <w:sz w:val="20"/>
          <w:lang w:eastAsia="en-US"/>
        </w:rPr>
        <w:t xml:space="preserve">Décret d’application : </w:t>
      </w:r>
    </w:p>
    <w:p w:rsidR="00025A65" w:rsidRPr="008E5C5C" w:rsidRDefault="004C4B68" w:rsidP="00025A65">
      <w:pPr>
        <w:rPr>
          <w:sz w:val="20"/>
        </w:rPr>
      </w:pPr>
      <w:hyperlink r:id="rId11" w:history="1">
        <w:r w:rsidR="00025A65" w:rsidRPr="008E5C5C">
          <w:rPr>
            <w:rStyle w:val="Lienhypertexte"/>
            <w:sz w:val="18"/>
          </w:rPr>
          <w:t>https://www.legifrance.gouv.fr/affichTexte.do?cidTexte=JORFTEXT000038505937&amp;categorieLien=id</w:t>
        </w:r>
      </w:hyperlink>
    </w:p>
    <w:p w:rsidR="008E5C5C" w:rsidRPr="008E5C5C" w:rsidRDefault="008E5C5C" w:rsidP="00025A65">
      <w:pPr>
        <w:rPr>
          <w:sz w:val="20"/>
        </w:rPr>
      </w:pPr>
    </w:p>
    <w:p w:rsidR="008E5C5C" w:rsidRPr="008E5C5C" w:rsidRDefault="008E5C5C" w:rsidP="008E5C5C">
      <w:pPr>
        <w:spacing w:before="120"/>
        <w:jc w:val="left"/>
        <w:rPr>
          <w:sz w:val="20"/>
        </w:rPr>
      </w:pPr>
      <w:r w:rsidRPr="008E5C5C">
        <w:rPr>
          <w:rFonts w:eastAsiaTheme="majorEastAsia"/>
          <w:sz w:val="20"/>
          <w:lang w:eastAsia="en-US"/>
        </w:rPr>
        <w:t>NEP 911. Mission du commissaire aux comptes nommé pour trois exercices :</w:t>
      </w:r>
      <w:r w:rsidR="002C13AE">
        <w:rPr>
          <w:rFonts w:eastAsiaTheme="majorEastAsia"/>
          <w:sz w:val="20"/>
          <w:lang w:eastAsia="en-US"/>
        </w:rPr>
        <w:br/>
      </w:r>
      <w:hyperlink r:id="rId12" w:history="1">
        <w:r w:rsidRPr="008E5C5C">
          <w:rPr>
            <w:rStyle w:val="Lienhypertexte"/>
            <w:sz w:val="20"/>
          </w:rPr>
          <w:t>https://doc.cncc.fr/docs/nep-911-mission-du-commissaire-a</w:t>
        </w:r>
      </w:hyperlink>
    </w:p>
    <w:p w:rsidR="008E5C5C" w:rsidRPr="008E5C5C" w:rsidRDefault="008E5C5C" w:rsidP="008E5C5C">
      <w:pPr>
        <w:spacing w:before="120"/>
        <w:rPr>
          <w:rFonts w:eastAsiaTheme="majorEastAsia"/>
          <w:sz w:val="20"/>
          <w:lang w:eastAsia="en-US"/>
        </w:rPr>
      </w:pPr>
    </w:p>
    <w:p w:rsidR="008E5C5C" w:rsidRPr="008E5C5C" w:rsidRDefault="008E5C5C" w:rsidP="008E5C5C">
      <w:pPr>
        <w:jc w:val="left"/>
        <w:rPr>
          <w:sz w:val="20"/>
        </w:rPr>
      </w:pPr>
      <w:r w:rsidRPr="008E5C5C">
        <w:rPr>
          <w:rFonts w:eastAsiaTheme="majorEastAsia"/>
          <w:sz w:val="20"/>
          <w:lang w:eastAsia="en-US"/>
        </w:rPr>
        <w:t xml:space="preserve">NEP 912. Mission du commissaire aux comptes nommé pour six exercices dans des petites entreprises : </w:t>
      </w:r>
      <w:hyperlink r:id="rId13" w:history="1">
        <w:r w:rsidRPr="008E5C5C">
          <w:rPr>
            <w:rStyle w:val="Lienhypertexte"/>
            <w:sz w:val="20"/>
          </w:rPr>
          <w:t>https://doc.cncc.fr/docs/nep-912-mission-du-commissaire-a</w:t>
        </w:r>
      </w:hyperlink>
    </w:p>
    <w:p w:rsidR="008E5C5C" w:rsidRPr="008E5C5C" w:rsidRDefault="008E5C5C" w:rsidP="00025A65">
      <w:pPr>
        <w:rPr>
          <w:rFonts w:eastAsiaTheme="majorEastAsia"/>
          <w:sz w:val="20"/>
          <w:lang w:eastAsia="en-US"/>
        </w:rPr>
      </w:pPr>
    </w:p>
    <w:p w:rsidR="008E5C5C" w:rsidRPr="008E5C5C" w:rsidRDefault="008E5C5C" w:rsidP="008E5C5C">
      <w:pPr>
        <w:spacing w:before="120"/>
        <w:jc w:val="left"/>
        <w:rPr>
          <w:rFonts w:eastAsiaTheme="majorEastAsia"/>
          <w:sz w:val="20"/>
          <w:lang w:eastAsia="en-US"/>
        </w:rPr>
      </w:pPr>
      <w:r w:rsidRPr="008E5C5C">
        <w:rPr>
          <w:rFonts w:eastAsiaTheme="majorEastAsia"/>
          <w:sz w:val="20"/>
          <w:lang w:eastAsia="en-US"/>
        </w:rPr>
        <w:t xml:space="preserve">Arrêté du 6 juin 2019 portant homologation des NEP 911 et 912 : </w:t>
      </w:r>
      <w:hyperlink r:id="rId14" w:history="1">
        <w:r w:rsidRPr="008E5C5C">
          <w:rPr>
            <w:rStyle w:val="Lienhypertexte"/>
            <w:sz w:val="20"/>
          </w:rPr>
          <w:t>https://www.legifrance.gouv.fr/eli/arrete/2019/6/6/JUSC1916143A/jo/texte</w:t>
        </w:r>
      </w:hyperlink>
    </w:p>
    <w:p w:rsidR="00025A65" w:rsidRDefault="00025A65" w:rsidP="00025A65">
      <w:pPr>
        <w:rPr>
          <w:rStyle w:val="Lienhypertexte"/>
        </w:rPr>
      </w:pPr>
    </w:p>
    <w:p w:rsidR="00025A65" w:rsidRDefault="00025A65" w:rsidP="00025A65">
      <w:pPr>
        <w:rPr>
          <w:sz w:val="20"/>
        </w:rPr>
      </w:pPr>
    </w:p>
    <w:p w:rsidR="008E5C5C" w:rsidRPr="00025A65" w:rsidRDefault="008E5C5C" w:rsidP="00025A65">
      <w:pPr>
        <w:rPr>
          <w:sz w:val="20"/>
        </w:rPr>
      </w:pPr>
    </w:p>
    <w:p w:rsidR="004C6CF7" w:rsidRDefault="004C6CF7" w:rsidP="004C6CF7">
      <w:pPr>
        <w:rPr>
          <w:rFonts w:asciiTheme="minorHAnsi" w:hAnsiTheme="minorHAnsi" w:cstheme="minorHAnsi"/>
          <w:b/>
          <w:color w:val="000000" w:themeColor="text1"/>
          <w:szCs w:val="22"/>
          <w:u w:val="single"/>
        </w:rPr>
      </w:pPr>
      <w:r w:rsidRPr="008E5A01">
        <w:rPr>
          <w:rFonts w:asciiTheme="minorHAnsi" w:hAnsiTheme="minorHAnsi" w:cstheme="minorHAnsi"/>
          <w:b/>
          <w:color w:val="000000" w:themeColor="text1"/>
          <w:szCs w:val="22"/>
          <w:u w:val="single"/>
        </w:rPr>
        <w:t>Sommaire</w:t>
      </w:r>
    </w:p>
    <w:p w:rsidR="004C6CF7" w:rsidRDefault="004C6CF7" w:rsidP="004C6CF7"/>
    <w:p w:rsidR="00412BCA" w:rsidRPr="00CA74DD" w:rsidRDefault="00CA74DD" w:rsidP="00CA74DD">
      <w:pPr>
        <w:pStyle w:val="Paragraphedeliste"/>
        <w:numPr>
          <w:ilvl w:val="0"/>
          <w:numId w:val="16"/>
        </w:numPr>
        <w:spacing w:after="120" w:line="259" w:lineRule="auto"/>
        <w:ind w:left="714" w:hanging="357"/>
        <w:contextualSpacing w:val="0"/>
        <w:jc w:val="both"/>
        <w:rPr>
          <w:rFonts w:eastAsia="Calibri" w:cstheme="minorHAnsi"/>
          <w:color w:val="000000" w:themeColor="text1"/>
        </w:rPr>
      </w:pPr>
      <w:r w:rsidRPr="00CA74DD">
        <w:rPr>
          <w:rFonts w:eastAsia="Calibri" w:cstheme="minorHAnsi"/>
          <w:color w:val="000000" w:themeColor="text1"/>
        </w:rPr>
        <w:t>Les seuils de nomination d’un commissaire aux comptes dans les sociétés commerciales</w:t>
      </w:r>
    </w:p>
    <w:p w:rsidR="00732ED5" w:rsidRPr="00732ED5" w:rsidRDefault="00732ED5" w:rsidP="00732ED5">
      <w:pPr>
        <w:pStyle w:val="Paragraphedeliste"/>
        <w:numPr>
          <w:ilvl w:val="0"/>
          <w:numId w:val="16"/>
        </w:numPr>
        <w:spacing w:after="120" w:line="259" w:lineRule="auto"/>
        <w:ind w:left="714" w:hanging="357"/>
        <w:contextualSpacing w:val="0"/>
        <w:jc w:val="both"/>
        <w:rPr>
          <w:rFonts w:eastAsia="Calibri" w:cstheme="minorHAnsi"/>
          <w:color w:val="000000" w:themeColor="text1"/>
        </w:rPr>
      </w:pPr>
      <w:r w:rsidRPr="00732ED5">
        <w:rPr>
          <w:rFonts w:eastAsia="Calibri" w:cstheme="minorHAnsi"/>
          <w:color w:val="000000" w:themeColor="text1"/>
        </w:rPr>
        <w:t>Les PME structurées en petits groupes</w:t>
      </w:r>
    </w:p>
    <w:p w:rsidR="00732ED5" w:rsidRPr="00732ED5" w:rsidRDefault="00732ED5" w:rsidP="00732ED5">
      <w:pPr>
        <w:pStyle w:val="Paragraphedeliste"/>
        <w:numPr>
          <w:ilvl w:val="0"/>
          <w:numId w:val="16"/>
        </w:numPr>
        <w:spacing w:after="120" w:line="259" w:lineRule="auto"/>
        <w:ind w:left="714" w:hanging="357"/>
        <w:contextualSpacing w:val="0"/>
        <w:jc w:val="both"/>
        <w:rPr>
          <w:rFonts w:eastAsia="Calibri" w:cstheme="minorHAnsi"/>
          <w:color w:val="000000" w:themeColor="text1"/>
        </w:rPr>
      </w:pPr>
      <w:r w:rsidRPr="00732ED5">
        <w:rPr>
          <w:rFonts w:eastAsia="Calibri" w:cstheme="minorHAnsi"/>
          <w:color w:val="000000" w:themeColor="text1"/>
        </w:rPr>
        <w:t>Dates d’application</w:t>
      </w:r>
    </w:p>
    <w:p w:rsidR="00732ED5" w:rsidRDefault="00732ED5" w:rsidP="00732ED5">
      <w:pPr>
        <w:pStyle w:val="Paragraphedeliste"/>
        <w:numPr>
          <w:ilvl w:val="0"/>
          <w:numId w:val="16"/>
        </w:numPr>
        <w:spacing w:after="120" w:line="259" w:lineRule="auto"/>
        <w:ind w:left="714" w:hanging="357"/>
        <w:contextualSpacing w:val="0"/>
        <w:jc w:val="both"/>
        <w:rPr>
          <w:rFonts w:eastAsia="Calibri" w:cstheme="minorHAnsi"/>
          <w:color w:val="000000" w:themeColor="text1"/>
        </w:rPr>
      </w:pPr>
      <w:r w:rsidRPr="00732ED5">
        <w:rPr>
          <w:rFonts w:eastAsia="Calibri" w:cstheme="minorHAnsi"/>
          <w:color w:val="000000" w:themeColor="text1"/>
        </w:rPr>
        <w:t>Quel est le sort des mandats en cours ?</w:t>
      </w:r>
    </w:p>
    <w:p w:rsidR="00591667" w:rsidRPr="00591667" w:rsidRDefault="00591667" w:rsidP="00591667">
      <w:pPr>
        <w:pStyle w:val="Paragraphedeliste"/>
        <w:numPr>
          <w:ilvl w:val="0"/>
          <w:numId w:val="16"/>
        </w:numPr>
        <w:spacing w:after="120" w:line="259" w:lineRule="auto"/>
        <w:ind w:left="714" w:hanging="357"/>
        <w:contextualSpacing w:val="0"/>
        <w:jc w:val="both"/>
        <w:rPr>
          <w:rFonts w:eastAsia="Calibri" w:cstheme="minorHAnsi"/>
          <w:color w:val="000000" w:themeColor="text1"/>
        </w:rPr>
      </w:pPr>
      <w:r w:rsidRPr="00591667">
        <w:rPr>
          <w:rFonts w:eastAsia="Calibri" w:cstheme="minorHAnsi"/>
          <w:color w:val="000000" w:themeColor="text1"/>
        </w:rPr>
        <w:t>La certification légale des petites entreprises</w:t>
      </w:r>
    </w:p>
    <w:p w:rsidR="00732ED5" w:rsidRDefault="00732ED5" w:rsidP="00732ED5">
      <w:pPr>
        <w:spacing w:before="120"/>
        <w:rPr>
          <w:rFonts w:eastAsiaTheme="majorEastAsia"/>
          <w:lang w:eastAsia="en-US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732ED5" w:rsidRDefault="00732ED5">
      <w:pPr>
        <w:jc w:val="left"/>
        <w:rPr>
          <w:rFonts w:asciiTheme="minorHAnsi" w:eastAsiaTheme="majorEastAsia" w:hAnsiTheme="minorHAnsi" w:cstheme="majorBidi"/>
          <w:b/>
          <w:color w:val="000000" w:themeColor="text1"/>
          <w:sz w:val="24"/>
          <w:szCs w:val="32"/>
          <w:u w:val="single"/>
          <w:lang w:eastAsia="en-US"/>
        </w:rPr>
      </w:pPr>
      <w:r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  <w:br w:type="page"/>
      </w:r>
    </w:p>
    <w:p w:rsidR="00025A65" w:rsidRPr="00B50390" w:rsidRDefault="0039369C" w:rsidP="00591667">
      <w:pPr>
        <w:pStyle w:val="Titre1"/>
        <w:keepNext/>
        <w:keepLines/>
        <w:numPr>
          <w:ilvl w:val="0"/>
          <w:numId w:val="6"/>
        </w:numPr>
        <w:pBdr>
          <w:top w:val="none" w:sz="0" w:space="0" w:color="auto"/>
          <w:bottom w:val="none" w:sz="0" w:space="0" w:color="auto"/>
        </w:pBdr>
        <w:shd w:val="clear" w:color="auto" w:fill="auto"/>
        <w:spacing w:before="480" w:after="0"/>
        <w:ind w:left="284" w:hanging="284"/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</w:pPr>
      <w:r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  <w:lastRenderedPageBreak/>
        <w:t>Les seuils de nomination d’un commissaire aux comptes dans les sociétés commerciales</w:t>
      </w:r>
    </w:p>
    <w:p w:rsidR="00025A65" w:rsidRDefault="00CA74DD" w:rsidP="00025A65">
      <w:pPr>
        <w:spacing w:before="120"/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Désormais, les sociétés (quelle que soit leur forme) dépassant </w:t>
      </w:r>
      <w:r w:rsidRPr="00CA74DD">
        <w:rPr>
          <w:rFonts w:eastAsiaTheme="majorEastAsia"/>
          <w:b/>
          <w:lang w:eastAsia="en-US"/>
        </w:rPr>
        <w:t>2 des 3 seuils</w:t>
      </w:r>
      <w:r>
        <w:rPr>
          <w:rFonts w:eastAsiaTheme="majorEastAsia"/>
          <w:lang w:eastAsia="en-US"/>
        </w:rPr>
        <w:t xml:space="preserve"> suivants</w:t>
      </w:r>
      <w:r w:rsidR="00C732F3">
        <w:rPr>
          <w:rFonts w:eastAsiaTheme="majorEastAsia"/>
          <w:lang w:eastAsia="en-US"/>
        </w:rPr>
        <w:t xml:space="preserve"> à la clôture d’un exercice social</w:t>
      </w:r>
      <w:r>
        <w:rPr>
          <w:rFonts w:eastAsiaTheme="majorEastAsia"/>
          <w:lang w:eastAsia="en-US"/>
        </w:rPr>
        <w:t xml:space="preserve"> auront l’obligation de nommer un commissaire aux comptes pour certifier leurs comptes :</w:t>
      </w:r>
    </w:p>
    <w:p w:rsidR="00CA74DD" w:rsidRPr="00732ED5" w:rsidRDefault="009239F1" w:rsidP="00CA74DD">
      <w:pPr>
        <w:pStyle w:val="Paragraphedeliste"/>
        <w:numPr>
          <w:ilvl w:val="0"/>
          <w:numId w:val="38"/>
        </w:numPr>
        <w:spacing w:before="120"/>
        <w:rPr>
          <w:rFonts w:eastAsiaTheme="majorEastAsia"/>
        </w:rPr>
      </w:pPr>
      <w:r w:rsidRPr="00732ED5">
        <w:rPr>
          <w:rFonts w:eastAsiaTheme="majorEastAsia"/>
        </w:rPr>
        <w:t>t</w:t>
      </w:r>
      <w:r w:rsidR="00CA74DD" w:rsidRPr="00732ED5">
        <w:rPr>
          <w:rFonts w:eastAsiaTheme="majorEastAsia"/>
        </w:rPr>
        <w:t xml:space="preserve">otal bilan : </w:t>
      </w:r>
      <w:r w:rsidR="00CA74DD" w:rsidRPr="00732ED5">
        <w:rPr>
          <w:rFonts w:eastAsiaTheme="majorEastAsia"/>
          <w:b/>
        </w:rPr>
        <w:t>4 M€</w:t>
      </w:r>
    </w:p>
    <w:p w:rsidR="00CA74DD" w:rsidRPr="00732ED5" w:rsidRDefault="009239F1" w:rsidP="00CA74DD">
      <w:pPr>
        <w:pStyle w:val="Paragraphedeliste"/>
        <w:numPr>
          <w:ilvl w:val="0"/>
          <w:numId w:val="38"/>
        </w:numPr>
        <w:spacing w:before="120"/>
        <w:rPr>
          <w:rFonts w:eastAsiaTheme="majorEastAsia"/>
        </w:rPr>
      </w:pPr>
      <w:r w:rsidRPr="00732ED5">
        <w:rPr>
          <w:rFonts w:eastAsiaTheme="majorEastAsia"/>
        </w:rPr>
        <w:t>c</w:t>
      </w:r>
      <w:r w:rsidR="00CA74DD" w:rsidRPr="00732ED5">
        <w:rPr>
          <w:rFonts w:eastAsiaTheme="majorEastAsia"/>
        </w:rPr>
        <w:t xml:space="preserve">hiffre d’affaires : </w:t>
      </w:r>
      <w:r w:rsidR="00CA74DD" w:rsidRPr="00732ED5">
        <w:rPr>
          <w:rFonts w:eastAsiaTheme="majorEastAsia"/>
          <w:b/>
        </w:rPr>
        <w:t>8 M€</w:t>
      </w:r>
    </w:p>
    <w:p w:rsidR="00CA74DD" w:rsidRPr="00732ED5" w:rsidRDefault="009239F1" w:rsidP="00CA74DD">
      <w:pPr>
        <w:pStyle w:val="Paragraphedeliste"/>
        <w:numPr>
          <w:ilvl w:val="0"/>
          <w:numId w:val="38"/>
        </w:numPr>
        <w:spacing w:before="120"/>
        <w:rPr>
          <w:rFonts w:eastAsiaTheme="majorEastAsia"/>
        </w:rPr>
      </w:pPr>
      <w:r w:rsidRPr="00732ED5">
        <w:rPr>
          <w:rFonts w:eastAsiaTheme="majorEastAsia"/>
        </w:rPr>
        <w:t>n</w:t>
      </w:r>
      <w:r w:rsidR="00CA74DD" w:rsidRPr="00732ED5">
        <w:rPr>
          <w:rFonts w:eastAsiaTheme="majorEastAsia"/>
        </w:rPr>
        <w:t xml:space="preserve">ombre de salariés : </w:t>
      </w:r>
      <w:r w:rsidR="00CA74DD" w:rsidRPr="00732ED5">
        <w:rPr>
          <w:rFonts w:eastAsiaTheme="majorEastAsia"/>
          <w:b/>
        </w:rPr>
        <w:t>50</w:t>
      </w:r>
    </w:p>
    <w:p w:rsidR="0039369C" w:rsidRDefault="0039369C" w:rsidP="00766C84">
      <w:pPr>
        <w:spacing w:before="120"/>
      </w:pPr>
      <w:r>
        <w:t xml:space="preserve">Pour rappel les </w:t>
      </w:r>
      <w:r w:rsidRPr="00732ED5">
        <w:rPr>
          <w:b/>
        </w:rPr>
        <w:t>anciens seuils</w:t>
      </w:r>
      <w:r w:rsidR="000B168D">
        <w:t xml:space="preserve"> de désignation d’un commissaire aux comptes</w:t>
      </w:r>
      <w:r>
        <w:t xml:space="preserve"> étaient de :</w:t>
      </w:r>
    </w:p>
    <w:p w:rsidR="000B168D" w:rsidRPr="000B168D" w:rsidRDefault="000B168D" w:rsidP="00766C84">
      <w:pPr>
        <w:spacing w:before="120"/>
        <w:rPr>
          <w:sz w:val="8"/>
        </w:rPr>
      </w:pPr>
    </w:p>
    <w:tbl>
      <w:tblPr>
        <w:tblStyle w:val="Grilledutableau"/>
        <w:tblW w:w="9072" w:type="dxa"/>
        <w:tblInd w:w="108" w:type="dxa"/>
        <w:tblLook w:val="04A0"/>
      </w:tblPr>
      <w:tblGrid>
        <w:gridCol w:w="2268"/>
        <w:gridCol w:w="6804"/>
      </w:tblGrid>
      <w:tr w:rsidR="000B168D" w:rsidTr="00E15032">
        <w:tc>
          <w:tcPr>
            <w:tcW w:w="2268" w:type="dxa"/>
            <w:vAlign w:val="center"/>
          </w:tcPr>
          <w:p w:rsidR="000B168D" w:rsidRDefault="000B168D" w:rsidP="00E15032">
            <w:pPr>
              <w:jc w:val="center"/>
            </w:pPr>
            <w:r>
              <w:t xml:space="preserve">SARL – SNC </w:t>
            </w:r>
            <w:r w:rsidR="004C6CF7">
              <w:t>–</w:t>
            </w:r>
            <w:r>
              <w:t xml:space="preserve"> SCS</w:t>
            </w:r>
          </w:p>
        </w:tc>
        <w:tc>
          <w:tcPr>
            <w:tcW w:w="6804" w:type="dxa"/>
          </w:tcPr>
          <w:p w:rsidR="000B168D" w:rsidRDefault="000B168D" w:rsidP="000B168D">
            <w:r>
              <w:t xml:space="preserve">En cas de franchissement </w:t>
            </w:r>
            <w:r w:rsidR="004C6CF7">
              <w:t>de 2 seuils sur 3</w:t>
            </w:r>
          </w:p>
          <w:p w:rsidR="000B168D" w:rsidRPr="00CA74DD" w:rsidRDefault="000B168D" w:rsidP="00CA74DD">
            <w:pPr>
              <w:pStyle w:val="Paragraphedeliste"/>
              <w:numPr>
                <w:ilvl w:val="0"/>
                <w:numId w:val="37"/>
              </w:numPr>
              <w:ind w:left="178" w:hanging="142"/>
            </w:pPr>
            <w:r w:rsidRPr="00CA74DD">
              <w:t>Total bilan : 1,55 M€</w:t>
            </w:r>
          </w:p>
          <w:p w:rsidR="000B168D" w:rsidRPr="00CA74DD" w:rsidRDefault="000B168D" w:rsidP="00CA74DD">
            <w:pPr>
              <w:pStyle w:val="Paragraphedeliste"/>
              <w:numPr>
                <w:ilvl w:val="0"/>
                <w:numId w:val="37"/>
              </w:numPr>
              <w:ind w:left="178" w:hanging="142"/>
            </w:pPr>
            <w:r w:rsidRPr="00CA74DD">
              <w:t>Chiffre d’affaires : 3 ,1 M€</w:t>
            </w:r>
          </w:p>
          <w:p w:rsidR="000B168D" w:rsidRPr="00CA74DD" w:rsidRDefault="000B168D" w:rsidP="00CA74DD">
            <w:pPr>
              <w:pStyle w:val="Paragraphedeliste"/>
              <w:numPr>
                <w:ilvl w:val="0"/>
                <w:numId w:val="37"/>
              </w:numPr>
              <w:spacing w:after="0"/>
              <w:ind w:left="176" w:hanging="142"/>
            </w:pPr>
            <w:r w:rsidRPr="00CA74DD">
              <w:t>Nombre de salariés : 50</w:t>
            </w:r>
          </w:p>
        </w:tc>
      </w:tr>
      <w:tr w:rsidR="000B168D" w:rsidTr="00E15032">
        <w:tc>
          <w:tcPr>
            <w:tcW w:w="2268" w:type="dxa"/>
            <w:vAlign w:val="center"/>
          </w:tcPr>
          <w:p w:rsidR="000B168D" w:rsidRDefault="000B168D" w:rsidP="00E15032">
            <w:pPr>
              <w:jc w:val="center"/>
            </w:pPr>
            <w:r>
              <w:t>SAS</w:t>
            </w:r>
          </w:p>
        </w:tc>
        <w:tc>
          <w:tcPr>
            <w:tcW w:w="6804" w:type="dxa"/>
          </w:tcPr>
          <w:p w:rsidR="00CA74DD" w:rsidRDefault="00CA74DD" w:rsidP="00CA74DD">
            <w:r>
              <w:t>En cas de franchissement de 2 seuils sur 3</w:t>
            </w:r>
          </w:p>
          <w:p w:rsidR="000B168D" w:rsidRDefault="000B168D" w:rsidP="00CA74DD">
            <w:pPr>
              <w:pStyle w:val="Paragraphedeliste"/>
              <w:numPr>
                <w:ilvl w:val="0"/>
                <w:numId w:val="37"/>
              </w:numPr>
              <w:spacing w:after="0"/>
              <w:ind w:left="176" w:hanging="142"/>
            </w:pPr>
            <w:r>
              <w:t>Total bilan : 1</w:t>
            </w:r>
            <w:r w:rsidR="004C6CF7">
              <w:t xml:space="preserve"> </w:t>
            </w:r>
            <w:r>
              <w:t>M€</w:t>
            </w:r>
          </w:p>
          <w:p w:rsidR="000B168D" w:rsidRDefault="000B168D" w:rsidP="00CA74DD">
            <w:pPr>
              <w:pStyle w:val="Paragraphedeliste"/>
              <w:numPr>
                <w:ilvl w:val="0"/>
                <w:numId w:val="37"/>
              </w:numPr>
              <w:spacing w:after="0"/>
              <w:ind w:left="176" w:hanging="142"/>
            </w:pPr>
            <w:r>
              <w:t xml:space="preserve">Chiffre d’affaires : </w:t>
            </w:r>
            <w:r w:rsidR="004C6CF7">
              <w:t>2</w:t>
            </w:r>
            <w:r>
              <w:t xml:space="preserve"> M€</w:t>
            </w:r>
          </w:p>
          <w:p w:rsidR="000B168D" w:rsidRDefault="000B168D" w:rsidP="00CA74DD">
            <w:pPr>
              <w:pStyle w:val="Paragraphedeliste"/>
              <w:numPr>
                <w:ilvl w:val="0"/>
                <w:numId w:val="37"/>
              </w:numPr>
              <w:spacing w:after="0"/>
              <w:ind w:left="176" w:hanging="142"/>
            </w:pPr>
            <w:r>
              <w:t xml:space="preserve">Nombre de salariés : </w:t>
            </w:r>
            <w:r w:rsidR="004C6CF7">
              <w:t>20</w:t>
            </w:r>
          </w:p>
        </w:tc>
      </w:tr>
      <w:tr w:rsidR="000B168D" w:rsidTr="00E15032">
        <w:tc>
          <w:tcPr>
            <w:tcW w:w="2268" w:type="dxa"/>
            <w:vAlign w:val="center"/>
          </w:tcPr>
          <w:p w:rsidR="000B168D" w:rsidRDefault="000B168D" w:rsidP="00E15032">
            <w:pPr>
              <w:jc w:val="center"/>
            </w:pPr>
            <w:r>
              <w:t>SA</w:t>
            </w:r>
            <w:r w:rsidR="004C6CF7">
              <w:t xml:space="preserve"> – SCA</w:t>
            </w:r>
          </w:p>
        </w:tc>
        <w:tc>
          <w:tcPr>
            <w:tcW w:w="6804" w:type="dxa"/>
          </w:tcPr>
          <w:p w:rsidR="000B168D" w:rsidRDefault="000B168D" w:rsidP="000B168D">
            <w:r>
              <w:t>Sans condition de seuil</w:t>
            </w:r>
          </w:p>
        </w:tc>
      </w:tr>
    </w:tbl>
    <w:p w:rsidR="00591667" w:rsidRDefault="00591667" w:rsidP="00766C84">
      <w:pPr>
        <w:spacing w:before="120"/>
      </w:pPr>
    </w:p>
    <w:p w:rsidR="0039369C" w:rsidRDefault="00E869CC" w:rsidP="00766C84">
      <w:pPr>
        <w:spacing w:before="120"/>
      </w:pPr>
      <w:r>
        <w:t>NB : il n'y a pas de condition de seuil pour la nomination du commissaire aux comptes dans les EIP et les SEML.</w:t>
      </w:r>
    </w:p>
    <w:p w:rsidR="002C13AE" w:rsidRDefault="002C13AE" w:rsidP="00766C84">
      <w:pPr>
        <w:spacing w:before="120"/>
      </w:pPr>
    </w:p>
    <w:p w:rsidR="0039369C" w:rsidRPr="0039369C" w:rsidRDefault="00CA74DD" w:rsidP="00591667">
      <w:pPr>
        <w:pStyle w:val="Titre1"/>
        <w:keepNext/>
        <w:keepLines/>
        <w:numPr>
          <w:ilvl w:val="0"/>
          <w:numId w:val="6"/>
        </w:numPr>
        <w:pBdr>
          <w:top w:val="none" w:sz="0" w:space="0" w:color="auto"/>
          <w:bottom w:val="none" w:sz="0" w:space="0" w:color="auto"/>
        </w:pBdr>
        <w:shd w:val="clear" w:color="auto" w:fill="auto"/>
        <w:spacing w:before="480" w:after="0"/>
        <w:ind w:left="284" w:hanging="284"/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</w:pPr>
      <w:r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  <w:t>Les PME structurées en petits groupes</w:t>
      </w:r>
    </w:p>
    <w:p w:rsidR="00AE2DF8" w:rsidRDefault="00AE2DF8" w:rsidP="00766C84">
      <w:pPr>
        <w:spacing w:before="120"/>
      </w:pPr>
      <w:r w:rsidRPr="00732ED5">
        <w:rPr>
          <w:b/>
        </w:rPr>
        <w:t>Lorsqu’une société en contrôle d’autres</w:t>
      </w:r>
      <w:r>
        <w:t xml:space="preserve">, elle a </w:t>
      </w:r>
      <w:r w:rsidRPr="00732ED5">
        <w:t>l’</w:t>
      </w:r>
      <w:r w:rsidRPr="00732ED5">
        <w:rPr>
          <w:b/>
        </w:rPr>
        <w:t>obligation d’audit légal</w:t>
      </w:r>
      <w:r>
        <w:t xml:space="preserve"> dès lors que l</w:t>
      </w:r>
      <w:r w:rsidR="001A01EE">
        <w:t xml:space="preserve">’ensemble qu’elle forme avec les sociétés qu’elle contrôle </w:t>
      </w:r>
      <w:r>
        <w:t>dépasse 2 des 3 seuils suivants :</w:t>
      </w:r>
    </w:p>
    <w:p w:rsidR="00AE2DF8" w:rsidRPr="00AE2DF8" w:rsidRDefault="00AE2DF8" w:rsidP="00AE2DF8">
      <w:pPr>
        <w:pStyle w:val="Paragraphedeliste"/>
        <w:numPr>
          <w:ilvl w:val="0"/>
          <w:numId w:val="38"/>
        </w:numPr>
        <w:spacing w:before="120"/>
        <w:rPr>
          <w:rFonts w:eastAsiaTheme="majorEastAsia"/>
        </w:rPr>
      </w:pPr>
      <w:r w:rsidRPr="00AE2DF8">
        <w:rPr>
          <w:rFonts w:eastAsiaTheme="majorEastAsia"/>
        </w:rPr>
        <w:t xml:space="preserve">total bilan : </w:t>
      </w:r>
      <w:r w:rsidRPr="00732ED5">
        <w:rPr>
          <w:rFonts w:eastAsiaTheme="majorEastAsia"/>
          <w:b/>
        </w:rPr>
        <w:t>4 M€</w:t>
      </w:r>
    </w:p>
    <w:p w:rsidR="00AE2DF8" w:rsidRPr="00AE2DF8" w:rsidRDefault="00AE2DF8" w:rsidP="00AE2DF8">
      <w:pPr>
        <w:pStyle w:val="Paragraphedeliste"/>
        <w:numPr>
          <w:ilvl w:val="0"/>
          <w:numId w:val="38"/>
        </w:numPr>
        <w:spacing w:before="120"/>
        <w:rPr>
          <w:rFonts w:eastAsiaTheme="majorEastAsia"/>
        </w:rPr>
      </w:pPr>
      <w:r w:rsidRPr="00AE2DF8">
        <w:rPr>
          <w:rFonts w:eastAsiaTheme="majorEastAsia"/>
        </w:rPr>
        <w:t xml:space="preserve">chiffre d’affaires : </w:t>
      </w:r>
      <w:r w:rsidRPr="00732ED5">
        <w:rPr>
          <w:rFonts w:eastAsiaTheme="majorEastAsia"/>
          <w:b/>
        </w:rPr>
        <w:t>8 M€</w:t>
      </w:r>
    </w:p>
    <w:p w:rsidR="00AE2DF8" w:rsidRPr="00AE2DF8" w:rsidRDefault="00AE2DF8" w:rsidP="00AE2DF8">
      <w:pPr>
        <w:pStyle w:val="Paragraphedeliste"/>
        <w:numPr>
          <w:ilvl w:val="0"/>
          <w:numId w:val="38"/>
        </w:numPr>
        <w:spacing w:before="120"/>
        <w:rPr>
          <w:rFonts w:eastAsiaTheme="majorEastAsia"/>
        </w:rPr>
      </w:pPr>
      <w:r w:rsidRPr="00AE2DF8">
        <w:rPr>
          <w:rFonts w:eastAsiaTheme="majorEastAsia"/>
        </w:rPr>
        <w:t xml:space="preserve">nombre de salariés : </w:t>
      </w:r>
      <w:r w:rsidRPr="00732ED5">
        <w:rPr>
          <w:rFonts w:eastAsiaTheme="majorEastAsia"/>
          <w:b/>
        </w:rPr>
        <w:t>50</w:t>
      </w:r>
    </w:p>
    <w:p w:rsidR="002C13AE" w:rsidRDefault="001A01EE" w:rsidP="00766C84">
      <w:pPr>
        <w:spacing w:before="120"/>
      </w:pPr>
      <w:r>
        <w:t xml:space="preserve">Les </w:t>
      </w:r>
      <w:r w:rsidRPr="00732ED5">
        <w:rPr>
          <w:b/>
        </w:rPr>
        <w:t>filiales significatives</w:t>
      </w:r>
      <w:r>
        <w:t xml:space="preserve"> </w:t>
      </w:r>
      <w:r w:rsidR="009239F1">
        <w:t xml:space="preserve">de ces groupes </w:t>
      </w:r>
      <w:r>
        <w:t xml:space="preserve">sont également </w:t>
      </w:r>
      <w:r w:rsidRPr="00732ED5">
        <w:rPr>
          <w:b/>
        </w:rPr>
        <w:t>tenues de désigner un commissaire aux comptes</w:t>
      </w:r>
      <w:r>
        <w:t>.</w:t>
      </w:r>
      <w:r w:rsidR="009239F1">
        <w:t xml:space="preserve"> </w:t>
      </w:r>
    </w:p>
    <w:p w:rsidR="00AE2DF8" w:rsidRDefault="00AE2DF8" w:rsidP="00766C84">
      <w:pPr>
        <w:spacing w:before="120"/>
      </w:pPr>
      <w:r>
        <w:t>On entend par filiale significative toute société contrôlée directement ou indirectement qui dépasse 2 des 3 seuils suivants :</w:t>
      </w:r>
    </w:p>
    <w:p w:rsidR="00AE2DF8" w:rsidRPr="00AE2DF8" w:rsidRDefault="00AE2DF8" w:rsidP="00AE2DF8">
      <w:pPr>
        <w:pStyle w:val="Paragraphedeliste"/>
        <w:numPr>
          <w:ilvl w:val="0"/>
          <w:numId w:val="38"/>
        </w:numPr>
        <w:spacing w:before="120"/>
        <w:rPr>
          <w:rFonts w:eastAsiaTheme="majorEastAsia"/>
        </w:rPr>
      </w:pPr>
      <w:r w:rsidRPr="00AE2DF8">
        <w:rPr>
          <w:rFonts w:eastAsiaTheme="majorEastAsia"/>
        </w:rPr>
        <w:t xml:space="preserve">total bilan : </w:t>
      </w:r>
      <w:r w:rsidRPr="00732ED5">
        <w:rPr>
          <w:rFonts w:eastAsiaTheme="majorEastAsia"/>
          <w:b/>
        </w:rPr>
        <w:t>2 M€</w:t>
      </w:r>
    </w:p>
    <w:p w:rsidR="00AE2DF8" w:rsidRPr="00AE2DF8" w:rsidRDefault="00AE2DF8" w:rsidP="00AE2DF8">
      <w:pPr>
        <w:pStyle w:val="Paragraphedeliste"/>
        <w:numPr>
          <w:ilvl w:val="0"/>
          <w:numId w:val="38"/>
        </w:numPr>
        <w:spacing w:before="120"/>
        <w:rPr>
          <w:rFonts w:eastAsiaTheme="majorEastAsia"/>
        </w:rPr>
      </w:pPr>
      <w:r w:rsidRPr="00AE2DF8">
        <w:rPr>
          <w:rFonts w:eastAsiaTheme="majorEastAsia"/>
        </w:rPr>
        <w:t xml:space="preserve">chiffre d’affaires : </w:t>
      </w:r>
      <w:r w:rsidRPr="00732ED5">
        <w:rPr>
          <w:rFonts w:eastAsiaTheme="majorEastAsia"/>
          <w:b/>
        </w:rPr>
        <w:t>4 M€</w:t>
      </w:r>
    </w:p>
    <w:p w:rsidR="00AE2DF8" w:rsidRPr="00AE2DF8" w:rsidRDefault="00AE2DF8" w:rsidP="00AE2DF8">
      <w:pPr>
        <w:pStyle w:val="Paragraphedeliste"/>
        <w:numPr>
          <w:ilvl w:val="0"/>
          <w:numId w:val="38"/>
        </w:numPr>
        <w:spacing w:before="120"/>
        <w:rPr>
          <w:rFonts w:eastAsiaTheme="majorEastAsia"/>
        </w:rPr>
      </w:pPr>
      <w:r w:rsidRPr="00AE2DF8">
        <w:rPr>
          <w:rFonts w:eastAsiaTheme="majorEastAsia"/>
        </w:rPr>
        <w:t xml:space="preserve">nombre de salariés : </w:t>
      </w:r>
      <w:r w:rsidRPr="00732ED5">
        <w:rPr>
          <w:rFonts w:eastAsiaTheme="majorEastAsia"/>
          <w:b/>
        </w:rPr>
        <w:t>25</w:t>
      </w:r>
    </w:p>
    <w:p w:rsidR="00182480" w:rsidRDefault="00C732F3" w:rsidP="00766C84">
      <w:pPr>
        <w:spacing w:before="120"/>
      </w:pPr>
      <w:r>
        <w:t>La mère et les filiales ne sont plus tenues de désigner un commissaire aux comptes dès qu’elle</w:t>
      </w:r>
      <w:r w:rsidR="00182480">
        <w:t>s</w:t>
      </w:r>
      <w:r>
        <w:t xml:space="preserve"> n’ont pas dépassé les seuils pendant les 2 exercices </w:t>
      </w:r>
      <w:r w:rsidR="00182480" w:rsidRPr="00732ED5">
        <w:t>précédant l'expiration du mandat du commissaire aux comptes. </w:t>
      </w:r>
    </w:p>
    <w:p w:rsidR="009872B1" w:rsidRDefault="00AE2DF8" w:rsidP="00766C84">
      <w:pPr>
        <w:spacing w:before="120"/>
      </w:pPr>
      <w:r>
        <w:t>NB : il s’agit de dispositions distinctes de celles précisant les obligations d’établissement de comptes consolidés.</w:t>
      </w:r>
    </w:p>
    <w:p w:rsidR="00591667" w:rsidRDefault="00591667" w:rsidP="00766C84">
      <w:pPr>
        <w:spacing w:before="120"/>
      </w:pPr>
    </w:p>
    <w:p w:rsidR="0039369C" w:rsidRPr="0039369C" w:rsidRDefault="0039369C" w:rsidP="00591667">
      <w:pPr>
        <w:pStyle w:val="Titre1"/>
        <w:keepNext/>
        <w:keepLines/>
        <w:numPr>
          <w:ilvl w:val="0"/>
          <w:numId w:val="6"/>
        </w:numPr>
        <w:pBdr>
          <w:top w:val="none" w:sz="0" w:space="0" w:color="auto"/>
          <w:bottom w:val="none" w:sz="0" w:space="0" w:color="auto"/>
        </w:pBdr>
        <w:shd w:val="clear" w:color="auto" w:fill="auto"/>
        <w:spacing w:before="480" w:after="0"/>
        <w:ind w:left="284" w:hanging="284"/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</w:pPr>
      <w:r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  <w:lastRenderedPageBreak/>
        <w:t>Dates d’</w:t>
      </w:r>
      <w:r w:rsidR="009239F1"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  <w:t>application</w:t>
      </w:r>
    </w:p>
    <w:p w:rsidR="009872B1" w:rsidRPr="009872B1" w:rsidRDefault="009239F1" w:rsidP="00766C84">
      <w:pPr>
        <w:spacing w:before="120"/>
      </w:pPr>
      <w:r w:rsidRPr="009872B1">
        <w:t xml:space="preserve">Le décret rentre en vigueur le </w:t>
      </w:r>
      <w:r w:rsidRPr="00732ED5">
        <w:rPr>
          <w:b/>
        </w:rPr>
        <w:t>27 mai 2019</w:t>
      </w:r>
      <w:r w:rsidRPr="009872B1">
        <w:t xml:space="preserve">. </w:t>
      </w:r>
      <w:r w:rsidR="00732ED5">
        <w:t xml:space="preserve"> </w:t>
      </w:r>
      <w:r w:rsidR="009872B1">
        <w:t>Toutes les dispositions s’appliquent donc pour les exercices dont la clôture est postérieure à cette date.</w:t>
      </w:r>
    </w:p>
    <w:p w:rsidR="00025A65" w:rsidRDefault="009239F1" w:rsidP="00766C84">
      <w:pPr>
        <w:spacing w:before="120"/>
      </w:pPr>
      <w:r w:rsidRPr="009872B1">
        <w:t xml:space="preserve">Par exception, </w:t>
      </w:r>
      <w:r w:rsidR="009872B1" w:rsidRPr="009872B1">
        <w:t xml:space="preserve">les dispositions de la loi Pacte entrent en vigueur pour les </w:t>
      </w:r>
      <w:r w:rsidR="00E271C0">
        <w:t xml:space="preserve">départements d'outre mer </w:t>
      </w:r>
      <w:r w:rsidR="0039369C">
        <w:t>à compter de 2021</w:t>
      </w:r>
    </w:p>
    <w:p w:rsidR="0039369C" w:rsidRDefault="0039369C" w:rsidP="00766C84">
      <w:pPr>
        <w:spacing w:before="120"/>
      </w:pPr>
    </w:p>
    <w:p w:rsidR="0039369C" w:rsidRPr="0039369C" w:rsidRDefault="009872B1" w:rsidP="0039369C">
      <w:pPr>
        <w:pStyle w:val="Titre1"/>
        <w:keepNext/>
        <w:keepLines/>
        <w:numPr>
          <w:ilvl w:val="0"/>
          <w:numId w:val="6"/>
        </w:numPr>
        <w:pBdr>
          <w:top w:val="none" w:sz="0" w:space="0" w:color="auto"/>
          <w:bottom w:val="none" w:sz="0" w:space="0" w:color="auto"/>
        </w:pBdr>
        <w:shd w:val="clear" w:color="auto" w:fill="auto"/>
        <w:spacing w:before="240" w:after="0"/>
        <w:ind w:left="284" w:hanging="284"/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</w:pPr>
      <w:r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  <w:t>Quel est le sort des</w:t>
      </w:r>
      <w:r w:rsidR="003F1082"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  <w:t xml:space="preserve"> mandats en cours</w:t>
      </w:r>
      <w:r w:rsidR="0039369C"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  <w:t> ?</w:t>
      </w:r>
    </w:p>
    <w:p w:rsidR="009239F1" w:rsidRPr="009872B1" w:rsidRDefault="009239F1" w:rsidP="009239F1">
      <w:pPr>
        <w:spacing w:before="120"/>
      </w:pPr>
      <w:r w:rsidRPr="009872B1">
        <w:t xml:space="preserve">Les mandats en cours au 27 mai 2019 se poursuivent normalement </w:t>
      </w:r>
      <w:r w:rsidRPr="00732ED5">
        <w:rPr>
          <w:b/>
        </w:rPr>
        <w:t>jusqu’à leur terme</w:t>
      </w:r>
      <w:r w:rsidRPr="009872B1">
        <w:t>.</w:t>
      </w:r>
    </w:p>
    <w:p w:rsidR="00C732F3" w:rsidRDefault="002C13AE" w:rsidP="00766C84">
      <w:pPr>
        <w:spacing w:before="120"/>
      </w:pPr>
      <w:r>
        <w:t xml:space="preserve">Pour le cas particulier </w:t>
      </w:r>
      <w:r w:rsidR="00C732F3">
        <w:t>des mandats pour lesquels :</w:t>
      </w:r>
    </w:p>
    <w:p w:rsidR="00C732F3" w:rsidRPr="00C732F3" w:rsidRDefault="00C732F3" w:rsidP="002C13AE">
      <w:pPr>
        <w:pStyle w:val="Paragraphedeliste"/>
        <w:numPr>
          <w:ilvl w:val="0"/>
          <w:numId w:val="38"/>
        </w:numPr>
        <w:ind w:left="714" w:hanging="357"/>
        <w:rPr>
          <w:rFonts w:eastAsiaTheme="majorEastAsia"/>
        </w:rPr>
      </w:pPr>
      <w:r w:rsidRPr="00C732F3">
        <w:rPr>
          <w:rFonts w:eastAsiaTheme="majorEastAsia"/>
        </w:rPr>
        <w:t xml:space="preserve">le 6ème exercice clôturait le 31 décembre 2018 </w:t>
      </w:r>
    </w:p>
    <w:p w:rsidR="00C732F3" w:rsidRPr="00C732F3" w:rsidRDefault="00C732F3" w:rsidP="002C13AE">
      <w:pPr>
        <w:pStyle w:val="Paragraphedeliste"/>
        <w:numPr>
          <w:ilvl w:val="0"/>
          <w:numId w:val="38"/>
        </w:numPr>
        <w:spacing w:before="120" w:after="0"/>
        <w:ind w:left="714" w:hanging="357"/>
        <w:rPr>
          <w:rFonts w:eastAsiaTheme="majorEastAsia"/>
        </w:rPr>
      </w:pPr>
      <w:r w:rsidRPr="00C732F3">
        <w:rPr>
          <w:rFonts w:eastAsiaTheme="majorEastAsia"/>
        </w:rPr>
        <w:t>la société n’a pas franchi 2 des 3 seuils au 31 décembre 2018</w:t>
      </w:r>
    </w:p>
    <w:p w:rsidR="00C732F3" w:rsidRDefault="00A84D05" w:rsidP="002C13AE">
      <w:r>
        <w:sym w:font="Symbol" w:char="F0AE"/>
      </w:r>
      <w:r>
        <w:t xml:space="preserve"> s</w:t>
      </w:r>
      <w:r w:rsidR="00C732F3">
        <w:t>i l’Assemblée Générale statuant sur la désignation d’un commissaire aux comptes n’a pas eu lieu avant le 27 mai, la société est dispensée de nommer un commissaire aux comptes.</w:t>
      </w:r>
    </w:p>
    <w:p w:rsidR="00591667" w:rsidRPr="00C732F3" w:rsidRDefault="00591667" w:rsidP="00766C84">
      <w:pPr>
        <w:spacing w:before="120"/>
      </w:pPr>
    </w:p>
    <w:bookmarkEnd w:id="0"/>
    <w:p w:rsidR="00591667" w:rsidRDefault="00591667" w:rsidP="00591667">
      <w:pPr>
        <w:pStyle w:val="Titre1"/>
        <w:keepNext/>
        <w:keepLines/>
        <w:numPr>
          <w:ilvl w:val="0"/>
          <w:numId w:val="6"/>
        </w:numPr>
        <w:pBdr>
          <w:top w:val="none" w:sz="0" w:space="0" w:color="auto"/>
          <w:bottom w:val="none" w:sz="0" w:space="0" w:color="auto"/>
        </w:pBdr>
        <w:shd w:val="clear" w:color="auto" w:fill="auto"/>
        <w:spacing w:before="480" w:after="0"/>
        <w:ind w:left="284" w:hanging="284"/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</w:pPr>
      <w:r w:rsidRPr="00591667"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  <w:t>La certification</w:t>
      </w:r>
      <w:r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  <w:t xml:space="preserve"> légale des petites entreprises</w:t>
      </w:r>
    </w:p>
    <w:p w:rsidR="004F2BE4" w:rsidRDefault="004F2BE4" w:rsidP="004F2BE4">
      <w:pPr>
        <w:spacing w:before="120"/>
      </w:pPr>
      <w:r>
        <w:t xml:space="preserve">Une entreprise qui répond à la définition </w:t>
      </w:r>
      <w:r w:rsidR="00271755">
        <w:t>d'une petite entreprise</w:t>
      </w:r>
      <w:r w:rsidR="00271755">
        <w:rPr>
          <w:rStyle w:val="Appelnotedebasdep"/>
        </w:rPr>
        <w:footnoteReference w:id="2"/>
      </w:r>
      <w:r>
        <w:t xml:space="preserve"> </w:t>
      </w:r>
      <w:r w:rsidR="00271755">
        <w:t xml:space="preserve">et qui n'a pas d'obligation légale de nommer un commissaire aux comptes peut </w:t>
      </w:r>
      <w:r w:rsidR="00271755" w:rsidRPr="00271755">
        <w:rPr>
          <w:b/>
        </w:rPr>
        <w:t xml:space="preserve">décider </w:t>
      </w:r>
      <w:r w:rsidR="00271755">
        <w:t>volontairement de le faire.</w:t>
      </w:r>
    </w:p>
    <w:p w:rsidR="00271755" w:rsidRDefault="00271755" w:rsidP="004F2BE4">
      <w:pPr>
        <w:spacing w:before="120"/>
      </w:pPr>
      <w:r>
        <w:t xml:space="preserve">Le mandat du commissaire aux comptes peut être de </w:t>
      </w:r>
      <w:r w:rsidRPr="00271755">
        <w:rPr>
          <w:b/>
        </w:rPr>
        <w:t>6 ans</w:t>
      </w:r>
      <w:r>
        <w:t xml:space="preserve"> mais sa durée peut aussi être </w:t>
      </w:r>
      <w:r w:rsidRPr="00271755">
        <w:rPr>
          <w:b/>
        </w:rPr>
        <w:t>limitée à 3 exercices</w:t>
      </w:r>
      <w:r>
        <w:t>.</w:t>
      </w:r>
    </w:p>
    <w:p w:rsidR="001E636E" w:rsidRDefault="00271755" w:rsidP="004F2BE4">
      <w:pPr>
        <w:spacing w:before="120"/>
      </w:pPr>
      <w:r>
        <w:t xml:space="preserve">Il en est de même </w:t>
      </w:r>
      <w:r w:rsidR="001E636E">
        <w:t>:</w:t>
      </w:r>
    </w:p>
    <w:p w:rsidR="00271755" w:rsidRPr="001E636E" w:rsidRDefault="00271755" w:rsidP="001E636E">
      <w:pPr>
        <w:pStyle w:val="Paragraphedeliste"/>
        <w:numPr>
          <w:ilvl w:val="0"/>
          <w:numId w:val="38"/>
        </w:numPr>
        <w:spacing w:before="120"/>
        <w:rPr>
          <w:rFonts w:eastAsiaTheme="majorEastAsia"/>
        </w:rPr>
      </w:pPr>
      <w:r w:rsidRPr="001E636E">
        <w:rPr>
          <w:rFonts w:eastAsiaTheme="majorEastAsia"/>
        </w:rPr>
        <w:t>pour les entité</w:t>
      </w:r>
      <w:r w:rsidR="00196976">
        <w:rPr>
          <w:rFonts w:eastAsiaTheme="majorEastAsia"/>
        </w:rPr>
        <w:t>s</w:t>
      </w:r>
      <w:r w:rsidRPr="001E636E">
        <w:rPr>
          <w:rFonts w:eastAsiaTheme="majorEastAsia"/>
        </w:rPr>
        <w:t xml:space="preserve"> "têtes de groupe" ayant l'obligation de nommer un commissaire aux comptes (cf partie 2.) mais qui correspondent à la définition légale d'une petite entreprise</w:t>
      </w:r>
    </w:p>
    <w:p w:rsidR="001E636E" w:rsidRPr="001E636E" w:rsidRDefault="001E636E" w:rsidP="001E636E">
      <w:pPr>
        <w:pStyle w:val="Paragraphedeliste"/>
        <w:numPr>
          <w:ilvl w:val="0"/>
          <w:numId w:val="38"/>
        </w:numPr>
        <w:spacing w:before="120"/>
        <w:rPr>
          <w:rFonts w:eastAsiaTheme="majorEastAsia"/>
        </w:rPr>
      </w:pPr>
      <w:r w:rsidRPr="001E636E">
        <w:rPr>
          <w:rFonts w:eastAsiaTheme="majorEastAsia"/>
        </w:rPr>
        <w:t>pour les filiales significatives (cf partie 2.) mais qui correspondent à la définition légale d'une petite entreprise</w:t>
      </w:r>
    </w:p>
    <w:p w:rsidR="001E636E" w:rsidRPr="00C9251C" w:rsidRDefault="001E636E" w:rsidP="001E636E">
      <w:pPr>
        <w:spacing w:before="120"/>
        <w:rPr>
          <w:sz w:val="20"/>
        </w:rPr>
      </w:pPr>
      <w:r>
        <w:t>La mission de certification limitée à 3 ans</w:t>
      </w:r>
      <w:r w:rsidR="004815FD">
        <w:t>,</w:t>
      </w:r>
      <w:r>
        <w:t xml:space="preserve"> également appelée mission </w:t>
      </w:r>
      <w:r w:rsidRPr="00284D1B">
        <w:rPr>
          <w:b/>
        </w:rPr>
        <w:t>ALPE</w:t>
      </w:r>
      <w:r w:rsidR="00284D1B">
        <w:t xml:space="preserve"> (A</w:t>
      </w:r>
      <w:r w:rsidR="00284D1B" w:rsidRPr="00284D1B">
        <w:t>udit Légal des Petites Entités)</w:t>
      </w:r>
      <w:r w:rsidR="004815FD">
        <w:t>,</w:t>
      </w:r>
      <w:r>
        <w:t xml:space="preserve"> fait l'objet d</w:t>
      </w:r>
      <w:r w:rsidR="00C9251C">
        <w:t xml:space="preserve">e la nouvelle </w:t>
      </w:r>
      <w:r>
        <w:t xml:space="preserve">Norme d'Exercice Professionnel spécifique </w:t>
      </w:r>
      <w:r w:rsidRPr="00284D1B">
        <w:rPr>
          <w:b/>
        </w:rPr>
        <w:t>NEP 911</w:t>
      </w:r>
      <w:r w:rsidR="00C9251C">
        <w:t xml:space="preserve"> </w:t>
      </w:r>
      <w:r w:rsidR="00C9251C" w:rsidRPr="00C9251C">
        <w:rPr>
          <w:sz w:val="20"/>
        </w:rPr>
        <w:t xml:space="preserve">(la nouvelle </w:t>
      </w:r>
      <w:r w:rsidR="00C9251C" w:rsidRPr="00C9251C">
        <w:rPr>
          <w:rFonts w:eastAsiaTheme="majorEastAsia"/>
          <w:sz w:val="18"/>
          <w:lang w:eastAsia="en-US"/>
        </w:rPr>
        <w:t>NEP 912 précisant par ailleurs les missions du commissaire aux comptes</w:t>
      </w:r>
      <w:r w:rsidR="00C9251C">
        <w:rPr>
          <w:rFonts w:eastAsiaTheme="majorEastAsia"/>
          <w:sz w:val="18"/>
          <w:lang w:eastAsia="en-US"/>
        </w:rPr>
        <w:t xml:space="preserve"> nommé pour six exercices dans l</w:t>
      </w:r>
      <w:r w:rsidR="00C9251C" w:rsidRPr="00C9251C">
        <w:rPr>
          <w:rFonts w:eastAsiaTheme="majorEastAsia"/>
          <w:sz w:val="18"/>
          <w:lang w:eastAsia="en-US"/>
        </w:rPr>
        <w:t>es petites entreprises).</w:t>
      </w:r>
    </w:p>
    <w:p w:rsidR="001E636E" w:rsidRDefault="001E636E" w:rsidP="004F2BE4">
      <w:pPr>
        <w:spacing w:before="120"/>
      </w:pPr>
      <w:r>
        <w:t xml:space="preserve">Cette mission </w:t>
      </w:r>
      <w:r w:rsidR="00284D1B">
        <w:t xml:space="preserve">est décomposée en </w:t>
      </w:r>
      <w:r w:rsidR="00284D1B" w:rsidRPr="00284D1B">
        <w:rPr>
          <w:b/>
        </w:rPr>
        <w:t>3 parties</w:t>
      </w:r>
      <w:r w:rsidR="00284D1B">
        <w:t xml:space="preserve"> :</w:t>
      </w:r>
    </w:p>
    <w:p w:rsidR="00284D1B" w:rsidRPr="00284D1B" w:rsidRDefault="00284D1B" w:rsidP="00196976">
      <w:pPr>
        <w:pStyle w:val="Paragraphedeliste"/>
        <w:numPr>
          <w:ilvl w:val="0"/>
          <w:numId w:val="38"/>
        </w:numPr>
        <w:spacing w:before="120"/>
        <w:jc w:val="both"/>
        <w:rPr>
          <w:rFonts w:eastAsiaTheme="majorEastAsia"/>
        </w:rPr>
      </w:pPr>
      <w:r w:rsidRPr="00284D1B">
        <w:rPr>
          <w:rFonts w:eastAsiaTheme="majorEastAsia"/>
        </w:rPr>
        <w:t xml:space="preserve">la </w:t>
      </w:r>
      <w:r w:rsidRPr="00284D1B">
        <w:rPr>
          <w:rFonts w:eastAsiaTheme="majorEastAsia"/>
          <w:b/>
        </w:rPr>
        <w:t>certification des comptes</w:t>
      </w:r>
      <w:r w:rsidRPr="00284D1B">
        <w:rPr>
          <w:rFonts w:eastAsiaTheme="majorEastAsia"/>
        </w:rPr>
        <w:t xml:space="preserve"> </w:t>
      </w:r>
      <w:r>
        <w:rPr>
          <w:rFonts w:eastAsiaTheme="majorEastAsia"/>
        </w:rPr>
        <w:t xml:space="preserve">qui est </w:t>
      </w:r>
      <w:r w:rsidRPr="00284D1B">
        <w:rPr>
          <w:rFonts w:eastAsiaTheme="majorEastAsia"/>
          <w:b/>
        </w:rPr>
        <w:t>proportionnée</w:t>
      </w:r>
      <w:r w:rsidRPr="00284D1B">
        <w:rPr>
          <w:rFonts w:eastAsiaTheme="majorEastAsia"/>
        </w:rPr>
        <w:t xml:space="preserve"> à la structu</w:t>
      </w:r>
      <w:bookmarkStart w:id="1" w:name="_GoBack"/>
      <w:bookmarkEnd w:id="1"/>
      <w:r w:rsidRPr="00284D1B">
        <w:rPr>
          <w:rFonts w:eastAsiaTheme="majorEastAsia"/>
        </w:rPr>
        <w:t>re auditée (diligences, documentation, plan de mission, programmes, etc.)</w:t>
      </w:r>
    </w:p>
    <w:p w:rsidR="00284D1B" w:rsidRPr="00284D1B" w:rsidRDefault="00284D1B" w:rsidP="00196976">
      <w:pPr>
        <w:pStyle w:val="Paragraphedeliste"/>
        <w:numPr>
          <w:ilvl w:val="0"/>
          <w:numId w:val="38"/>
        </w:numPr>
        <w:spacing w:before="120"/>
        <w:jc w:val="both"/>
        <w:rPr>
          <w:rFonts w:eastAsiaTheme="majorEastAsia"/>
        </w:rPr>
      </w:pPr>
      <w:r w:rsidRPr="00284D1B">
        <w:rPr>
          <w:rFonts w:eastAsiaTheme="majorEastAsia"/>
        </w:rPr>
        <w:t xml:space="preserve">les </w:t>
      </w:r>
      <w:r w:rsidRPr="00284D1B">
        <w:rPr>
          <w:rFonts w:eastAsiaTheme="majorEastAsia"/>
          <w:b/>
        </w:rPr>
        <w:t>autres diligences légales</w:t>
      </w:r>
      <w:r w:rsidRPr="00284D1B">
        <w:rPr>
          <w:rFonts w:eastAsiaTheme="majorEastAsia"/>
        </w:rPr>
        <w:t xml:space="preserve"> (le commissaire aux comptes est </w:t>
      </w:r>
      <w:r w:rsidRPr="00284D1B">
        <w:rPr>
          <w:rFonts w:eastAsiaTheme="majorEastAsia"/>
          <w:b/>
        </w:rPr>
        <w:t>dispensé</w:t>
      </w:r>
      <w:r w:rsidRPr="00284D1B">
        <w:rPr>
          <w:rFonts w:eastAsiaTheme="majorEastAsia"/>
        </w:rPr>
        <w:t xml:space="preserve"> du rapport spécial sur les conventions réglementées, sur l'attestation sur les rémunérations, etc.)</w:t>
      </w:r>
    </w:p>
    <w:p w:rsidR="003A63E8" w:rsidRPr="001E636E" w:rsidRDefault="00284D1B" w:rsidP="00196976">
      <w:pPr>
        <w:pStyle w:val="Paragraphedeliste"/>
        <w:numPr>
          <w:ilvl w:val="0"/>
          <w:numId w:val="38"/>
        </w:numPr>
        <w:shd w:val="clear" w:color="auto" w:fill="FFFFFF"/>
        <w:spacing w:before="120" w:beforeAutospacing="1" w:after="100" w:afterAutospacing="1"/>
        <w:jc w:val="both"/>
        <w:rPr>
          <w:rFonts w:ascii="Open Sans" w:hAnsi="Open Sans" w:cs="Open Sans"/>
          <w:color w:val="333333"/>
        </w:rPr>
      </w:pPr>
      <w:r w:rsidRPr="003A63E8">
        <w:rPr>
          <w:rFonts w:eastAsiaTheme="majorEastAsia"/>
        </w:rPr>
        <w:t xml:space="preserve">un </w:t>
      </w:r>
      <w:r w:rsidRPr="003A63E8">
        <w:rPr>
          <w:rFonts w:eastAsiaTheme="majorEastAsia"/>
          <w:b/>
        </w:rPr>
        <w:t>r</w:t>
      </w:r>
      <w:r w:rsidRPr="00284D1B">
        <w:rPr>
          <w:rFonts w:eastAsiaTheme="majorEastAsia"/>
          <w:b/>
        </w:rPr>
        <w:t>apport sur les risque</w:t>
      </w:r>
      <w:r w:rsidRPr="003A63E8">
        <w:rPr>
          <w:rFonts w:eastAsiaTheme="majorEastAsia"/>
          <w:b/>
        </w:rPr>
        <w:t>s</w:t>
      </w:r>
      <w:r w:rsidRPr="00284D1B">
        <w:rPr>
          <w:rFonts w:eastAsiaTheme="majorEastAsia"/>
        </w:rPr>
        <w:t xml:space="preserve"> prévoyant l’identification des risques financiers, comptables et de gestion de l’entité auditée.</w:t>
      </w:r>
      <w:r w:rsidRPr="003A63E8">
        <w:rPr>
          <w:rFonts w:eastAsiaTheme="majorEastAsia"/>
        </w:rPr>
        <w:t xml:space="preserve"> Ce rapport n'est pas normé et peut contenir une analyse de ratios financiers</w:t>
      </w:r>
      <w:r w:rsidR="003A63E8" w:rsidRPr="003A63E8">
        <w:rPr>
          <w:rFonts w:eastAsiaTheme="majorEastAsia"/>
        </w:rPr>
        <w:t>, une appréciation du contrôle interne, une synthèse des différents risques auxquels est confrontée l'entreprise</w:t>
      </w:r>
      <w:r w:rsidR="002C13AE">
        <w:rPr>
          <w:rFonts w:eastAsiaTheme="majorEastAsia"/>
        </w:rPr>
        <w:t xml:space="preserve"> (ou le groupe)</w:t>
      </w:r>
      <w:r w:rsidR="004815FD">
        <w:rPr>
          <w:rFonts w:eastAsiaTheme="majorEastAsia"/>
        </w:rPr>
        <w:t>, etc.</w:t>
      </w:r>
    </w:p>
    <w:p w:rsidR="001E636E" w:rsidRDefault="003A63E8" w:rsidP="003A63E8">
      <w:pPr>
        <w:spacing w:before="120"/>
      </w:pPr>
      <w:r w:rsidRPr="003A63E8">
        <w:t xml:space="preserve">Dans la mission ALPE, le commissaire aux comptes a toujours </w:t>
      </w:r>
      <w:r w:rsidRPr="002C13AE">
        <w:rPr>
          <w:b/>
        </w:rPr>
        <w:t>le devoir d'alerte et de révélation des faits délictueux</w:t>
      </w:r>
      <w:r>
        <w:t>.</w:t>
      </w:r>
    </w:p>
    <w:sectPr w:rsidR="001E636E" w:rsidSect="00F5722D">
      <w:headerReference w:type="default" r:id="rId15"/>
      <w:footerReference w:type="default" r:id="rId16"/>
      <w:type w:val="continuous"/>
      <w:pgSz w:w="11906" w:h="16838" w:code="9"/>
      <w:pgMar w:top="1134" w:right="1418" w:bottom="1021" w:left="1418" w:header="28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8FE" w:rsidRDefault="006C18FE">
      <w:r>
        <w:separator/>
      </w:r>
    </w:p>
  </w:endnote>
  <w:endnote w:type="continuationSeparator" w:id="1">
    <w:p w:rsidR="006C18FE" w:rsidRDefault="006C1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3B4" w:rsidRPr="00ED5A97" w:rsidRDefault="00D373B4" w:rsidP="00ED5A97">
    <w:pPr>
      <w:pStyle w:val="Pieddepage"/>
    </w:pPr>
    <w:r w:rsidRPr="00F12DC5">
      <w:rPr>
        <w:sz w:val="12"/>
      </w:rPr>
      <w:t>Veille comptable 2019 n°</w:t>
    </w:r>
    <w:r w:rsidR="004C6CF7">
      <w:rPr>
        <w:sz w:val="12"/>
      </w:rPr>
      <w:t>3</w:t>
    </w:r>
    <w:r w:rsidRPr="00F12DC5">
      <w:rPr>
        <w:sz w:val="12"/>
      </w:rPr>
      <w:t>. doc</w:t>
    </w:r>
    <w:r w:rsidRPr="00ED5A97">
      <w:tab/>
    </w:r>
    <w:r w:rsidRPr="00ED5A97">
      <w:rPr>
        <w:sz w:val="16"/>
      </w:rPr>
      <w:t xml:space="preserve">© Réseau CRCF - Ministère de l'Éducation nationale - </w:t>
    </w:r>
    <w:hyperlink r:id="rId1" w:history="1">
      <w:r w:rsidRPr="00ED5A97">
        <w:rPr>
          <w:rStyle w:val="Lienhypertexte"/>
          <w:color w:val="auto"/>
          <w:sz w:val="16"/>
          <w:szCs w:val="16"/>
          <w:u w:val="none"/>
        </w:rPr>
        <w:t>http://crcf.ac-grenoble.fr</w:t>
      </w:r>
    </w:hyperlink>
    <w:r w:rsidRPr="00ED5A97">
      <w:tab/>
      <w:t xml:space="preserve">page </w:t>
    </w:r>
    <w:r w:rsidR="004C4B68">
      <w:fldChar w:fldCharType="begin"/>
    </w:r>
    <w:r w:rsidR="005D0182">
      <w:instrText xml:space="preserve"> PAGE   \* MERGEFORMAT </w:instrText>
    </w:r>
    <w:r w:rsidR="004C4B68">
      <w:fldChar w:fldCharType="separate"/>
    </w:r>
    <w:r w:rsidR="007F1732">
      <w:rPr>
        <w:noProof/>
      </w:rPr>
      <w:t>3</w:t>
    </w:r>
    <w:r w:rsidR="004C4B68">
      <w:rPr>
        <w:noProof/>
      </w:rPr>
      <w:fldChar w:fldCharType="end"/>
    </w:r>
    <w:r w:rsidRPr="00ED5A97">
      <w:t>/</w:t>
    </w:r>
    <w:fldSimple w:instr=" NUMPAGES   \* MERGEFORMAT ">
      <w:r w:rsidR="007F1732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8FE" w:rsidRDefault="006C18FE">
      <w:r>
        <w:separator/>
      </w:r>
    </w:p>
  </w:footnote>
  <w:footnote w:type="continuationSeparator" w:id="1">
    <w:p w:rsidR="006C18FE" w:rsidRDefault="006C18FE">
      <w:r>
        <w:continuationSeparator/>
      </w:r>
    </w:p>
  </w:footnote>
  <w:footnote w:id="2">
    <w:p w:rsidR="00271755" w:rsidRPr="00271755" w:rsidRDefault="00271755">
      <w:pPr>
        <w:pStyle w:val="Notedebasdepage"/>
        <w:rPr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271755">
        <w:rPr>
          <w:sz w:val="16"/>
          <w:szCs w:val="16"/>
        </w:rPr>
        <w:t xml:space="preserve">soit une entreprise qui ne dépasse pas, à la clôture d’un exercice social </w:t>
      </w:r>
      <w:r>
        <w:rPr>
          <w:sz w:val="16"/>
          <w:szCs w:val="16"/>
        </w:rPr>
        <w:t>2</w:t>
      </w:r>
      <w:r w:rsidRPr="00271755">
        <w:rPr>
          <w:sz w:val="16"/>
          <w:szCs w:val="16"/>
        </w:rPr>
        <w:t xml:space="preserve"> des </w:t>
      </w:r>
      <w:r>
        <w:rPr>
          <w:sz w:val="16"/>
          <w:szCs w:val="16"/>
        </w:rPr>
        <w:t>3</w:t>
      </w:r>
      <w:r w:rsidRPr="00271755">
        <w:rPr>
          <w:sz w:val="16"/>
          <w:szCs w:val="16"/>
        </w:rPr>
        <w:t xml:space="preserve"> critères suivants : 4 millions d'euros de total bilan, 8 millions d’euros de CA HT et 50 salariés employés en moyenne au cours de l’exercice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3B4" w:rsidRPr="00ED5A97" w:rsidRDefault="00D373B4" w:rsidP="00ED5A97">
    <w:pPr>
      <w:pStyle w:val="En-tte"/>
    </w:pPr>
    <w:r>
      <w:t>Actualité comptable</w:t>
    </w:r>
    <w:r w:rsidRPr="00ED5A97">
      <w:tab/>
    </w:r>
    <w:r w:rsidRPr="00ED5A97">
      <w:tab/>
    </w:r>
    <w:r w:rsidR="007F1732">
      <w:t>Aout</w:t>
    </w:r>
    <w:r>
      <w:t xml:space="preserve"> 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BD14565_"/>
      </v:shape>
    </w:pict>
  </w:numPicBullet>
  <w:abstractNum w:abstractNumId="0">
    <w:nsid w:val="005440DC"/>
    <w:multiLevelType w:val="multilevel"/>
    <w:tmpl w:val="1686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46C83"/>
    <w:multiLevelType w:val="hybridMultilevel"/>
    <w:tmpl w:val="4F6098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F1BA4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BCD7BC9"/>
    <w:multiLevelType w:val="hybridMultilevel"/>
    <w:tmpl w:val="6324EB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00D15"/>
    <w:multiLevelType w:val="hybridMultilevel"/>
    <w:tmpl w:val="290AF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80245"/>
    <w:multiLevelType w:val="hybridMultilevel"/>
    <w:tmpl w:val="721E8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112EC"/>
    <w:multiLevelType w:val="hybridMultilevel"/>
    <w:tmpl w:val="520AD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5277C"/>
    <w:multiLevelType w:val="multilevel"/>
    <w:tmpl w:val="070A608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>
    <w:nsid w:val="256A08CA"/>
    <w:multiLevelType w:val="hybridMultilevel"/>
    <w:tmpl w:val="D8026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5356E"/>
    <w:multiLevelType w:val="multilevel"/>
    <w:tmpl w:val="F6EC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4D20D6"/>
    <w:multiLevelType w:val="multilevel"/>
    <w:tmpl w:val="C932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944368"/>
    <w:multiLevelType w:val="hybridMultilevel"/>
    <w:tmpl w:val="3F868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31A75"/>
    <w:multiLevelType w:val="hybridMultilevel"/>
    <w:tmpl w:val="7A929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77F1B"/>
    <w:multiLevelType w:val="hybridMultilevel"/>
    <w:tmpl w:val="87262E24"/>
    <w:lvl w:ilvl="0" w:tplc="6DE44B46">
      <w:start w:val="1"/>
      <w:numFmt w:val="bullet"/>
      <w:pStyle w:val="List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A499E"/>
    <w:multiLevelType w:val="hybridMultilevel"/>
    <w:tmpl w:val="5ADE7884"/>
    <w:lvl w:ilvl="0" w:tplc="DCBA708E">
      <w:start w:val="1"/>
      <w:numFmt w:val="bullet"/>
      <w:pStyle w:val="liste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AC14D0"/>
    <w:multiLevelType w:val="hybridMultilevel"/>
    <w:tmpl w:val="2EE8E0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207394"/>
    <w:multiLevelType w:val="hybridMultilevel"/>
    <w:tmpl w:val="A22C0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B21A9"/>
    <w:multiLevelType w:val="hybridMultilevel"/>
    <w:tmpl w:val="21263138"/>
    <w:lvl w:ilvl="0" w:tplc="A45A913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12EB2"/>
    <w:multiLevelType w:val="hybridMultilevel"/>
    <w:tmpl w:val="50F41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153C7"/>
    <w:multiLevelType w:val="hybridMultilevel"/>
    <w:tmpl w:val="9458946A"/>
    <w:lvl w:ilvl="0" w:tplc="1902BAD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5909D8"/>
    <w:multiLevelType w:val="hybridMultilevel"/>
    <w:tmpl w:val="5238C5B4"/>
    <w:lvl w:ilvl="0" w:tplc="2A7C35A0">
      <w:start w:val="1"/>
      <w:numFmt w:val="bullet"/>
      <w:pStyle w:val="DCGtiret"/>
      <w:lvlText w:val=""/>
      <w:lvlJc w:val="left"/>
      <w:pPr>
        <w:ind w:left="3196" w:hanging="360"/>
      </w:pPr>
      <w:rPr>
        <w:rFonts w:ascii="Wingdings" w:hAnsi="Wingdings" w:hint="default"/>
        <w:caps w:val="0"/>
        <w:strike w:val="0"/>
        <w:dstrike w:val="0"/>
        <w:vanish w:val="0"/>
        <w:sz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E21E89"/>
    <w:multiLevelType w:val="multilevel"/>
    <w:tmpl w:val="6D22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A5336C"/>
    <w:multiLevelType w:val="hybridMultilevel"/>
    <w:tmpl w:val="CF1604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B449FD"/>
    <w:multiLevelType w:val="hybridMultilevel"/>
    <w:tmpl w:val="41969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097A2B"/>
    <w:multiLevelType w:val="hybridMultilevel"/>
    <w:tmpl w:val="1C2E736E"/>
    <w:lvl w:ilvl="0" w:tplc="1AC4396C">
      <w:start w:val="1"/>
      <w:numFmt w:val="bullet"/>
      <w:pStyle w:val="StyleVerdana8ptAvant5ptAprs6ptInterligneAumo1"/>
      <w:lvlText w:val=""/>
      <w:lvlJc w:val="left"/>
      <w:pPr>
        <w:tabs>
          <w:tab w:val="num" w:pos="426"/>
        </w:tabs>
        <w:ind w:left="426" w:hanging="142"/>
      </w:pPr>
      <w:rPr>
        <w:rFonts w:ascii="Symbol" w:hAnsi="Symbol" w:hint="default"/>
        <w:sz w:val="18"/>
        <w:szCs w:val="18"/>
      </w:rPr>
    </w:lvl>
    <w:lvl w:ilvl="1" w:tplc="040C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>
    <w:nsid w:val="6E2D7CC3"/>
    <w:multiLevelType w:val="hybridMultilevel"/>
    <w:tmpl w:val="2D7AF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421871"/>
    <w:multiLevelType w:val="hybridMultilevel"/>
    <w:tmpl w:val="21263138"/>
    <w:lvl w:ilvl="0" w:tplc="A45A913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11915"/>
    <w:multiLevelType w:val="hybridMultilevel"/>
    <w:tmpl w:val="01FEC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4341F7"/>
    <w:multiLevelType w:val="hybridMultilevel"/>
    <w:tmpl w:val="B1243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4"/>
  </w:num>
  <w:num w:numId="4">
    <w:abstractNumId w:val="13"/>
  </w:num>
  <w:num w:numId="5">
    <w:abstractNumId w:val="14"/>
  </w:num>
  <w:num w:numId="6">
    <w:abstractNumId w:val="22"/>
  </w:num>
  <w:num w:numId="7">
    <w:abstractNumId w:val="12"/>
  </w:num>
  <w:num w:numId="8">
    <w:abstractNumId w:val="17"/>
  </w:num>
  <w:num w:numId="9">
    <w:abstractNumId w:val="26"/>
  </w:num>
  <w:num w:numId="10">
    <w:abstractNumId w:val="1"/>
  </w:num>
  <w:num w:numId="11">
    <w:abstractNumId w:val="15"/>
  </w:num>
  <w:num w:numId="12">
    <w:abstractNumId w:val="28"/>
  </w:num>
  <w:num w:numId="13">
    <w:abstractNumId w:val="23"/>
  </w:num>
  <w:num w:numId="14">
    <w:abstractNumId w:val="8"/>
  </w:num>
  <w:num w:numId="15">
    <w:abstractNumId w:val="4"/>
  </w:num>
  <w:num w:numId="16">
    <w:abstractNumId w:val="3"/>
  </w:num>
  <w:num w:numId="17">
    <w:abstractNumId w:val="25"/>
  </w:num>
  <w:num w:numId="18">
    <w:abstractNumId w:val="27"/>
  </w:num>
  <w:num w:numId="19">
    <w:abstractNumId w:val="5"/>
  </w:num>
  <w:num w:numId="20">
    <w:abstractNumId w:val="18"/>
  </w:num>
  <w:num w:numId="21">
    <w:abstractNumId w:val="10"/>
  </w:num>
  <w:num w:numId="22">
    <w:abstractNumId w:val="21"/>
  </w:num>
  <w:num w:numId="23">
    <w:abstractNumId w:val="9"/>
  </w:num>
  <w:num w:numId="24">
    <w:abstractNumId w:val="11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20"/>
  </w:num>
  <w:num w:numId="35">
    <w:abstractNumId w:val="14"/>
  </w:num>
  <w:num w:numId="36">
    <w:abstractNumId w:val="19"/>
  </w:num>
  <w:num w:numId="37">
    <w:abstractNumId w:val="6"/>
  </w:num>
  <w:num w:numId="38">
    <w:abstractNumId w:val="16"/>
  </w:num>
  <w:num w:numId="39">
    <w:abstractNumId w:val="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001"/>
  <w:defaultTabStop w:val="567"/>
  <w:hyphenationZone w:val="425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A60EA"/>
    <w:rsid w:val="00000189"/>
    <w:rsid w:val="00016B2F"/>
    <w:rsid w:val="00020DF6"/>
    <w:rsid w:val="00025A65"/>
    <w:rsid w:val="00033457"/>
    <w:rsid w:val="00044392"/>
    <w:rsid w:val="00045A6F"/>
    <w:rsid w:val="00045EF8"/>
    <w:rsid w:val="000473B7"/>
    <w:rsid w:val="00060389"/>
    <w:rsid w:val="00060C4C"/>
    <w:rsid w:val="000924F4"/>
    <w:rsid w:val="00093417"/>
    <w:rsid w:val="00093D7C"/>
    <w:rsid w:val="00094210"/>
    <w:rsid w:val="00097F94"/>
    <w:rsid w:val="000A2848"/>
    <w:rsid w:val="000B168D"/>
    <w:rsid w:val="000C2D62"/>
    <w:rsid w:val="000D0628"/>
    <w:rsid w:val="00102B5B"/>
    <w:rsid w:val="00133C49"/>
    <w:rsid w:val="00150D9C"/>
    <w:rsid w:val="00151650"/>
    <w:rsid w:val="0015246D"/>
    <w:rsid w:val="00172BDB"/>
    <w:rsid w:val="001735D1"/>
    <w:rsid w:val="00181435"/>
    <w:rsid w:val="00182480"/>
    <w:rsid w:val="001934F7"/>
    <w:rsid w:val="00196976"/>
    <w:rsid w:val="001A01EE"/>
    <w:rsid w:val="001A1F79"/>
    <w:rsid w:val="001A3F17"/>
    <w:rsid w:val="001A5C95"/>
    <w:rsid w:val="001D0089"/>
    <w:rsid w:val="001D2444"/>
    <w:rsid w:val="001D500F"/>
    <w:rsid w:val="001E0018"/>
    <w:rsid w:val="001E636E"/>
    <w:rsid w:val="001E7C72"/>
    <w:rsid w:val="001F30FF"/>
    <w:rsid w:val="001F4166"/>
    <w:rsid w:val="002053C0"/>
    <w:rsid w:val="0020688C"/>
    <w:rsid w:val="002231F6"/>
    <w:rsid w:val="00230396"/>
    <w:rsid w:val="0023772C"/>
    <w:rsid w:val="00240001"/>
    <w:rsid w:val="00250221"/>
    <w:rsid w:val="00251623"/>
    <w:rsid w:val="00271755"/>
    <w:rsid w:val="00273CD9"/>
    <w:rsid w:val="00280C29"/>
    <w:rsid w:val="00283C6F"/>
    <w:rsid w:val="00284D1B"/>
    <w:rsid w:val="002936A3"/>
    <w:rsid w:val="0029486C"/>
    <w:rsid w:val="002A063C"/>
    <w:rsid w:val="002A2090"/>
    <w:rsid w:val="002A35E3"/>
    <w:rsid w:val="002B56BC"/>
    <w:rsid w:val="002C081D"/>
    <w:rsid w:val="002C13AE"/>
    <w:rsid w:val="002C4C4D"/>
    <w:rsid w:val="002D4028"/>
    <w:rsid w:val="002E58AD"/>
    <w:rsid w:val="002E6E3A"/>
    <w:rsid w:val="002E727C"/>
    <w:rsid w:val="002F2BD3"/>
    <w:rsid w:val="0030302D"/>
    <w:rsid w:val="003032E1"/>
    <w:rsid w:val="003217F7"/>
    <w:rsid w:val="0032792C"/>
    <w:rsid w:val="00335B0A"/>
    <w:rsid w:val="003411E9"/>
    <w:rsid w:val="003534B9"/>
    <w:rsid w:val="00372AAE"/>
    <w:rsid w:val="00387A03"/>
    <w:rsid w:val="0039369C"/>
    <w:rsid w:val="003968C6"/>
    <w:rsid w:val="003A63E8"/>
    <w:rsid w:val="003B1E29"/>
    <w:rsid w:val="003B53A3"/>
    <w:rsid w:val="003B7ADB"/>
    <w:rsid w:val="003C24F7"/>
    <w:rsid w:val="003E469F"/>
    <w:rsid w:val="003E5082"/>
    <w:rsid w:val="003E785A"/>
    <w:rsid w:val="003E79BA"/>
    <w:rsid w:val="003F1082"/>
    <w:rsid w:val="003F4A6D"/>
    <w:rsid w:val="003F6E28"/>
    <w:rsid w:val="00412BCA"/>
    <w:rsid w:val="00416205"/>
    <w:rsid w:val="004460FC"/>
    <w:rsid w:val="0045625E"/>
    <w:rsid w:val="004563F0"/>
    <w:rsid w:val="004723A2"/>
    <w:rsid w:val="00475AA9"/>
    <w:rsid w:val="004815FD"/>
    <w:rsid w:val="00485820"/>
    <w:rsid w:val="00485BF5"/>
    <w:rsid w:val="004878D8"/>
    <w:rsid w:val="00494661"/>
    <w:rsid w:val="004A0727"/>
    <w:rsid w:val="004B20B2"/>
    <w:rsid w:val="004C4B68"/>
    <w:rsid w:val="004C6CF7"/>
    <w:rsid w:val="004D1E60"/>
    <w:rsid w:val="004E22CF"/>
    <w:rsid w:val="004E6901"/>
    <w:rsid w:val="004F2BE4"/>
    <w:rsid w:val="0050214D"/>
    <w:rsid w:val="00534ACD"/>
    <w:rsid w:val="005461B5"/>
    <w:rsid w:val="0055086D"/>
    <w:rsid w:val="005532AF"/>
    <w:rsid w:val="00553891"/>
    <w:rsid w:val="00555C2B"/>
    <w:rsid w:val="00560F1A"/>
    <w:rsid w:val="005748D2"/>
    <w:rsid w:val="005808F0"/>
    <w:rsid w:val="005858B8"/>
    <w:rsid w:val="00587EAD"/>
    <w:rsid w:val="00591667"/>
    <w:rsid w:val="005A2EB6"/>
    <w:rsid w:val="005C2389"/>
    <w:rsid w:val="005D0182"/>
    <w:rsid w:val="005D383C"/>
    <w:rsid w:val="006073E0"/>
    <w:rsid w:val="0060740D"/>
    <w:rsid w:val="00625F26"/>
    <w:rsid w:val="00633F70"/>
    <w:rsid w:val="006402E9"/>
    <w:rsid w:val="00644C99"/>
    <w:rsid w:val="00653276"/>
    <w:rsid w:val="00657C9E"/>
    <w:rsid w:val="00662F9E"/>
    <w:rsid w:val="00671735"/>
    <w:rsid w:val="00677458"/>
    <w:rsid w:val="0067773E"/>
    <w:rsid w:val="00692512"/>
    <w:rsid w:val="006A058D"/>
    <w:rsid w:val="006A7700"/>
    <w:rsid w:val="006B1ACD"/>
    <w:rsid w:val="006B2337"/>
    <w:rsid w:val="006C18FE"/>
    <w:rsid w:val="006C56D0"/>
    <w:rsid w:val="006D1D98"/>
    <w:rsid w:val="006E511E"/>
    <w:rsid w:val="006E67F4"/>
    <w:rsid w:val="006F09FB"/>
    <w:rsid w:val="006F29D2"/>
    <w:rsid w:val="006F6B32"/>
    <w:rsid w:val="007007C7"/>
    <w:rsid w:val="00703D53"/>
    <w:rsid w:val="00707D27"/>
    <w:rsid w:val="007218FC"/>
    <w:rsid w:val="00726393"/>
    <w:rsid w:val="0073264E"/>
    <w:rsid w:val="00732ED5"/>
    <w:rsid w:val="007369C8"/>
    <w:rsid w:val="00741B97"/>
    <w:rsid w:val="00742289"/>
    <w:rsid w:val="0074471A"/>
    <w:rsid w:val="007466C6"/>
    <w:rsid w:val="00766C84"/>
    <w:rsid w:val="00771FA0"/>
    <w:rsid w:val="007745C9"/>
    <w:rsid w:val="00774E79"/>
    <w:rsid w:val="007817FC"/>
    <w:rsid w:val="00782042"/>
    <w:rsid w:val="00783546"/>
    <w:rsid w:val="00787BE3"/>
    <w:rsid w:val="007B6B62"/>
    <w:rsid w:val="007C0974"/>
    <w:rsid w:val="007D07E1"/>
    <w:rsid w:val="007F0C73"/>
    <w:rsid w:val="007F1732"/>
    <w:rsid w:val="00810A9D"/>
    <w:rsid w:val="0081689C"/>
    <w:rsid w:val="00825703"/>
    <w:rsid w:val="008328A5"/>
    <w:rsid w:val="00834321"/>
    <w:rsid w:val="00843B1F"/>
    <w:rsid w:val="00853DC7"/>
    <w:rsid w:val="008602E9"/>
    <w:rsid w:val="008612D7"/>
    <w:rsid w:val="00866276"/>
    <w:rsid w:val="0086695B"/>
    <w:rsid w:val="00873551"/>
    <w:rsid w:val="00873873"/>
    <w:rsid w:val="0088601F"/>
    <w:rsid w:val="008877D2"/>
    <w:rsid w:val="00895D27"/>
    <w:rsid w:val="00895F39"/>
    <w:rsid w:val="00896530"/>
    <w:rsid w:val="008976D7"/>
    <w:rsid w:val="008A06EC"/>
    <w:rsid w:val="008A1163"/>
    <w:rsid w:val="008A1D85"/>
    <w:rsid w:val="008B1E61"/>
    <w:rsid w:val="008C1FC5"/>
    <w:rsid w:val="008C35AC"/>
    <w:rsid w:val="008C415E"/>
    <w:rsid w:val="008E5A01"/>
    <w:rsid w:val="008E5C5C"/>
    <w:rsid w:val="008E7D0A"/>
    <w:rsid w:val="008F2F8B"/>
    <w:rsid w:val="008F3D6E"/>
    <w:rsid w:val="00907ECC"/>
    <w:rsid w:val="00910001"/>
    <w:rsid w:val="00917123"/>
    <w:rsid w:val="009239F1"/>
    <w:rsid w:val="00933156"/>
    <w:rsid w:val="00936048"/>
    <w:rsid w:val="00947FC3"/>
    <w:rsid w:val="009622C9"/>
    <w:rsid w:val="009872B1"/>
    <w:rsid w:val="009A38FE"/>
    <w:rsid w:val="009A49A8"/>
    <w:rsid w:val="009D1A99"/>
    <w:rsid w:val="009F231C"/>
    <w:rsid w:val="009F438B"/>
    <w:rsid w:val="00A00D87"/>
    <w:rsid w:val="00A01D74"/>
    <w:rsid w:val="00A26880"/>
    <w:rsid w:val="00A33E74"/>
    <w:rsid w:val="00A33E9D"/>
    <w:rsid w:val="00A34611"/>
    <w:rsid w:val="00A36311"/>
    <w:rsid w:val="00A82A73"/>
    <w:rsid w:val="00A84D05"/>
    <w:rsid w:val="00A860D2"/>
    <w:rsid w:val="00AA3015"/>
    <w:rsid w:val="00AA3626"/>
    <w:rsid w:val="00AB3D5B"/>
    <w:rsid w:val="00AD39CE"/>
    <w:rsid w:val="00AD73B7"/>
    <w:rsid w:val="00AE2DF8"/>
    <w:rsid w:val="00AE4856"/>
    <w:rsid w:val="00B00EEA"/>
    <w:rsid w:val="00B036D5"/>
    <w:rsid w:val="00B50390"/>
    <w:rsid w:val="00B654DA"/>
    <w:rsid w:val="00B67ACB"/>
    <w:rsid w:val="00B76F04"/>
    <w:rsid w:val="00B927E8"/>
    <w:rsid w:val="00B957E2"/>
    <w:rsid w:val="00BA25F7"/>
    <w:rsid w:val="00BA41EA"/>
    <w:rsid w:val="00BB756B"/>
    <w:rsid w:val="00BC297F"/>
    <w:rsid w:val="00BD1DF2"/>
    <w:rsid w:val="00BF1949"/>
    <w:rsid w:val="00BF3975"/>
    <w:rsid w:val="00C065D3"/>
    <w:rsid w:val="00C162C4"/>
    <w:rsid w:val="00C16982"/>
    <w:rsid w:val="00C2424A"/>
    <w:rsid w:val="00C30425"/>
    <w:rsid w:val="00C525AD"/>
    <w:rsid w:val="00C57C62"/>
    <w:rsid w:val="00C732F3"/>
    <w:rsid w:val="00C81112"/>
    <w:rsid w:val="00C83EF1"/>
    <w:rsid w:val="00C8440E"/>
    <w:rsid w:val="00C9251C"/>
    <w:rsid w:val="00C948B0"/>
    <w:rsid w:val="00C95349"/>
    <w:rsid w:val="00CA60EA"/>
    <w:rsid w:val="00CA74DD"/>
    <w:rsid w:val="00CB375F"/>
    <w:rsid w:val="00CB6BFB"/>
    <w:rsid w:val="00CE199E"/>
    <w:rsid w:val="00CE63E5"/>
    <w:rsid w:val="00CF2200"/>
    <w:rsid w:val="00CF575A"/>
    <w:rsid w:val="00CF7068"/>
    <w:rsid w:val="00D03824"/>
    <w:rsid w:val="00D12D23"/>
    <w:rsid w:val="00D1469C"/>
    <w:rsid w:val="00D1497E"/>
    <w:rsid w:val="00D23A96"/>
    <w:rsid w:val="00D27D31"/>
    <w:rsid w:val="00D36D51"/>
    <w:rsid w:val="00D373B4"/>
    <w:rsid w:val="00D42AFA"/>
    <w:rsid w:val="00D652B9"/>
    <w:rsid w:val="00DA1F26"/>
    <w:rsid w:val="00DA249E"/>
    <w:rsid w:val="00DA6585"/>
    <w:rsid w:val="00DC1B41"/>
    <w:rsid w:val="00DD3A16"/>
    <w:rsid w:val="00DE7E4D"/>
    <w:rsid w:val="00DF0382"/>
    <w:rsid w:val="00DF555C"/>
    <w:rsid w:val="00DF5CBD"/>
    <w:rsid w:val="00E15032"/>
    <w:rsid w:val="00E16246"/>
    <w:rsid w:val="00E271C0"/>
    <w:rsid w:val="00E35E35"/>
    <w:rsid w:val="00E54473"/>
    <w:rsid w:val="00E85C04"/>
    <w:rsid w:val="00E869CC"/>
    <w:rsid w:val="00E96191"/>
    <w:rsid w:val="00EA03AE"/>
    <w:rsid w:val="00EA0C87"/>
    <w:rsid w:val="00ED2056"/>
    <w:rsid w:val="00ED53BD"/>
    <w:rsid w:val="00ED5A97"/>
    <w:rsid w:val="00EE730B"/>
    <w:rsid w:val="00EF7400"/>
    <w:rsid w:val="00F0560B"/>
    <w:rsid w:val="00F12DC5"/>
    <w:rsid w:val="00F158DA"/>
    <w:rsid w:val="00F21AFC"/>
    <w:rsid w:val="00F35225"/>
    <w:rsid w:val="00F439E6"/>
    <w:rsid w:val="00F43ECC"/>
    <w:rsid w:val="00F5722D"/>
    <w:rsid w:val="00F81336"/>
    <w:rsid w:val="00F87E2F"/>
    <w:rsid w:val="00F97227"/>
    <w:rsid w:val="00FB30A1"/>
    <w:rsid w:val="00FC09DC"/>
    <w:rsid w:val="00FC6307"/>
    <w:rsid w:val="00FD31F6"/>
    <w:rsid w:val="00FD38D1"/>
    <w:rsid w:val="00FD5E4D"/>
    <w:rsid w:val="00FE4D51"/>
    <w:rsid w:val="00FE6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E35"/>
    <w:pPr>
      <w:jc w:val="both"/>
    </w:pPr>
    <w:rPr>
      <w:rFonts w:ascii="Calibri" w:hAnsi="Calibri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50221"/>
    <w:pPr>
      <w:pBdr>
        <w:top w:val="single" w:sz="18" w:space="4" w:color="B8CCE4"/>
        <w:bottom w:val="single" w:sz="8" w:space="1" w:color="0F243E"/>
      </w:pBdr>
      <w:shd w:val="clear" w:color="auto" w:fill="1F497D"/>
      <w:spacing w:before="120" w:after="240"/>
      <w:jc w:val="left"/>
      <w:outlineLvl w:val="0"/>
    </w:pPr>
    <w:rPr>
      <w:rFonts w:ascii="Arial" w:eastAsia="Calibri" w:hAnsi="Arial" w:cs="Arial"/>
      <w:b/>
      <w:color w:val="FFFFFF"/>
      <w:sz w:val="28"/>
      <w:szCs w:val="22"/>
      <w:lang w:eastAsia="en-US"/>
    </w:rPr>
  </w:style>
  <w:style w:type="paragraph" w:styleId="Titre2">
    <w:name w:val="heading 2"/>
    <w:basedOn w:val="Normal"/>
    <w:next w:val="Normal"/>
    <w:qFormat/>
    <w:rsid w:val="00A01D74"/>
    <w:pPr>
      <w:keepNext/>
      <w:numPr>
        <w:ilvl w:val="1"/>
        <w:numId w:val="1"/>
      </w:numPr>
      <w:spacing w:before="240" w:after="240"/>
      <w:outlineLvl w:val="1"/>
    </w:pPr>
    <w:rPr>
      <w:rFonts w:ascii="Arial" w:hAnsi="Arial" w:cs="Arial"/>
      <w:b/>
      <w:bCs/>
      <w:iCs/>
      <w:color w:val="0F243E"/>
      <w:sz w:val="26"/>
      <w:szCs w:val="26"/>
      <w:u w:val="single"/>
    </w:rPr>
  </w:style>
  <w:style w:type="paragraph" w:styleId="Titre3">
    <w:name w:val="heading 3"/>
    <w:basedOn w:val="Normal"/>
    <w:next w:val="Normal"/>
    <w:autoRedefine/>
    <w:qFormat/>
    <w:rsid w:val="00A01D74"/>
    <w:pPr>
      <w:keepNext/>
      <w:numPr>
        <w:ilvl w:val="2"/>
        <w:numId w:val="1"/>
      </w:numPr>
      <w:tabs>
        <w:tab w:val="left" w:pos="1134"/>
      </w:tabs>
      <w:spacing w:before="240" w:after="120"/>
      <w:outlineLvl w:val="2"/>
    </w:pPr>
    <w:rPr>
      <w:rFonts w:ascii="Arial" w:hAnsi="Arial" w:cs="Arial"/>
      <w:b/>
      <w:bCs/>
      <w:i/>
      <w:iCs/>
      <w:color w:val="0F243E"/>
      <w:szCs w:val="26"/>
    </w:rPr>
  </w:style>
  <w:style w:type="paragraph" w:styleId="Titre4">
    <w:name w:val="heading 4"/>
    <w:basedOn w:val="Normal"/>
    <w:next w:val="Normal"/>
    <w:qFormat/>
    <w:rsid w:val="00A01D74"/>
    <w:pPr>
      <w:keepNext/>
      <w:numPr>
        <w:ilvl w:val="3"/>
        <w:numId w:val="1"/>
      </w:numPr>
      <w:spacing w:before="120" w:after="120"/>
      <w:outlineLvl w:val="3"/>
    </w:pPr>
    <w:rPr>
      <w:rFonts w:ascii="Arial" w:hAnsi="Arial" w:cs="Arial"/>
      <w:b/>
      <w:bCs/>
      <w:color w:val="0F243E"/>
      <w:sz w:val="20"/>
      <w:szCs w:val="24"/>
    </w:rPr>
  </w:style>
  <w:style w:type="paragraph" w:styleId="Titre5">
    <w:name w:val="heading 5"/>
    <w:basedOn w:val="Normal"/>
    <w:next w:val="Normal"/>
    <w:qFormat/>
    <w:rsid w:val="00A01D74"/>
    <w:pPr>
      <w:numPr>
        <w:ilvl w:val="4"/>
        <w:numId w:val="1"/>
      </w:numPr>
      <w:spacing w:before="120" w:after="60"/>
      <w:outlineLvl w:val="4"/>
    </w:pPr>
    <w:rPr>
      <w:rFonts w:cs="Arial"/>
      <w:bCs/>
      <w:i/>
      <w:iCs/>
      <w:szCs w:val="22"/>
    </w:rPr>
  </w:style>
  <w:style w:type="paragraph" w:styleId="Titre6">
    <w:name w:val="heading 6"/>
    <w:basedOn w:val="Normal"/>
    <w:next w:val="Normal"/>
    <w:qFormat/>
    <w:rsid w:val="0032792C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Normal"/>
    <w:rsid w:val="00097F94"/>
    <w:pPr>
      <w:numPr>
        <w:numId w:val="4"/>
      </w:numPr>
      <w:tabs>
        <w:tab w:val="left" w:pos="567"/>
      </w:tabs>
      <w:spacing w:after="120"/>
      <w:ind w:left="568" w:hanging="284"/>
    </w:pPr>
  </w:style>
  <w:style w:type="character" w:styleId="Lienhypertexte">
    <w:name w:val="Hyperlink"/>
    <w:uiPriority w:val="99"/>
    <w:rsid w:val="008C1FC5"/>
    <w:rPr>
      <w:color w:val="0000FF"/>
      <w:u w:val="single"/>
    </w:rPr>
  </w:style>
  <w:style w:type="character" w:styleId="lev">
    <w:name w:val="Strong"/>
    <w:uiPriority w:val="22"/>
    <w:qFormat/>
    <w:rsid w:val="00AD39CE"/>
    <w:rPr>
      <w:b/>
      <w:bCs/>
    </w:rPr>
  </w:style>
  <w:style w:type="character" w:styleId="Marquedecommentaire">
    <w:name w:val="annotation reference"/>
    <w:semiHidden/>
    <w:rsid w:val="00016B2F"/>
    <w:rPr>
      <w:sz w:val="16"/>
      <w:szCs w:val="16"/>
    </w:rPr>
  </w:style>
  <w:style w:type="paragraph" w:styleId="Commentaire">
    <w:name w:val="annotation text"/>
    <w:basedOn w:val="Normal"/>
    <w:semiHidden/>
    <w:rsid w:val="00016B2F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016B2F"/>
    <w:rPr>
      <w:b/>
      <w:bCs/>
    </w:rPr>
  </w:style>
  <w:style w:type="paragraph" w:styleId="Textedebulles">
    <w:name w:val="Balloon Text"/>
    <w:basedOn w:val="Normal"/>
    <w:semiHidden/>
    <w:rsid w:val="00016B2F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ED5A97"/>
    <w:pPr>
      <w:tabs>
        <w:tab w:val="center" w:pos="5760"/>
        <w:tab w:val="right" w:pos="9072"/>
      </w:tabs>
    </w:pPr>
    <w:rPr>
      <w:rFonts w:ascii="Arial" w:hAnsi="Arial" w:cs="Arial"/>
      <w:b/>
      <w:sz w:val="18"/>
      <w:szCs w:val="18"/>
    </w:rPr>
  </w:style>
  <w:style w:type="paragraph" w:styleId="Pieddepage">
    <w:name w:val="footer"/>
    <w:basedOn w:val="Normal"/>
    <w:rsid w:val="00ED5A97"/>
    <w:pPr>
      <w:pBdr>
        <w:top w:val="single" w:sz="4" w:space="1" w:color="auto"/>
      </w:pBdr>
      <w:tabs>
        <w:tab w:val="center" w:pos="4860"/>
        <w:tab w:val="right" w:pos="9072"/>
      </w:tabs>
    </w:pPr>
    <w:rPr>
      <w:rFonts w:ascii="Arial" w:hAnsi="Arial" w:cs="Arial"/>
      <w:b/>
      <w:sz w:val="18"/>
      <w:szCs w:val="18"/>
    </w:rPr>
  </w:style>
  <w:style w:type="paragraph" w:customStyle="1" w:styleId="Titre215pt">
    <w:name w:val="Titre 2 + 15 pt"/>
    <w:aliases w:val="Non Italique"/>
    <w:basedOn w:val="Titre2"/>
    <w:rsid w:val="002F2BD3"/>
    <w:rPr>
      <w:i/>
      <w:sz w:val="30"/>
      <w:szCs w:val="30"/>
    </w:rPr>
  </w:style>
  <w:style w:type="paragraph" w:styleId="TM1">
    <w:name w:val="toc 1"/>
    <w:basedOn w:val="Normal"/>
    <w:next w:val="Normal"/>
    <w:autoRedefine/>
    <w:uiPriority w:val="39"/>
    <w:rsid w:val="00A33E74"/>
    <w:pPr>
      <w:tabs>
        <w:tab w:val="left" w:pos="284"/>
        <w:tab w:val="right" w:leader="dot" w:pos="9072"/>
      </w:tabs>
      <w:spacing w:before="360"/>
    </w:pPr>
    <w:rPr>
      <w:rFonts w:ascii="Arial" w:hAnsi="Arial" w:cs="Arial"/>
      <w:b/>
      <w:bCs/>
      <w:caps/>
      <w:noProof/>
      <w:sz w:val="24"/>
      <w:szCs w:val="24"/>
    </w:rPr>
  </w:style>
  <w:style w:type="paragraph" w:styleId="TM2">
    <w:name w:val="toc 2"/>
    <w:basedOn w:val="Normal"/>
    <w:next w:val="Normal"/>
    <w:autoRedefine/>
    <w:uiPriority w:val="39"/>
    <w:rsid w:val="00A33E74"/>
    <w:pPr>
      <w:tabs>
        <w:tab w:val="left" w:pos="567"/>
        <w:tab w:val="right" w:pos="9072"/>
      </w:tabs>
      <w:spacing w:before="240"/>
      <w:ind w:left="142"/>
    </w:pPr>
    <w:rPr>
      <w:b/>
      <w:bCs/>
      <w:noProof/>
      <w:sz w:val="20"/>
    </w:rPr>
  </w:style>
  <w:style w:type="paragraph" w:styleId="TM3">
    <w:name w:val="toc 3"/>
    <w:basedOn w:val="Normal"/>
    <w:next w:val="Normal"/>
    <w:autoRedefine/>
    <w:uiPriority w:val="39"/>
    <w:rsid w:val="00A33E74"/>
    <w:pPr>
      <w:tabs>
        <w:tab w:val="left" w:pos="993"/>
        <w:tab w:val="right" w:leader="dot" w:pos="9072"/>
      </w:tabs>
      <w:ind w:left="426"/>
    </w:pPr>
    <w:rPr>
      <w:noProof/>
      <w:sz w:val="20"/>
    </w:rPr>
  </w:style>
  <w:style w:type="paragraph" w:styleId="TM4">
    <w:name w:val="toc 4"/>
    <w:basedOn w:val="Normal"/>
    <w:next w:val="Normal"/>
    <w:autoRedefine/>
    <w:semiHidden/>
    <w:rsid w:val="00F35225"/>
    <w:pPr>
      <w:ind w:left="440"/>
    </w:pPr>
    <w:rPr>
      <w:sz w:val="20"/>
    </w:rPr>
  </w:style>
  <w:style w:type="paragraph" w:styleId="TM5">
    <w:name w:val="toc 5"/>
    <w:basedOn w:val="Normal"/>
    <w:next w:val="Normal"/>
    <w:autoRedefine/>
    <w:semiHidden/>
    <w:rsid w:val="00F35225"/>
    <w:pPr>
      <w:ind w:left="660"/>
    </w:pPr>
    <w:rPr>
      <w:sz w:val="20"/>
    </w:rPr>
  </w:style>
  <w:style w:type="paragraph" w:styleId="TM6">
    <w:name w:val="toc 6"/>
    <w:basedOn w:val="Normal"/>
    <w:next w:val="Normal"/>
    <w:autoRedefine/>
    <w:semiHidden/>
    <w:rsid w:val="00F35225"/>
    <w:pPr>
      <w:ind w:left="880"/>
    </w:pPr>
    <w:rPr>
      <w:sz w:val="20"/>
    </w:rPr>
  </w:style>
  <w:style w:type="paragraph" w:styleId="TM7">
    <w:name w:val="toc 7"/>
    <w:basedOn w:val="Normal"/>
    <w:next w:val="Normal"/>
    <w:autoRedefine/>
    <w:semiHidden/>
    <w:rsid w:val="00F35225"/>
    <w:pPr>
      <w:ind w:left="1100"/>
    </w:pPr>
    <w:rPr>
      <w:sz w:val="20"/>
    </w:rPr>
  </w:style>
  <w:style w:type="paragraph" w:styleId="TM8">
    <w:name w:val="toc 8"/>
    <w:basedOn w:val="Normal"/>
    <w:next w:val="Normal"/>
    <w:autoRedefine/>
    <w:semiHidden/>
    <w:rsid w:val="00F35225"/>
    <w:pPr>
      <w:ind w:left="1320"/>
    </w:pPr>
    <w:rPr>
      <w:sz w:val="20"/>
    </w:rPr>
  </w:style>
  <w:style w:type="paragraph" w:styleId="TM9">
    <w:name w:val="toc 9"/>
    <w:basedOn w:val="Normal"/>
    <w:next w:val="Normal"/>
    <w:autoRedefine/>
    <w:semiHidden/>
    <w:rsid w:val="00F35225"/>
    <w:pPr>
      <w:ind w:left="1540"/>
    </w:pPr>
    <w:rPr>
      <w:sz w:val="20"/>
    </w:rPr>
  </w:style>
  <w:style w:type="numbering" w:styleId="111111">
    <w:name w:val="Outline List 2"/>
    <w:basedOn w:val="Aucuneliste"/>
    <w:rsid w:val="006E511E"/>
    <w:pPr>
      <w:numPr>
        <w:numId w:val="2"/>
      </w:numPr>
    </w:pPr>
  </w:style>
  <w:style w:type="paragraph" w:customStyle="1" w:styleId="StyleVerdana8ptAvant5ptAprs6ptInterligneAumo1">
    <w:name w:val="Style Verdana 8 pt Avant : 5 pt Après : 6 pt Interligne : Au mo...1"/>
    <w:basedOn w:val="Normal"/>
    <w:rsid w:val="006E511E"/>
    <w:pPr>
      <w:numPr>
        <w:numId w:val="3"/>
      </w:numPr>
    </w:pPr>
  </w:style>
  <w:style w:type="character" w:styleId="Lienhypertextesuivivisit">
    <w:name w:val="FollowedHyperlink"/>
    <w:rsid w:val="00AE485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71FA0"/>
    <w:pPr>
      <w:spacing w:before="100" w:beforeAutospacing="1" w:after="100" w:afterAutospacing="1"/>
    </w:pPr>
    <w:rPr>
      <w:sz w:val="24"/>
      <w:szCs w:val="24"/>
    </w:rPr>
  </w:style>
  <w:style w:type="character" w:styleId="Accentuation">
    <w:name w:val="Emphasis"/>
    <w:uiPriority w:val="20"/>
    <w:qFormat/>
    <w:rsid w:val="00771FA0"/>
    <w:rPr>
      <w:i/>
      <w:iCs/>
    </w:rPr>
  </w:style>
  <w:style w:type="paragraph" w:styleId="Titre">
    <w:name w:val="Title"/>
    <w:basedOn w:val="Normal"/>
    <w:next w:val="Normal"/>
    <w:link w:val="TitreCar"/>
    <w:qFormat/>
    <w:rsid w:val="00A01D74"/>
    <w:pPr>
      <w:pBdr>
        <w:top w:val="single" w:sz="4" w:space="6" w:color="DDDDDD"/>
        <w:bottom w:val="single" w:sz="4" w:space="6" w:color="DDDDDD"/>
      </w:pBdr>
      <w:shd w:val="clear" w:color="auto" w:fill="DBE5F1"/>
      <w:spacing w:before="120" w:after="240"/>
      <w:ind w:left="1701" w:right="1701"/>
      <w:jc w:val="center"/>
    </w:pPr>
    <w:rPr>
      <w:rFonts w:ascii="Arial" w:hAnsi="Arial" w:cs="Arial"/>
      <w:b/>
      <w:sz w:val="36"/>
      <w:szCs w:val="36"/>
    </w:rPr>
  </w:style>
  <w:style w:type="character" w:customStyle="1" w:styleId="TitreCar">
    <w:name w:val="Titre Car"/>
    <w:link w:val="Titre"/>
    <w:rsid w:val="00A01D74"/>
    <w:rPr>
      <w:rFonts w:ascii="Arial" w:hAnsi="Arial" w:cs="Arial"/>
      <w:b/>
      <w:sz w:val="36"/>
      <w:szCs w:val="36"/>
      <w:shd w:val="clear" w:color="auto" w:fill="DBE5F1"/>
    </w:rPr>
  </w:style>
  <w:style w:type="paragraph" w:customStyle="1" w:styleId="liste2">
    <w:name w:val="liste2"/>
    <w:basedOn w:val="Normal"/>
    <w:link w:val="liste2Car"/>
    <w:qFormat/>
    <w:rsid w:val="00097F94"/>
    <w:pPr>
      <w:numPr>
        <w:numId w:val="5"/>
      </w:numPr>
      <w:spacing w:after="1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33E74"/>
    <w:pPr>
      <w:keepNext/>
      <w:keepLines/>
      <w:pBdr>
        <w:top w:val="none" w:sz="0" w:space="0" w:color="auto"/>
        <w:bottom w:val="none" w:sz="0" w:space="0" w:color="auto"/>
      </w:pBdr>
      <w:shd w:val="clear" w:color="auto" w:fill="auto"/>
      <w:spacing w:before="480" w:after="0" w:line="276" w:lineRule="auto"/>
      <w:outlineLvl w:val="9"/>
    </w:pPr>
    <w:rPr>
      <w:rFonts w:ascii="Cambria" w:eastAsia="Times New Roman" w:hAnsi="Cambria" w:cs="Times New Roman"/>
      <w:bCs/>
      <w:color w:val="365F91"/>
      <w:szCs w:val="28"/>
    </w:rPr>
  </w:style>
  <w:style w:type="character" w:customStyle="1" w:styleId="liste2Car">
    <w:name w:val="liste2 Car"/>
    <w:link w:val="liste2"/>
    <w:rsid w:val="00097F94"/>
    <w:rPr>
      <w:rFonts w:ascii="Calibri" w:hAnsi="Calibri"/>
      <w:sz w:val="22"/>
    </w:rPr>
  </w:style>
  <w:style w:type="paragraph" w:customStyle="1" w:styleId="Annexe">
    <w:name w:val="Annexe"/>
    <w:basedOn w:val="Normal"/>
    <w:link w:val="AnnexeCar"/>
    <w:qFormat/>
    <w:rsid w:val="006073E0"/>
    <w:pPr>
      <w:pBdr>
        <w:top w:val="single" w:sz="12" w:space="1" w:color="17365D"/>
      </w:pBdr>
      <w:shd w:val="clear" w:color="auto" w:fill="C6D9F1"/>
      <w:spacing w:before="120" w:after="240"/>
      <w:jc w:val="left"/>
    </w:pPr>
    <w:rPr>
      <w:rFonts w:eastAsia="Calibri"/>
      <w:b/>
      <w:color w:val="003366"/>
      <w:sz w:val="28"/>
      <w:szCs w:val="22"/>
      <w:lang w:eastAsia="en-US"/>
    </w:rPr>
  </w:style>
  <w:style w:type="character" w:customStyle="1" w:styleId="AnnexeCar">
    <w:name w:val="Annexe Car"/>
    <w:link w:val="Annexe"/>
    <w:rsid w:val="006073E0"/>
    <w:rPr>
      <w:rFonts w:ascii="Calibri" w:eastAsia="Calibri" w:hAnsi="Calibri"/>
      <w:b/>
      <w:color w:val="003366"/>
      <w:sz w:val="28"/>
      <w:szCs w:val="22"/>
      <w:shd w:val="clear" w:color="auto" w:fill="C6D9F1"/>
      <w:lang w:eastAsia="en-US"/>
    </w:rPr>
  </w:style>
  <w:style w:type="paragraph" w:styleId="Paragraphedeliste">
    <w:name w:val="List Paragraph"/>
    <w:basedOn w:val="Normal"/>
    <w:uiPriority w:val="34"/>
    <w:qFormat/>
    <w:rsid w:val="00C9534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Sansinterligne">
    <w:name w:val="No Spacing"/>
    <w:uiPriority w:val="1"/>
    <w:qFormat/>
    <w:rsid w:val="00C9534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C953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AD73B7"/>
    <w:rPr>
      <w:color w:val="808080"/>
      <w:shd w:val="clear" w:color="auto" w:fill="E6E6E6"/>
    </w:rPr>
  </w:style>
  <w:style w:type="character" w:customStyle="1" w:styleId="Titre1Car">
    <w:name w:val="Titre 1 Car"/>
    <w:basedOn w:val="Policepardfaut"/>
    <w:link w:val="Titre1"/>
    <w:uiPriority w:val="9"/>
    <w:rsid w:val="00782042"/>
    <w:rPr>
      <w:rFonts w:ascii="Arial" w:eastAsia="Calibri" w:hAnsi="Arial" w:cs="Arial"/>
      <w:b/>
      <w:color w:val="FFFFFF"/>
      <w:sz w:val="28"/>
      <w:szCs w:val="22"/>
      <w:shd w:val="clear" w:color="auto" w:fill="1F497D"/>
      <w:lang w:eastAsia="en-US"/>
    </w:rPr>
  </w:style>
  <w:style w:type="character" w:customStyle="1" w:styleId="highlight">
    <w:name w:val="highlight"/>
    <w:basedOn w:val="Policepardfaut"/>
    <w:rsid w:val="00372AAE"/>
  </w:style>
  <w:style w:type="paragraph" w:customStyle="1" w:styleId="DCGcorps">
    <w:name w:val="DCG corps"/>
    <w:basedOn w:val="Normal"/>
    <w:link w:val="DCGcorpsCar"/>
    <w:qFormat/>
    <w:rsid w:val="007466C6"/>
    <w:pPr>
      <w:spacing w:after="60"/>
      <w:ind w:left="567"/>
      <w:jc w:val="left"/>
    </w:pPr>
    <w:rPr>
      <w:rFonts w:asciiTheme="minorHAnsi" w:hAnsiTheme="minorHAnsi"/>
      <w:sz w:val="20"/>
    </w:rPr>
  </w:style>
  <w:style w:type="paragraph" w:customStyle="1" w:styleId="DCGtiret">
    <w:name w:val="DCG tiret"/>
    <w:basedOn w:val="Paragraphedeliste"/>
    <w:link w:val="DCGtiretCar"/>
    <w:qFormat/>
    <w:rsid w:val="007466C6"/>
    <w:pPr>
      <w:numPr>
        <w:numId w:val="34"/>
      </w:numPr>
      <w:spacing w:before="60" w:after="0" w:line="240" w:lineRule="auto"/>
      <w:ind w:left="709" w:hanging="142"/>
    </w:pPr>
    <w:rPr>
      <w:rFonts w:cs="Times New Roman"/>
      <w:sz w:val="20"/>
      <w:szCs w:val="20"/>
    </w:rPr>
  </w:style>
  <w:style w:type="character" w:customStyle="1" w:styleId="DCGcorpsCar">
    <w:name w:val="DCG corps Car"/>
    <w:basedOn w:val="Policepardfaut"/>
    <w:link w:val="DCGcorps"/>
    <w:rsid w:val="007466C6"/>
    <w:rPr>
      <w:rFonts w:asciiTheme="minorHAnsi" w:hAnsiTheme="minorHAnsi"/>
    </w:rPr>
  </w:style>
  <w:style w:type="character" w:customStyle="1" w:styleId="DCGtiretCar">
    <w:name w:val="DCG tiret Car"/>
    <w:basedOn w:val="Policepardfaut"/>
    <w:link w:val="DCGtiret"/>
    <w:rsid w:val="007466C6"/>
    <w:rPr>
      <w:rFonts w:asciiTheme="minorHAnsi" w:eastAsiaTheme="minorHAnsi" w:hAnsiTheme="minorHAnsi"/>
      <w:lang w:eastAsia="en-US"/>
    </w:rPr>
  </w:style>
  <w:style w:type="paragraph" w:customStyle="1" w:styleId="Default">
    <w:name w:val="Default"/>
    <w:rsid w:val="004F2B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semiHidden/>
    <w:unhideWhenUsed/>
    <w:rsid w:val="00271755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271755"/>
    <w:rPr>
      <w:rFonts w:ascii="Calibri" w:hAnsi="Calibri"/>
    </w:rPr>
  </w:style>
  <w:style w:type="character" w:styleId="Appelnotedebasdep">
    <w:name w:val="footnote reference"/>
    <w:basedOn w:val="Policepardfaut"/>
    <w:semiHidden/>
    <w:unhideWhenUsed/>
    <w:rsid w:val="002717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E35"/>
    <w:pPr>
      <w:jc w:val="both"/>
    </w:pPr>
    <w:rPr>
      <w:rFonts w:ascii="Calibri" w:hAnsi="Calibri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50221"/>
    <w:pPr>
      <w:pBdr>
        <w:top w:val="single" w:sz="18" w:space="4" w:color="B8CCE4"/>
        <w:bottom w:val="single" w:sz="8" w:space="1" w:color="0F243E"/>
      </w:pBdr>
      <w:shd w:val="clear" w:color="auto" w:fill="1F497D"/>
      <w:spacing w:before="120" w:after="240"/>
      <w:jc w:val="left"/>
      <w:outlineLvl w:val="0"/>
    </w:pPr>
    <w:rPr>
      <w:rFonts w:ascii="Arial" w:eastAsia="Calibri" w:hAnsi="Arial" w:cs="Arial"/>
      <w:b/>
      <w:color w:val="FFFFFF"/>
      <w:sz w:val="28"/>
      <w:szCs w:val="22"/>
      <w:lang w:eastAsia="en-US"/>
    </w:rPr>
  </w:style>
  <w:style w:type="paragraph" w:styleId="Titre2">
    <w:name w:val="heading 2"/>
    <w:basedOn w:val="Normal"/>
    <w:next w:val="Normal"/>
    <w:qFormat/>
    <w:rsid w:val="00A01D74"/>
    <w:pPr>
      <w:keepNext/>
      <w:numPr>
        <w:ilvl w:val="1"/>
        <w:numId w:val="1"/>
      </w:numPr>
      <w:spacing w:before="240" w:after="240"/>
      <w:outlineLvl w:val="1"/>
    </w:pPr>
    <w:rPr>
      <w:rFonts w:ascii="Arial" w:hAnsi="Arial" w:cs="Arial"/>
      <w:b/>
      <w:bCs/>
      <w:iCs/>
      <w:color w:val="0F243E"/>
      <w:sz w:val="26"/>
      <w:szCs w:val="26"/>
      <w:u w:val="single"/>
    </w:rPr>
  </w:style>
  <w:style w:type="paragraph" w:styleId="Titre3">
    <w:name w:val="heading 3"/>
    <w:basedOn w:val="Normal"/>
    <w:next w:val="Normal"/>
    <w:autoRedefine/>
    <w:qFormat/>
    <w:rsid w:val="00A01D74"/>
    <w:pPr>
      <w:keepNext/>
      <w:numPr>
        <w:ilvl w:val="2"/>
        <w:numId w:val="1"/>
      </w:numPr>
      <w:tabs>
        <w:tab w:val="left" w:pos="1134"/>
      </w:tabs>
      <w:spacing w:before="240" w:after="120"/>
      <w:outlineLvl w:val="2"/>
    </w:pPr>
    <w:rPr>
      <w:rFonts w:ascii="Arial" w:hAnsi="Arial" w:cs="Arial"/>
      <w:b/>
      <w:bCs/>
      <w:i/>
      <w:iCs/>
      <w:color w:val="0F243E"/>
      <w:szCs w:val="26"/>
    </w:rPr>
  </w:style>
  <w:style w:type="paragraph" w:styleId="Titre4">
    <w:name w:val="heading 4"/>
    <w:basedOn w:val="Normal"/>
    <w:next w:val="Normal"/>
    <w:qFormat/>
    <w:rsid w:val="00A01D74"/>
    <w:pPr>
      <w:keepNext/>
      <w:numPr>
        <w:ilvl w:val="3"/>
        <w:numId w:val="1"/>
      </w:numPr>
      <w:spacing w:before="120" w:after="120"/>
      <w:outlineLvl w:val="3"/>
    </w:pPr>
    <w:rPr>
      <w:rFonts w:ascii="Arial" w:hAnsi="Arial" w:cs="Arial"/>
      <w:b/>
      <w:bCs/>
      <w:color w:val="0F243E"/>
      <w:sz w:val="20"/>
      <w:szCs w:val="24"/>
    </w:rPr>
  </w:style>
  <w:style w:type="paragraph" w:styleId="Titre5">
    <w:name w:val="heading 5"/>
    <w:basedOn w:val="Normal"/>
    <w:next w:val="Normal"/>
    <w:qFormat/>
    <w:rsid w:val="00A01D74"/>
    <w:pPr>
      <w:numPr>
        <w:ilvl w:val="4"/>
        <w:numId w:val="1"/>
      </w:numPr>
      <w:spacing w:before="120" w:after="60"/>
      <w:outlineLvl w:val="4"/>
    </w:pPr>
    <w:rPr>
      <w:rFonts w:cs="Arial"/>
      <w:bCs/>
      <w:i/>
      <w:iCs/>
      <w:szCs w:val="22"/>
    </w:rPr>
  </w:style>
  <w:style w:type="paragraph" w:styleId="Titre6">
    <w:name w:val="heading 6"/>
    <w:basedOn w:val="Normal"/>
    <w:next w:val="Normal"/>
    <w:qFormat/>
    <w:rsid w:val="0032792C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Normal"/>
    <w:rsid w:val="00097F94"/>
    <w:pPr>
      <w:numPr>
        <w:numId w:val="4"/>
      </w:numPr>
      <w:tabs>
        <w:tab w:val="left" w:pos="567"/>
      </w:tabs>
      <w:spacing w:after="120"/>
      <w:ind w:left="568" w:hanging="284"/>
    </w:pPr>
  </w:style>
  <w:style w:type="character" w:styleId="Lienhypertexte">
    <w:name w:val="Hyperlink"/>
    <w:uiPriority w:val="99"/>
    <w:rsid w:val="008C1FC5"/>
    <w:rPr>
      <w:color w:val="0000FF"/>
      <w:u w:val="single"/>
    </w:rPr>
  </w:style>
  <w:style w:type="character" w:styleId="lev">
    <w:name w:val="Strong"/>
    <w:uiPriority w:val="22"/>
    <w:qFormat/>
    <w:rsid w:val="00AD39CE"/>
    <w:rPr>
      <w:b/>
      <w:bCs/>
    </w:rPr>
  </w:style>
  <w:style w:type="character" w:styleId="Marquedecommentaire">
    <w:name w:val="annotation reference"/>
    <w:semiHidden/>
    <w:rsid w:val="00016B2F"/>
    <w:rPr>
      <w:sz w:val="16"/>
      <w:szCs w:val="16"/>
    </w:rPr>
  </w:style>
  <w:style w:type="paragraph" w:styleId="Commentaire">
    <w:name w:val="annotation text"/>
    <w:basedOn w:val="Normal"/>
    <w:semiHidden/>
    <w:rsid w:val="00016B2F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016B2F"/>
    <w:rPr>
      <w:b/>
      <w:bCs/>
    </w:rPr>
  </w:style>
  <w:style w:type="paragraph" w:styleId="Textedebulles">
    <w:name w:val="Balloon Text"/>
    <w:basedOn w:val="Normal"/>
    <w:semiHidden/>
    <w:rsid w:val="00016B2F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ED5A97"/>
    <w:pPr>
      <w:tabs>
        <w:tab w:val="center" w:pos="5760"/>
        <w:tab w:val="right" w:pos="9072"/>
      </w:tabs>
    </w:pPr>
    <w:rPr>
      <w:rFonts w:ascii="Arial" w:hAnsi="Arial" w:cs="Arial"/>
      <w:b/>
      <w:sz w:val="18"/>
      <w:szCs w:val="18"/>
    </w:rPr>
  </w:style>
  <w:style w:type="paragraph" w:styleId="Pieddepage">
    <w:name w:val="footer"/>
    <w:basedOn w:val="Normal"/>
    <w:rsid w:val="00ED5A97"/>
    <w:pPr>
      <w:pBdr>
        <w:top w:val="single" w:sz="4" w:space="1" w:color="auto"/>
      </w:pBdr>
      <w:tabs>
        <w:tab w:val="center" w:pos="4860"/>
        <w:tab w:val="right" w:pos="9072"/>
      </w:tabs>
    </w:pPr>
    <w:rPr>
      <w:rFonts w:ascii="Arial" w:hAnsi="Arial" w:cs="Arial"/>
      <w:b/>
      <w:sz w:val="18"/>
      <w:szCs w:val="18"/>
    </w:rPr>
  </w:style>
  <w:style w:type="paragraph" w:customStyle="1" w:styleId="Titre215pt">
    <w:name w:val="Titre 2 + 15 pt"/>
    <w:aliases w:val="Non Italique"/>
    <w:basedOn w:val="Titre2"/>
    <w:rsid w:val="002F2BD3"/>
    <w:rPr>
      <w:i/>
      <w:sz w:val="30"/>
      <w:szCs w:val="30"/>
    </w:rPr>
  </w:style>
  <w:style w:type="paragraph" w:styleId="TM1">
    <w:name w:val="toc 1"/>
    <w:basedOn w:val="Normal"/>
    <w:next w:val="Normal"/>
    <w:autoRedefine/>
    <w:uiPriority w:val="39"/>
    <w:rsid w:val="00A33E74"/>
    <w:pPr>
      <w:tabs>
        <w:tab w:val="left" w:pos="284"/>
        <w:tab w:val="right" w:leader="dot" w:pos="9072"/>
      </w:tabs>
      <w:spacing w:before="360"/>
    </w:pPr>
    <w:rPr>
      <w:rFonts w:ascii="Arial" w:hAnsi="Arial" w:cs="Arial"/>
      <w:b/>
      <w:bCs/>
      <w:caps/>
      <w:noProof/>
      <w:sz w:val="24"/>
      <w:szCs w:val="24"/>
    </w:rPr>
  </w:style>
  <w:style w:type="paragraph" w:styleId="TM2">
    <w:name w:val="toc 2"/>
    <w:basedOn w:val="Normal"/>
    <w:next w:val="Normal"/>
    <w:autoRedefine/>
    <w:uiPriority w:val="39"/>
    <w:rsid w:val="00A33E74"/>
    <w:pPr>
      <w:tabs>
        <w:tab w:val="left" w:pos="567"/>
        <w:tab w:val="right" w:pos="9072"/>
      </w:tabs>
      <w:spacing w:before="240"/>
      <w:ind w:left="142"/>
    </w:pPr>
    <w:rPr>
      <w:b/>
      <w:bCs/>
      <w:noProof/>
      <w:sz w:val="20"/>
    </w:rPr>
  </w:style>
  <w:style w:type="paragraph" w:styleId="TM3">
    <w:name w:val="toc 3"/>
    <w:basedOn w:val="Normal"/>
    <w:next w:val="Normal"/>
    <w:autoRedefine/>
    <w:uiPriority w:val="39"/>
    <w:rsid w:val="00A33E74"/>
    <w:pPr>
      <w:tabs>
        <w:tab w:val="left" w:pos="993"/>
        <w:tab w:val="right" w:leader="dot" w:pos="9072"/>
      </w:tabs>
      <w:ind w:left="426"/>
    </w:pPr>
    <w:rPr>
      <w:noProof/>
      <w:sz w:val="20"/>
    </w:rPr>
  </w:style>
  <w:style w:type="paragraph" w:styleId="TM4">
    <w:name w:val="toc 4"/>
    <w:basedOn w:val="Normal"/>
    <w:next w:val="Normal"/>
    <w:autoRedefine/>
    <w:semiHidden/>
    <w:rsid w:val="00F35225"/>
    <w:pPr>
      <w:ind w:left="440"/>
    </w:pPr>
    <w:rPr>
      <w:sz w:val="20"/>
    </w:rPr>
  </w:style>
  <w:style w:type="paragraph" w:styleId="TM5">
    <w:name w:val="toc 5"/>
    <w:basedOn w:val="Normal"/>
    <w:next w:val="Normal"/>
    <w:autoRedefine/>
    <w:semiHidden/>
    <w:rsid w:val="00F35225"/>
    <w:pPr>
      <w:ind w:left="660"/>
    </w:pPr>
    <w:rPr>
      <w:sz w:val="20"/>
    </w:rPr>
  </w:style>
  <w:style w:type="paragraph" w:styleId="TM6">
    <w:name w:val="toc 6"/>
    <w:basedOn w:val="Normal"/>
    <w:next w:val="Normal"/>
    <w:autoRedefine/>
    <w:semiHidden/>
    <w:rsid w:val="00F35225"/>
    <w:pPr>
      <w:ind w:left="880"/>
    </w:pPr>
    <w:rPr>
      <w:sz w:val="20"/>
    </w:rPr>
  </w:style>
  <w:style w:type="paragraph" w:styleId="TM7">
    <w:name w:val="toc 7"/>
    <w:basedOn w:val="Normal"/>
    <w:next w:val="Normal"/>
    <w:autoRedefine/>
    <w:semiHidden/>
    <w:rsid w:val="00F35225"/>
    <w:pPr>
      <w:ind w:left="1100"/>
    </w:pPr>
    <w:rPr>
      <w:sz w:val="20"/>
    </w:rPr>
  </w:style>
  <w:style w:type="paragraph" w:styleId="TM8">
    <w:name w:val="toc 8"/>
    <w:basedOn w:val="Normal"/>
    <w:next w:val="Normal"/>
    <w:autoRedefine/>
    <w:semiHidden/>
    <w:rsid w:val="00F35225"/>
    <w:pPr>
      <w:ind w:left="1320"/>
    </w:pPr>
    <w:rPr>
      <w:sz w:val="20"/>
    </w:rPr>
  </w:style>
  <w:style w:type="paragraph" w:styleId="TM9">
    <w:name w:val="toc 9"/>
    <w:basedOn w:val="Normal"/>
    <w:next w:val="Normal"/>
    <w:autoRedefine/>
    <w:semiHidden/>
    <w:rsid w:val="00F35225"/>
    <w:pPr>
      <w:ind w:left="1540"/>
    </w:pPr>
    <w:rPr>
      <w:sz w:val="20"/>
    </w:rPr>
  </w:style>
  <w:style w:type="numbering" w:styleId="111111">
    <w:name w:val="Outline List 2"/>
    <w:basedOn w:val="Aucuneliste"/>
    <w:rsid w:val="006E511E"/>
    <w:pPr>
      <w:numPr>
        <w:numId w:val="2"/>
      </w:numPr>
    </w:pPr>
  </w:style>
  <w:style w:type="paragraph" w:customStyle="1" w:styleId="StyleVerdana8ptAvant5ptAprs6ptInterligneAumo1">
    <w:name w:val="Style Verdana 8 pt Avant : 5 pt Après : 6 pt Interligne : Au mo...1"/>
    <w:basedOn w:val="Normal"/>
    <w:rsid w:val="006E511E"/>
    <w:pPr>
      <w:numPr>
        <w:numId w:val="3"/>
      </w:numPr>
    </w:pPr>
  </w:style>
  <w:style w:type="character" w:styleId="Lienhypertextesuivivisit">
    <w:name w:val="FollowedHyperlink"/>
    <w:rsid w:val="00AE485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71FA0"/>
    <w:pPr>
      <w:spacing w:before="100" w:beforeAutospacing="1" w:after="100" w:afterAutospacing="1"/>
    </w:pPr>
    <w:rPr>
      <w:sz w:val="24"/>
      <w:szCs w:val="24"/>
    </w:rPr>
  </w:style>
  <w:style w:type="character" w:styleId="Accentuation">
    <w:name w:val="Emphasis"/>
    <w:uiPriority w:val="20"/>
    <w:qFormat/>
    <w:rsid w:val="00771FA0"/>
    <w:rPr>
      <w:i/>
      <w:iCs/>
    </w:rPr>
  </w:style>
  <w:style w:type="paragraph" w:styleId="Titre">
    <w:name w:val="Title"/>
    <w:basedOn w:val="Normal"/>
    <w:next w:val="Normal"/>
    <w:link w:val="TitreCar"/>
    <w:qFormat/>
    <w:rsid w:val="00A01D74"/>
    <w:pPr>
      <w:pBdr>
        <w:top w:val="single" w:sz="4" w:space="6" w:color="DDDDDD"/>
        <w:bottom w:val="single" w:sz="4" w:space="6" w:color="DDDDDD"/>
      </w:pBdr>
      <w:shd w:val="clear" w:color="auto" w:fill="DBE5F1"/>
      <w:spacing w:before="120" w:after="240"/>
      <w:ind w:left="1701" w:right="1701"/>
      <w:jc w:val="center"/>
    </w:pPr>
    <w:rPr>
      <w:rFonts w:ascii="Arial" w:hAnsi="Arial" w:cs="Arial"/>
      <w:b/>
      <w:sz w:val="36"/>
      <w:szCs w:val="36"/>
    </w:rPr>
  </w:style>
  <w:style w:type="character" w:customStyle="1" w:styleId="TitreCar">
    <w:name w:val="Titre Car"/>
    <w:link w:val="Titre"/>
    <w:rsid w:val="00A01D74"/>
    <w:rPr>
      <w:rFonts w:ascii="Arial" w:hAnsi="Arial" w:cs="Arial"/>
      <w:b/>
      <w:sz w:val="36"/>
      <w:szCs w:val="36"/>
      <w:shd w:val="clear" w:color="auto" w:fill="DBE5F1"/>
    </w:rPr>
  </w:style>
  <w:style w:type="paragraph" w:customStyle="1" w:styleId="liste2">
    <w:name w:val="liste2"/>
    <w:basedOn w:val="Normal"/>
    <w:link w:val="liste2Car"/>
    <w:qFormat/>
    <w:rsid w:val="00097F94"/>
    <w:pPr>
      <w:numPr>
        <w:numId w:val="5"/>
      </w:numPr>
      <w:spacing w:after="1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33E74"/>
    <w:pPr>
      <w:keepNext/>
      <w:keepLines/>
      <w:pBdr>
        <w:top w:val="none" w:sz="0" w:space="0" w:color="auto"/>
        <w:bottom w:val="none" w:sz="0" w:space="0" w:color="auto"/>
      </w:pBdr>
      <w:shd w:val="clear" w:color="auto" w:fill="auto"/>
      <w:spacing w:before="480" w:after="0" w:line="276" w:lineRule="auto"/>
      <w:outlineLvl w:val="9"/>
    </w:pPr>
    <w:rPr>
      <w:rFonts w:ascii="Cambria" w:eastAsia="Times New Roman" w:hAnsi="Cambria" w:cs="Times New Roman"/>
      <w:bCs/>
      <w:color w:val="365F91"/>
      <w:szCs w:val="28"/>
    </w:rPr>
  </w:style>
  <w:style w:type="character" w:customStyle="1" w:styleId="liste2Car">
    <w:name w:val="liste2 Car"/>
    <w:link w:val="liste2"/>
    <w:rsid w:val="00097F94"/>
    <w:rPr>
      <w:rFonts w:ascii="Calibri" w:hAnsi="Calibri"/>
      <w:sz w:val="22"/>
    </w:rPr>
  </w:style>
  <w:style w:type="paragraph" w:customStyle="1" w:styleId="Annexe">
    <w:name w:val="Annexe"/>
    <w:basedOn w:val="Normal"/>
    <w:link w:val="AnnexeCar"/>
    <w:qFormat/>
    <w:rsid w:val="006073E0"/>
    <w:pPr>
      <w:pBdr>
        <w:top w:val="single" w:sz="12" w:space="1" w:color="17365D"/>
      </w:pBdr>
      <w:shd w:val="clear" w:color="auto" w:fill="C6D9F1"/>
      <w:spacing w:before="120" w:after="240"/>
      <w:jc w:val="left"/>
    </w:pPr>
    <w:rPr>
      <w:rFonts w:eastAsia="Calibri"/>
      <w:b/>
      <w:color w:val="003366"/>
      <w:sz w:val="28"/>
      <w:szCs w:val="22"/>
      <w:lang w:eastAsia="en-US"/>
    </w:rPr>
  </w:style>
  <w:style w:type="character" w:customStyle="1" w:styleId="AnnexeCar">
    <w:name w:val="Annexe Car"/>
    <w:link w:val="Annexe"/>
    <w:rsid w:val="006073E0"/>
    <w:rPr>
      <w:rFonts w:ascii="Calibri" w:eastAsia="Calibri" w:hAnsi="Calibri"/>
      <w:b/>
      <w:color w:val="003366"/>
      <w:sz w:val="28"/>
      <w:szCs w:val="22"/>
      <w:shd w:val="clear" w:color="auto" w:fill="C6D9F1"/>
      <w:lang w:eastAsia="en-US"/>
    </w:rPr>
  </w:style>
  <w:style w:type="paragraph" w:styleId="Paragraphedeliste">
    <w:name w:val="List Paragraph"/>
    <w:basedOn w:val="Normal"/>
    <w:uiPriority w:val="34"/>
    <w:qFormat/>
    <w:rsid w:val="00C9534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Sansinterligne">
    <w:name w:val="No Spacing"/>
    <w:uiPriority w:val="1"/>
    <w:qFormat/>
    <w:rsid w:val="00C9534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C953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AD73B7"/>
    <w:rPr>
      <w:color w:val="808080"/>
      <w:shd w:val="clear" w:color="auto" w:fill="E6E6E6"/>
    </w:rPr>
  </w:style>
  <w:style w:type="character" w:customStyle="1" w:styleId="Titre1Car">
    <w:name w:val="Titre 1 Car"/>
    <w:basedOn w:val="Policepardfaut"/>
    <w:link w:val="Titre1"/>
    <w:uiPriority w:val="9"/>
    <w:rsid w:val="00782042"/>
    <w:rPr>
      <w:rFonts w:ascii="Arial" w:eastAsia="Calibri" w:hAnsi="Arial" w:cs="Arial"/>
      <w:b/>
      <w:color w:val="FFFFFF"/>
      <w:sz w:val="28"/>
      <w:szCs w:val="22"/>
      <w:shd w:val="clear" w:color="auto" w:fill="1F497D"/>
      <w:lang w:eastAsia="en-US"/>
    </w:rPr>
  </w:style>
  <w:style w:type="character" w:customStyle="1" w:styleId="highlight">
    <w:name w:val="highlight"/>
    <w:basedOn w:val="Policepardfaut"/>
    <w:rsid w:val="00372AAE"/>
  </w:style>
  <w:style w:type="paragraph" w:customStyle="1" w:styleId="DCGcorps">
    <w:name w:val="DCG corps"/>
    <w:basedOn w:val="Normal"/>
    <w:link w:val="DCGcorpsCar"/>
    <w:qFormat/>
    <w:rsid w:val="007466C6"/>
    <w:pPr>
      <w:spacing w:after="60"/>
      <w:ind w:left="567"/>
      <w:jc w:val="left"/>
    </w:pPr>
    <w:rPr>
      <w:rFonts w:asciiTheme="minorHAnsi" w:hAnsiTheme="minorHAnsi"/>
      <w:sz w:val="20"/>
    </w:rPr>
  </w:style>
  <w:style w:type="paragraph" w:customStyle="1" w:styleId="DCGtiret">
    <w:name w:val="DCG tiret"/>
    <w:basedOn w:val="Paragraphedeliste"/>
    <w:link w:val="DCGtiretCar"/>
    <w:qFormat/>
    <w:rsid w:val="007466C6"/>
    <w:pPr>
      <w:numPr>
        <w:numId w:val="34"/>
      </w:numPr>
      <w:spacing w:before="60" w:after="0" w:line="240" w:lineRule="auto"/>
      <w:ind w:left="709" w:hanging="142"/>
    </w:pPr>
    <w:rPr>
      <w:rFonts w:cs="Times New Roman"/>
      <w:sz w:val="20"/>
      <w:szCs w:val="20"/>
    </w:rPr>
  </w:style>
  <w:style w:type="character" w:customStyle="1" w:styleId="DCGcorpsCar">
    <w:name w:val="DCG corps Car"/>
    <w:basedOn w:val="Policepardfaut"/>
    <w:link w:val="DCGcorps"/>
    <w:rsid w:val="007466C6"/>
    <w:rPr>
      <w:rFonts w:asciiTheme="minorHAnsi" w:hAnsiTheme="minorHAnsi"/>
    </w:rPr>
  </w:style>
  <w:style w:type="character" w:customStyle="1" w:styleId="DCGtiretCar">
    <w:name w:val="DCG tiret Car"/>
    <w:basedOn w:val="Policepardfaut"/>
    <w:link w:val="DCGtiret"/>
    <w:rsid w:val="007466C6"/>
    <w:rPr>
      <w:rFonts w:asciiTheme="minorHAnsi" w:eastAsiaTheme="minorHAnsi" w:hAnsiTheme="minorHAnsi"/>
      <w:lang w:eastAsia="en-US"/>
    </w:rPr>
  </w:style>
  <w:style w:type="paragraph" w:customStyle="1" w:styleId="Default">
    <w:name w:val="Default"/>
    <w:rsid w:val="004F2B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semiHidden/>
    <w:unhideWhenUsed/>
    <w:rsid w:val="00271755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271755"/>
    <w:rPr>
      <w:rFonts w:ascii="Calibri" w:hAnsi="Calibri"/>
    </w:rPr>
  </w:style>
  <w:style w:type="character" w:styleId="Appelnotedebasdep">
    <w:name w:val="footnote reference"/>
    <w:basedOn w:val="Policepardfaut"/>
    <w:semiHidden/>
    <w:unhideWhenUsed/>
    <w:rsid w:val="0027175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4866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5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9651">
          <w:marLeft w:val="0"/>
          <w:marRight w:val="0"/>
          <w:marTop w:val="94"/>
          <w:marBottom w:val="0"/>
          <w:divBdr>
            <w:top w:val="none" w:sz="0" w:space="0" w:color="auto"/>
            <w:left w:val="single" w:sz="24" w:space="0" w:color="FFE600"/>
            <w:bottom w:val="none" w:sz="0" w:space="0" w:color="auto"/>
            <w:right w:val="none" w:sz="0" w:space="0" w:color="auto"/>
          </w:divBdr>
        </w:div>
        <w:div w:id="270431468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312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2179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253">
          <w:marLeft w:val="0"/>
          <w:marRight w:val="0"/>
          <w:marTop w:val="94"/>
          <w:marBottom w:val="0"/>
          <w:divBdr>
            <w:top w:val="none" w:sz="0" w:space="0" w:color="auto"/>
            <w:left w:val="single" w:sz="24" w:space="0" w:color="FFE600"/>
            <w:bottom w:val="none" w:sz="0" w:space="0" w:color="auto"/>
            <w:right w:val="none" w:sz="0" w:space="0" w:color="auto"/>
          </w:divBdr>
        </w:div>
      </w:divsChild>
    </w:div>
    <w:div w:id="1425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.cncc.fr/docs/nep-912-mission-du-commissaire-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.cncc.fr/docs/nep-911-mission-du-commissaire-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Texte.do?cidTexte=JORFTEXT000038505937&amp;categorieLien=i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legifrance.gouv.fr/affichTexte.do?cidTexte=JORFTEXT000038496102&amp;dateTexte=20190616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crcf.ac-grenoble.fr/" TargetMode="External"/><Relationship Id="rId14" Type="http://schemas.openxmlformats.org/officeDocument/2006/relationships/hyperlink" Target="https://www.legifrance.gouv.fr/eli/arrete/2019/6/6/JUSC1916143A/jo/text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tg.ac-grenobl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F5DF6-78EF-4EDF-81F1-41E0799E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964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&lt;Intitulé du document saisi dans Fichier, Propriétés&gt;</vt:lpstr>
    </vt:vector>
  </TitlesOfParts>
  <Company>CRCF EN</Company>
  <LinksUpToDate>false</LinksUpToDate>
  <CharactersWithSpaces>6255</CharactersWithSpaces>
  <SharedDoc>false</SharedDoc>
  <HLinks>
    <vt:vector size="78" baseType="variant">
      <vt:variant>
        <vt:i4>1966133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_Toc337805170</vt:lpwstr>
      </vt:variant>
      <vt:variant>
        <vt:i4>2031669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_Toc337805169</vt:lpwstr>
      </vt:variant>
      <vt:variant>
        <vt:i4>2031669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_Toc337805168</vt:lpwstr>
      </vt:variant>
      <vt:variant>
        <vt:i4>2031669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_Toc337805167</vt:lpwstr>
      </vt:variant>
      <vt:variant>
        <vt:i4>2031669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_Toc337805166</vt:lpwstr>
      </vt:variant>
      <vt:variant>
        <vt:i4>2031669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_Toc337805165</vt:lpwstr>
      </vt:variant>
      <vt:variant>
        <vt:i4>2031669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_Toc337805164</vt:lpwstr>
      </vt:variant>
      <vt:variant>
        <vt:i4>2031669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_Toc337805163</vt:lpwstr>
      </vt:variant>
      <vt:variant>
        <vt:i4>2031669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_Toc337805162</vt:lpwstr>
      </vt:variant>
      <vt:variant>
        <vt:i4>3866668</vt:i4>
      </vt:variant>
      <vt:variant>
        <vt:i4>0</vt:i4>
      </vt:variant>
      <vt:variant>
        <vt:i4>0</vt:i4>
      </vt:variant>
      <vt:variant>
        <vt:i4>5</vt:i4>
      </vt:variant>
      <vt:variant>
        <vt:lpwstr>http://crcf.ac-grenoble.fr/</vt:lpwstr>
      </vt:variant>
      <vt:variant>
        <vt:lpwstr/>
      </vt:variant>
      <vt:variant>
        <vt:i4>2883629</vt:i4>
      </vt:variant>
      <vt:variant>
        <vt:i4>33</vt:i4>
      </vt:variant>
      <vt:variant>
        <vt:i4>0</vt:i4>
      </vt:variant>
      <vt:variant>
        <vt:i4>5</vt:i4>
      </vt:variant>
      <vt:variant>
        <vt:lpwstr>http://crtg.ac-grenoble.fr/</vt:lpwstr>
      </vt:variant>
      <vt:variant>
        <vt:lpwstr/>
      </vt:variant>
      <vt:variant>
        <vt:i4>2883629</vt:i4>
      </vt:variant>
      <vt:variant>
        <vt:i4>21</vt:i4>
      </vt:variant>
      <vt:variant>
        <vt:i4>0</vt:i4>
      </vt:variant>
      <vt:variant>
        <vt:i4>5</vt:i4>
      </vt:variant>
      <vt:variant>
        <vt:lpwstr>http://crtg.ac-grenoble.fr/</vt:lpwstr>
      </vt:variant>
      <vt:variant>
        <vt:lpwstr/>
      </vt:variant>
      <vt:variant>
        <vt:i4>917510</vt:i4>
      </vt:variant>
      <vt:variant>
        <vt:i4>15</vt:i4>
      </vt:variant>
      <vt:variant>
        <vt:i4>0</vt:i4>
      </vt:variant>
      <vt:variant>
        <vt:i4>5</vt:i4>
      </vt:variant>
      <vt:variant>
        <vt:lpwstr>http://creativecommons.org/licenses/by-nc-sa/2.0/fr/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&lt;Intitulé du document saisi dans Fichier, Propriétés&gt;</dc:title>
  <dc:subject>&lt;catégorie, thème&gt; Ex: Crcf Privé, Fonctionnement...</dc:subject>
  <dc:creator>svial</dc:creator>
  <cp:keywords>Charte graphique Document type (séparateur=espace)</cp:keywords>
  <dc:description>Version 1.3, 23/10/2009, format Word 2000-2003</dc:description>
  <cp:lastModifiedBy>Audrey</cp:lastModifiedBy>
  <cp:revision>3</cp:revision>
  <cp:lastPrinted>2019-05-26T12:13:00Z</cp:lastPrinted>
  <dcterms:created xsi:type="dcterms:W3CDTF">2019-08-09T14:02:00Z</dcterms:created>
  <dcterms:modified xsi:type="dcterms:W3CDTF">2019-09-02T15:03:00Z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