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7F" w:rsidRPr="00E85C04" w:rsidRDefault="00662F9E" w:rsidP="00C2424A">
      <w:pPr>
        <w:spacing w:after="60"/>
        <w:jc w:val="left"/>
        <w:rPr>
          <w:rFonts w:ascii="Arial Black" w:hAnsi="Arial Black"/>
          <w:b/>
          <w:sz w:val="28"/>
        </w:rPr>
      </w:pPr>
      <w:r>
        <w:rPr>
          <w:b/>
          <w:bCs/>
          <w:noProof/>
        </w:rPr>
        <w:drawing>
          <wp:anchor distT="0" distB="0" distL="144145" distR="144145" simplePos="0" relativeHeight="251657728"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00BC297F" w:rsidRPr="00E85C04">
        <w:rPr>
          <w:rFonts w:ascii="Arial Black" w:hAnsi="Arial Black"/>
          <w:b/>
          <w:sz w:val="24"/>
        </w:rPr>
        <w:t xml:space="preserve">Centre de </w:t>
      </w:r>
      <w:r w:rsidR="00E85C04" w:rsidRPr="00E85C04">
        <w:rPr>
          <w:rFonts w:ascii="Arial Black" w:hAnsi="Arial Black"/>
          <w:b/>
          <w:sz w:val="24"/>
        </w:rPr>
        <w:t>R</w:t>
      </w:r>
      <w:r w:rsidR="00BC297F" w:rsidRPr="00E85C04">
        <w:rPr>
          <w:rFonts w:ascii="Arial Black" w:hAnsi="Arial Black"/>
          <w:b/>
          <w:sz w:val="24"/>
        </w:rPr>
        <w:t xml:space="preserve">essources </w:t>
      </w:r>
      <w:r w:rsidR="00C2424A">
        <w:rPr>
          <w:rFonts w:ascii="Arial Black" w:hAnsi="Arial Black"/>
          <w:b/>
          <w:sz w:val="24"/>
        </w:rPr>
        <w:br/>
      </w:r>
      <w:r w:rsidR="00E85C04" w:rsidRPr="00E85C04">
        <w:rPr>
          <w:rFonts w:ascii="Arial Black" w:hAnsi="Arial Black"/>
          <w:b/>
          <w:sz w:val="24"/>
        </w:rPr>
        <w:t>C</w:t>
      </w:r>
      <w:r w:rsidR="00BC297F" w:rsidRPr="00E85C04">
        <w:rPr>
          <w:rFonts w:ascii="Arial Black" w:hAnsi="Arial Black"/>
          <w:b/>
          <w:sz w:val="24"/>
        </w:rPr>
        <w:t xml:space="preserve">omptabilité </w:t>
      </w:r>
      <w:r w:rsidR="00E85C04" w:rsidRPr="00E85C04">
        <w:rPr>
          <w:rFonts w:ascii="Arial Black" w:hAnsi="Arial Black"/>
          <w:b/>
          <w:sz w:val="24"/>
        </w:rPr>
        <w:t>F</w:t>
      </w:r>
      <w:r w:rsidR="00BC297F" w:rsidRPr="00E85C04">
        <w:rPr>
          <w:rFonts w:ascii="Arial Black" w:hAnsi="Arial Black"/>
          <w:b/>
          <w:sz w:val="24"/>
        </w:rPr>
        <w:t>inance</w:t>
      </w:r>
    </w:p>
    <w:p w:rsidR="00494661" w:rsidRPr="004563F0" w:rsidRDefault="00494661" w:rsidP="00AA3015">
      <w:pPr>
        <w:rPr>
          <w:sz w:val="20"/>
        </w:rPr>
      </w:pPr>
      <w:r w:rsidRPr="004563F0">
        <w:rPr>
          <w:sz w:val="20"/>
        </w:rPr>
        <w:t>Lycée MARIE CURIE</w:t>
      </w:r>
    </w:p>
    <w:p w:rsidR="004563F0" w:rsidRPr="004563F0" w:rsidRDefault="00494661" w:rsidP="00AA3015">
      <w:pPr>
        <w:rPr>
          <w:sz w:val="20"/>
        </w:rPr>
      </w:pPr>
      <w:r w:rsidRPr="004563F0">
        <w:rPr>
          <w:sz w:val="20"/>
        </w:rPr>
        <w:t xml:space="preserve">Avenue du 8 mai 1945 - BP 348 </w:t>
      </w:r>
    </w:p>
    <w:p w:rsidR="00BC297F" w:rsidRPr="004563F0" w:rsidRDefault="00494661" w:rsidP="00AA3015">
      <w:pPr>
        <w:rPr>
          <w:sz w:val="16"/>
        </w:rPr>
      </w:pPr>
      <w:r w:rsidRPr="004563F0">
        <w:rPr>
          <w:sz w:val="20"/>
        </w:rPr>
        <w:t>38435 ECHIROLLES cedex</w:t>
      </w:r>
    </w:p>
    <w:p w:rsidR="00BC297F" w:rsidRPr="00E85C04" w:rsidRDefault="00774E79" w:rsidP="00E96191">
      <w:pPr>
        <w:pStyle w:val="Liste"/>
        <w:numPr>
          <w:ilvl w:val="0"/>
          <w:numId w:val="0"/>
        </w:numPr>
        <w:ind w:left="284"/>
        <w:rPr>
          <w:lang w:val="nl-NL"/>
        </w:rPr>
      </w:pPr>
      <w:hyperlink r:id="rId9" w:history="1">
        <w:r w:rsidR="00E85C04" w:rsidRPr="00ED0EFA">
          <w:rPr>
            <w:rStyle w:val="Lienhypertexte"/>
            <w:b/>
            <w:sz w:val="18"/>
            <w:lang w:val="nl-NL"/>
          </w:rPr>
          <w:t>http://crcf.ac-grenoble.fr/</w:t>
        </w:r>
      </w:hyperlink>
    </w:p>
    <w:p w:rsidR="007745C9" w:rsidRPr="004563F0" w:rsidRDefault="007745C9" w:rsidP="00A01D74">
      <w:pPr>
        <w:rPr>
          <w:lang w:val="nl-NL"/>
        </w:rPr>
      </w:pPr>
    </w:p>
    <w:p w:rsidR="00C95349" w:rsidRDefault="00C95349" w:rsidP="00C95349">
      <w:bookmarkStart w:id="0" w:name="Intitulé"/>
    </w:p>
    <w:p w:rsidR="00766C84" w:rsidRPr="00C95349" w:rsidRDefault="00C95349" w:rsidP="00766C84">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36"/>
          <w:szCs w:val="36"/>
        </w:rPr>
      </w:pPr>
      <w:r w:rsidRPr="00C95349">
        <w:rPr>
          <w:rFonts w:asciiTheme="minorHAnsi" w:hAnsiTheme="minorHAnsi" w:cstheme="minorHAnsi"/>
          <w:b/>
          <w:sz w:val="36"/>
          <w:szCs w:val="36"/>
        </w:rPr>
        <w:t>Actualité comptable</w:t>
      </w:r>
    </w:p>
    <w:p w:rsidR="00C95349" w:rsidRPr="00766C84" w:rsidRDefault="00766C84" w:rsidP="00766C8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heme="minorHAnsi" w:hAnsiTheme="minorHAnsi" w:cstheme="minorHAnsi"/>
          <w:b/>
          <w:sz w:val="40"/>
          <w:szCs w:val="36"/>
        </w:rPr>
      </w:pPr>
      <w:r w:rsidRPr="00766C84">
        <w:rPr>
          <w:sz w:val="24"/>
        </w:rPr>
        <w:t>Norme IFRS 16 relative aux contrats de location</w:t>
      </w:r>
    </w:p>
    <w:p w:rsidR="00C95349" w:rsidRPr="00C95349" w:rsidRDefault="00C95349" w:rsidP="00C95349">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10"/>
          <w:szCs w:val="10"/>
        </w:rPr>
      </w:pPr>
    </w:p>
    <w:p w:rsidR="00C95349" w:rsidRDefault="00C95349" w:rsidP="00C95349"/>
    <w:p w:rsidR="002936A3" w:rsidRDefault="002C081D" w:rsidP="00766C84">
      <w:pPr>
        <w:spacing w:before="120"/>
        <w:rPr>
          <w:rFonts w:eastAsiaTheme="majorEastAsia"/>
          <w:lang w:eastAsia="en-US"/>
        </w:rPr>
      </w:pPr>
      <w:r w:rsidRPr="00766C84">
        <w:rPr>
          <w:rFonts w:eastAsiaTheme="majorEastAsia"/>
          <w:lang w:eastAsia="en-US"/>
        </w:rPr>
        <w:t xml:space="preserve">La norme IFRS 16 remplace la norme IAS 17. </w:t>
      </w:r>
    </w:p>
    <w:p w:rsidR="002C081D" w:rsidRPr="00766C84" w:rsidRDefault="00741B97" w:rsidP="00766C84">
      <w:pPr>
        <w:spacing w:before="120"/>
        <w:rPr>
          <w:rFonts w:eastAsiaTheme="majorEastAsia"/>
          <w:lang w:eastAsia="en-US"/>
        </w:rPr>
      </w:pPr>
      <w:r w:rsidRPr="00766C84">
        <w:rPr>
          <w:rFonts w:eastAsiaTheme="majorEastAsia"/>
          <w:lang w:eastAsia="en-US"/>
        </w:rPr>
        <w:t xml:space="preserve">Elle </w:t>
      </w:r>
      <w:r w:rsidR="002C081D" w:rsidRPr="00766C84">
        <w:rPr>
          <w:rFonts w:eastAsiaTheme="majorEastAsia"/>
          <w:lang w:eastAsia="en-US"/>
        </w:rPr>
        <w:t xml:space="preserve">modifie la comptabilisation des </w:t>
      </w:r>
      <w:r w:rsidR="002C081D" w:rsidRPr="002936A3">
        <w:rPr>
          <w:rFonts w:eastAsiaTheme="majorEastAsia"/>
          <w:b/>
          <w:lang w:eastAsia="en-US"/>
        </w:rPr>
        <w:t>contrats de location simple</w:t>
      </w:r>
      <w:r w:rsidR="002C081D" w:rsidRPr="00766C84">
        <w:rPr>
          <w:rFonts w:eastAsiaTheme="majorEastAsia"/>
          <w:lang w:eastAsia="en-US"/>
        </w:rPr>
        <w:t>.</w:t>
      </w:r>
    </w:p>
    <w:p w:rsidR="002C081D" w:rsidRPr="00766C84" w:rsidRDefault="002C081D" w:rsidP="00766C84">
      <w:pPr>
        <w:spacing w:before="120"/>
        <w:rPr>
          <w:rFonts w:eastAsiaTheme="majorEastAsia"/>
          <w:lang w:eastAsia="en-US"/>
        </w:rPr>
      </w:pPr>
      <w:r w:rsidRPr="00766C84">
        <w:rPr>
          <w:rFonts w:eastAsiaTheme="majorEastAsia"/>
          <w:lang w:eastAsia="en-US"/>
        </w:rPr>
        <w:t xml:space="preserve">Elle entre en vigueur pour tous les </w:t>
      </w:r>
      <w:r w:rsidRPr="00766C84">
        <w:rPr>
          <w:rFonts w:eastAsiaTheme="majorEastAsia"/>
          <w:b/>
          <w:lang w:eastAsia="en-US"/>
        </w:rPr>
        <w:t>exercices ouverts à compter du 1er janvier 2019</w:t>
      </w:r>
      <w:r w:rsidRPr="00766C84">
        <w:rPr>
          <w:rFonts w:eastAsiaTheme="majorEastAsia"/>
          <w:lang w:eastAsia="en-US"/>
        </w:rPr>
        <w:t>.</w:t>
      </w:r>
    </w:p>
    <w:p w:rsidR="00587EAD" w:rsidRDefault="00587EAD" w:rsidP="00766C84">
      <w:pPr>
        <w:spacing w:before="120"/>
        <w:rPr>
          <w:rStyle w:val="Lienhypertexte"/>
          <w:rFonts w:asciiTheme="minorHAnsi" w:eastAsia="Calibri" w:hAnsiTheme="minorHAnsi" w:cstheme="minorHAnsi"/>
        </w:rPr>
      </w:pPr>
      <w:r w:rsidRPr="00766C84">
        <w:rPr>
          <w:rFonts w:eastAsiaTheme="majorEastAsia"/>
          <w:lang w:eastAsia="en-US"/>
        </w:rPr>
        <w:t xml:space="preserve">Elle a </w:t>
      </w:r>
      <w:r w:rsidR="00741B97" w:rsidRPr="00766C84">
        <w:rPr>
          <w:rFonts w:eastAsiaTheme="majorEastAsia"/>
          <w:lang w:eastAsia="en-US"/>
        </w:rPr>
        <w:t xml:space="preserve">été publiée le 13 janvier 2016 et </w:t>
      </w:r>
      <w:r w:rsidRPr="00766C84">
        <w:rPr>
          <w:rFonts w:eastAsiaTheme="majorEastAsia"/>
          <w:lang w:eastAsia="en-US"/>
        </w:rPr>
        <w:t>a été homologuée par le </w:t>
      </w:r>
      <w:hyperlink r:id="rId10" w:history="1">
        <w:r w:rsidRPr="00766C84">
          <w:rPr>
            <w:rFonts w:eastAsiaTheme="majorEastAsia"/>
            <w:lang w:eastAsia="en-US"/>
          </w:rPr>
          <w:t>Règlement (UE) 2017/1986 du 31 octobre 2017</w:t>
        </w:r>
      </w:hyperlink>
      <w:r w:rsidR="008A1D85">
        <w:rPr>
          <w:rFonts w:eastAsiaTheme="majorEastAsia"/>
          <w:lang w:eastAsia="en-US"/>
        </w:rPr>
        <w:t>. Elle a été</w:t>
      </w:r>
      <w:r w:rsidRPr="00766C84">
        <w:rPr>
          <w:rFonts w:eastAsiaTheme="majorEastAsia"/>
          <w:lang w:eastAsia="en-US"/>
        </w:rPr>
        <w:t xml:space="preserve"> publiée au </w:t>
      </w:r>
      <w:hyperlink r:id="rId11" w:history="1">
        <w:r w:rsidRPr="00766C84">
          <w:rPr>
            <w:rStyle w:val="Lienhypertexte"/>
            <w:rFonts w:asciiTheme="minorHAnsi" w:eastAsia="Calibri" w:hAnsiTheme="minorHAnsi" w:cstheme="minorHAnsi"/>
          </w:rPr>
          <w:t>Journal Officiel de l’Union Européenne du 9 novembre 2017</w:t>
        </w:r>
      </w:hyperlink>
    </w:p>
    <w:p w:rsidR="00BF3975" w:rsidRPr="00ED2056" w:rsidRDefault="00BF3975" w:rsidP="00766C84">
      <w:pPr>
        <w:spacing w:before="120"/>
        <w:rPr>
          <w:rFonts w:eastAsiaTheme="majorEastAsia"/>
          <w:lang w:eastAsia="en-US"/>
        </w:rPr>
      </w:pPr>
    </w:p>
    <w:p w:rsidR="008E5A01" w:rsidRPr="00ED2056" w:rsidRDefault="008E5A01" w:rsidP="00ED2056">
      <w:pPr>
        <w:spacing w:before="120"/>
        <w:rPr>
          <w:rFonts w:eastAsiaTheme="majorEastAsia"/>
          <w:lang w:eastAsia="en-US"/>
        </w:rPr>
      </w:pPr>
    </w:p>
    <w:p w:rsidR="00BF3975" w:rsidRDefault="00BF3975" w:rsidP="00BF3975">
      <w:pPr>
        <w:rPr>
          <w:rFonts w:asciiTheme="minorHAnsi" w:hAnsiTheme="minorHAnsi" w:cstheme="minorHAnsi"/>
          <w:b/>
          <w:color w:val="000000" w:themeColor="text1"/>
          <w:szCs w:val="22"/>
          <w:u w:val="single"/>
        </w:rPr>
      </w:pPr>
      <w:r w:rsidRPr="008E5A01">
        <w:rPr>
          <w:rFonts w:asciiTheme="minorHAnsi" w:hAnsiTheme="minorHAnsi" w:cstheme="minorHAnsi"/>
          <w:b/>
          <w:color w:val="000000" w:themeColor="text1"/>
          <w:szCs w:val="22"/>
          <w:u w:val="single"/>
        </w:rPr>
        <w:t>Sommaire</w:t>
      </w:r>
    </w:p>
    <w:p w:rsidR="00CF575A" w:rsidRDefault="00CF575A" w:rsidP="00CF575A"/>
    <w:p w:rsidR="008E5A01" w:rsidRPr="008E5A01" w:rsidRDefault="008E5A01"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sidRPr="008E5A01">
        <w:rPr>
          <w:rFonts w:eastAsia="Calibri" w:cstheme="minorHAnsi"/>
          <w:color w:val="000000" w:themeColor="text1"/>
        </w:rPr>
        <w:t>Principe général</w:t>
      </w:r>
    </w:p>
    <w:p w:rsidR="008E5A01" w:rsidRPr="008E5A01" w:rsidRDefault="008E5A01"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sidRPr="008E5A01">
        <w:rPr>
          <w:rFonts w:eastAsia="Calibri" w:cstheme="minorHAnsi"/>
          <w:color w:val="000000" w:themeColor="text1"/>
        </w:rPr>
        <w:t>Définition d’un contrat de location</w:t>
      </w:r>
    </w:p>
    <w:p w:rsidR="008E5A01" w:rsidRPr="008E5A01" w:rsidRDefault="00E16246"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Pr>
          <w:rFonts w:eastAsia="Calibri" w:cstheme="minorHAnsi"/>
          <w:color w:val="000000" w:themeColor="text1"/>
        </w:rPr>
        <w:t>É</w:t>
      </w:r>
      <w:r w:rsidR="008E5A01" w:rsidRPr="008E5A01">
        <w:rPr>
          <w:rFonts w:eastAsia="Calibri" w:cstheme="minorHAnsi"/>
          <w:color w:val="000000" w:themeColor="text1"/>
        </w:rPr>
        <w:t>valuation du passif locatif</w:t>
      </w:r>
    </w:p>
    <w:p w:rsidR="008E5A01" w:rsidRPr="008E5A01" w:rsidRDefault="00E16246"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Pr>
          <w:rFonts w:eastAsia="Calibri" w:cstheme="minorHAnsi"/>
          <w:color w:val="000000" w:themeColor="text1"/>
        </w:rPr>
        <w:t>Év</w:t>
      </w:r>
      <w:r w:rsidR="008E5A01" w:rsidRPr="008E5A01">
        <w:rPr>
          <w:rFonts w:eastAsia="Calibri" w:cstheme="minorHAnsi"/>
          <w:color w:val="000000" w:themeColor="text1"/>
        </w:rPr>
        <w:t>aluation du droit d’utilisation</w:t>
      </w:r>
    </w:p>
    <w:p w:rsidR="008E5A01" w:rsidRPr="008E5A01" w:rsidRDefault="008E5A01"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sidRPr="008E5A01">
        <w:rPr>
          <w:rFonts w:eastAsia="Calibri" w:cstheme="minorHAnsi"/>
          <w:color w:val="000000" w:themeColor="text1"/>
        </w:rPr>
        <w:t>Les contrats de location dans le compte de résultat</w:t>
      </w:r>
    </w:p>
    <w:p w:rsidR="008E5A01" w:rsidRDefault="008E5A01"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sidRPr="008E5A01">
        <w:rPr>
          <w:rFonts w:eastAsia="Calibri" w:cstheme="minorHAnsi"/>
          <w:color w:val="000000" w:themeColor="text1"/>
        </w:rPr>
        <w:t>Impact sur les états financiers</w:t>
      </w:r>
    </w:p>
    <w:p w:rsidR="00CB6BFB" w:rsidRPr="008E5A01" w:rsidRDefault="00CB6BFB" w:rsidP="008E5A01">
      <w:pPr>
        <w:pStyle w:val="Paragraphedeliste"/>
        <w:numPr>
          <w:ilvl w:val="0"/>
          <w:numId w:val="16"/>
        </w:numPr>
        <w:spacing w:after="120" w:line="259" w:lineRule="auto"/>
        <w:ind w:left="714" w:hanging="357"/>
        <w:contextualSpacing w:val="0"/>
        <w:jc w:val="both"/>
        <w:rPr>
          <w:rFonts w:eastAsia="Calibri" w:cstheme="minorHAnsi"/>
          <w:color w:val="000000" w:themeColor="text1"/>
        </w:rPr>
      </w:pPr>
      <w:r>
        <w:rPr>
          <w:rFonts w:eastAsia="Calibri" w:cstheme="minorHAnsi"/>
          <w:color w:val="000000" w:themeColor="text1"/>
        </w:rPr>
        <w:t>Exemple</w:t>
      </w:r>
    </w:p>
    <w:p w:rsidR="008E5A01" w:rsidRPr="00ED2056" w:rsidRDefault="008E5A01" w:rsidP="00ED2056">
      <w:pPr>
        <w:spacing w:before="120"/>
        <w:rPr>
          <w:rFonts w:eastAsiaTheme="majorEastAsia"/>
          <w:lang w:eastAsia="en-US"/>
        </w:rPr>
      </w:pPr>
    </w:p>
    <w:bookmarkEnd w:id="0"/>
    <w:p w:rsidR="00587EAD" w:rsidRPr="00B50390" w:rsidRDefault="00587EAD" w:rsidP="009A38FE">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sidRPr="00B50390">
        <w:rPr>
          <w:rFonts w:asciiTheme="minorHAnsi" w:eastAsiaTheme="majorEastAsia" w:hAnsiTheme="minorHAnsi" w:cstheme="majorBidi"/>
          <w:color w:val="000000" w:themeColor="text1"/>
          <w:sz w:val="24"/>
          <w:szCs w:val="32"/>
          <w:u w:val="single"/>
        </w:rPr>
        <w:t>Principe général</w:t>
      </w:r>
    </w:p>
    <w:p w:rsidR="00CF575A" w:rsidRDefault="00CF575A" w:rsidP="00766C84">
      <w:pPr>
        <w:spacing w:before="120"/>
        <w:rPr>
          <w:rFonts w:eastAsiaTheme="majorEastAsia"/>
          <w:lang w:eastAsia="en-US"/>
        </w:rPr>
      </w:pPr>
    </w:p>
    <w:p w:rsidR="00587EAD" w:rsidRPr="003F6E28" w:rsidRDefault="00587EAD" w:rsidP="00766C84">
      <w:pPr>
        <w:spacing w:before="120"/>
        <w:rPr>
          <w:rFonts w:eastAsiaTheme="majorEastAsia"/>
          <w:lang w:eastAsia="en-US"/>
        </w:rPr>
      </w:pPr>
      <w:r>
        <w:rPr>
          <w:rFonts w:eastAsiaTheme="majorEastAsia"/>
          <w:lang w:eastAsia="en-US"/>
        </w:rPr>
        <w:t xml:space="preserve">La norme IFRS 16 ne fait </w:t>
      </w:r>
      <w:r w:rsidRPr="00766C84">
        <w:rPr>
          <w:rFonts w:eastAsiaTheme="majorEastAsia"/>
          <w:b/>
          <w:lang w:eastAsia="en-US"/>
        </w:rPr>
        <w:t>plus de distinction</w:t>
      </w:r>
      <w:r>
        <w:rPr>
          <w:rFonts w:eastAsiaTheme="majorEastAsia"/>
          <w:lang w:eastAsia="en-US"/>
        </w:rPr>
        <w:t xml:space="preserve"> entre la </w:t>
      </w:r>
      <w:r w:rsidRPr="00766C84">
        <w:rPr>
          <w:rFonts w:eastAsiaTheme="majorEastAsia"/>
          <w:b/>
          <w:lang w:eastAsia="en-US"/>
        </w:rPr>
        <w:t>location simple</w:t>
      </w:r>
      <w:r>
        <w:rPr>
          <w:rFonts w:eastAsiaTheme="majorEastAsia"/>
          <w:lang w:eastAsia="en-US"/>
        </w:rPr>
        <w:t xml:space="preserve"> et la </w:t>
      </w:r>
      <w:r w:rsidRPr="00766C84">
        <w:rPr>
          <w:rFonts w:eastAsiaTheme="majorEastAsia"/>
          <w:b/>
          <w:lang w:eastAsia="en-US"/>
        </w:rPr>
        <w:t>location financement</w:t>
      </w:r>
      <w:r w:rsidR="003F6E28">
        <w:rPr>
          <w:rFonts w:eastAsiaTheme="majorEastAsia"/>
          <w:b/>
          <w:lang w:eastAsia="en-US"/>
        </w:rPr>
        <w:t xml:space="preserve"> (</w:t>
      </w:r>
      <w:r w:rsidR="003F6E28" w:rsidRPr="003F6E28">
        <w:rPr>
          <w:rFonts w:eastAsiaTheme="majorEastAsia"/>
          <w:lang w:eastAsia="en-US"/>
        </w:rPr>
        <w:t>elle instaure un modèle unique de comptabilisation pour tous les contrats de loca</w:t>
      </w:r>
      <w:r w:rsidR="003F6E28">
        <w:rPr>
          <w:rFonts w:eastAsiaTheme="majorEastAsia"/>
          <w:lang w:eastAsia="en-US"/>
        </w:rPr>
        <w:t>tion).</w:t>
      </w:r>
    </w:p>
    <w:p w:rsidR="00587EAD" w:rsidRDefault="00587EAD" w:rsidP="00766C84">
      <w:pPr>
        <w:spacing w:before="120"/>
        <w:rPr>
          <w:rFonts w:eastAsiaTheme="majorEastAsia"/>
          <w:lang w:eastAsia="en-US"/>
        </w:rPr>
      </w:pPr>
      <w:r>
        <w:rPr>
          <w:rFonts w:eastAsiaTheme="majorEastAsia"/>
          <w:lang w:eastAsia="en-US"/>
        </w:rPr>
        <w:t xml:space="preserve">Les contrats de location se comptabilisent tous </w:t>
      </w:r>
      <w:r w:rsidR="00741B97">
        <w:rPr>
          <w:rFonts w:eastAsiaTheme="majorEastAsia"/>
          <w:lang w:eastAsia="en-US"/>
        </w:rPr>
        <w:t xml:space="preserve">désormais </w:t>
      </w:r>
      <w:r w:rsidR="002C081D">
        <w:rPr>
          <w:rFonts w:eastAsiaTheme="majorEastAsia"/>
          <w:lang w:eastAsia="en-US"/>
        </w:rPr>
        <w:t xml:space="preserve">chez le preneur </w:t>
      </w:r>
      <w:r>
        <w:rPr>
          <w:rFonts w:eastAsiaTheme="majorEastAsia"/>
          <w:lang w:eastAsia="en-US"/>
        </w:rPr>
        <w:t>en constatant</w:t>
      </w:r>
      <w:r w:rsidR="00E16246">
        <w:rPr>
          <w:rFonts w:eastAsiaTheme="majorEastAsia"/>
          <w:lang w:eastAsia="en-US"/>
        </w:rPr>
        <w:t> :</w:t>
      </w:r>
    </w:p>
    <w:p w:rsidR="002C081D" w:rsidRDefault="00D36D51" w:rsidP="00766C84">
      <w:pPr>
        <w:pStyle w:val="liste2"/>
        <w:spacing w:before="60"/>
        <w:ind w:left="851" w:hanging="284"/>
        <w:contextualSpacing/>
      </w:pPr>
      <w:proofErr w:type="gramStart"/>
      <w:r>
        <w:t>u</w:t>
      </w:r>
      <w:r w:rsidR="002C081D">
        <w:t>n</w:t>
      </w:r>
      <w:proofErr w:type="gramEnd"/>
      <w:r>
        <w:t xml:space="preserve"> </w:t>
      </w:r>
      <w:r w:rsidR="002C081D" w:rsidRPr="006C56D0">
        <w:rPr>
          <w:b/>
        </w:rPr>
        <w:t>actif</w:t>
      </w:r>
      <w:r>
        <w:rPr>
          <w:b/>
        </w:rPr>
        <w:t xml:space="preserve"> </w:t>
      </w:r>
      <w:r w:rsidR="00C83EF1">
        <w:t>(</w:t>
      </w:r>
      <w:r w:rsidR="00475AA9">
        <w:t>au niveau d</w:t>
      </w:r>
      <w:r w:rsidR="00C83EF1">
        <w:t xml:space="preserve">es immobilisations) </w:t>
      </w:r>
      <w:r w:rsidR="002C081D">
        <w:t xml:space="preserve">au titre du droit d'utilisation </w:t>
      </w:r>
    </w:p>
    <w:p w:rsidR="00587EAD" w:rsidRPr="00766C84" w:rsidRDefault="002C081D" w:rsidP="00766C84">
      <w:pPr>
        <w:pStyle w:val="liste2"/>
        <w:spacing w:before="60"/>
        <w:ind w:left="851" w:hanging="284"/>
        <w:contextualSpacing/>
      </w:pPr>
      <w:proofErr w:type="gramStart"/>
      <w:r>
        <w:t>un</w:t>
      </w:r>
      <w:proofErr w:type="gramEnd"/>
      <w:r>
        <w:t xml:space="preserve"> </w:t>
      </w:r>
      <w:r w:rsidRPr="006C56D0">
        <w:rPr>
          <w:b/>
        </w:rPr>
        <w:t>passif</w:t>
      </w:r>
      <w:r w:rsidR="00D36D51">
        <w:rPr>
          <w:b/>
        </w:rPr>
        <w:t xml:space="preserve"> </w:t>
      </w:r>
      <w:r w:rsidR="00C83EF1">
        <w:t>(</w:t>
      </w:r>
      <w:r w:rsidR="00475AA9">
        <w:t>au niveau</w:t>
      </w:r>
      <w:r w:rsidR="005C2389">
        <w:t xml:space="preserve"> des</w:t>
      </w:r>
      <w:r w:rsidR="00475AA9">
        <w:t xml:space="preserve"> d</w:t>
      </w:r>
      <w:r w:rsidR="00C83EF1">
        <w:t xml:space="preserve">ettes) </w:t>
      </w:r>
      <w:r>
        <w:t xml:space="preserve">au titre de l’obligation de paiement de loyers </w:t>
      </w:r>
    </w:p>
    <w:p w:rsidR="002C081D" w:rsidRDefault="002C081D" w:rsidP="00766C84">
      <w:pPr>
        <w:spacing w:before="120"/>
        <w:rPr>
          <w:rFonts w:eastAsiaTheme="majorEastAsia"/>
          <w:lang w:eastAsia="en-US"/>
        </w:rPr>
      </w:pPr>
      <w:r>
        <w:rPr>
          <w:rFonts w:eastAsiaTheme="majorEastAsia"/>
          <w:lang w:eastAsia="en-US"/>
        </w:rPr>
        <w:t xml:space="preserve">Il s’agit d’un </w:t>
      </w:r>
      <w:r w:rsidRPr="00766C84">
        <w:rPr>
          <w:rFonts w:eastAsiaTheme="majorEastAsia"/>
          <w:b/>
          <w:lang w:eastAsia="en-US"/>
        </w:rPr>
        <w:t>alignement</w:t>
      </w:r>
      <w:r>
        <w:rPr>
          <w:rFonts w:eastAsiaTheme="majorEastAsia"/>
          <w:lang w:eastAsia="en-US"/>
        </w:rPr>
        <w:t xml:space="preserve"> de la comptabilisation des contrats de location simple </w:t>
      </w:r>
      <w:r w:rsidR="005C2389">
        <w:rPr>
          <w:rFonts w:eastAsiaTheme="majorEastAsia"/>
          <w:lang w:eastAsia="en-US"/>
        </w:rPr>
        <w:t xml:space="preserve">sur </w:t>
      </w:r>
      <w:r>
        <w:rPr>
          <w:rFonts w:eastAsiaTheme="majorEastAsia"/>
          <w:lang w:eastAsia="en-US"/>
        </w:rPr>
        <w:t>celle des contrats de location financement.</w:t>
      </w:r>
    </w:p>
    <w:p w:rsidR="002C081D" w:rsidRDefault="0029486C" w:rsidP="00766C84">
      <w:pPr>
        <w:spacing w:before="120"/>
        <w:rPr>
          <w:rFonts w:eastAsiaTheme="majorEastAsia"/>
          <w:lang w:eastAsia="en-US"/>
        </w:rPr>
      </w:pPr>
      <w:r w:rsidRPr="00766C84">
        <w:rPr>
          <w:rFonts w:eastAsiaTheme="majorEastAsia"/>
          <w:lang w:eastAsia="en-US"/>
        </w:rPr>
        <w:t xml:space="preserve">Par </w:t>
      </w:r>
      <w:r w:rsidRPr="00766C84">
        <w:rPr>
          <w:rFonts w:eastAsiaTheme="majorEastAsia"/>
          <w:b/>
          <w:lang w:eastAsia="en-US"/>
        </w:rPr>
        <w:t>e</w:t>
      </w:r>
      <w:r w:rsidR="002C081D" w:rsidRPr="00766C84">
        <w:rPr>
          <w:rFonts w:eastAsiaTheme="majorEastAsia"/>
          <w:b/>
          <w:lang w:eastAsia="en-US"/>
        </w:rPr>
        <w:t>xception</w:t>
      </w:r>
      <w:r w:rsidRPr="00766C84">
        <w:rPr>
          <w:rFonts w:eastAsiaTheme="majorEastAsia"/>
          <w:lang w:eastAsia="en-US"/>
        </w:rPr>
        <w:t xml:space="preserve">, </w:t>
      </w:r>
      <w:r w:rsidR="002C081D" w:rsidRPr="00766C84">
        <w:rPr>
          <w:rFonts w:eastAsiaTheme="majorEastAsia"/>
          <w:lang w:eastAsia="en-US"/>
        </w:rPr>
        <w:t>il est possible de ne pas appliquer ce traitement comptable :</w:t>
      </w:r>
    </w:p>
    <w:p w:rsidR="002C081D" w:rsidRDefault="002C081D" w:rsidP="00766C84">
      <w:pPr>
        <w:pStyle w:val="liste2"/>
        <w:spacing w:before="60"/>
        <w:ind w:left="851" w:hanging="284"/>
        <w:contextualSpacing/>
      </w:pPr>
      <w:proofErr w:type="gramStart"/>
      <w:r>
        <w:t>aux</w:t>
      </w:r>
      <w:proofErr w:type="gramEnd"/>
      <w:r>
        <w:t xml:space="preserve"> contrats relatifs à des actifs de </w:t>
      </w:r>
      <w:r w:rsidRPr="00766C84">
        <w:rPr>
          <w:b/>
        </w:rPr>
        <w:t>faible valeur</w:t>
      </w:r>
    </w:p>
    <w:p w:rsidR="002C081D" w:rsidRDefault="002C081D" w:rsidP="00766C84">
      <w:pPr>
        <w:pStyle w:val="liste2"/>
        <w:spacing w:before="60"/>
        <w:ind w:left="851" w:hanging="284"/>
        <w:contextualSpacing/>
      </w:pPr>
      <w:proofErr w:type="gramStart"/>
      <w:r>
        <w:t>aux</w:t>
      </w:r>
      <w:proofErr w:type="gramEnd"/>
      <w:r>
        <w:t xml:space="preserve"> contrats de location de </w:t>
      </w:r>
      <w:r w:rsidRPr="00766C84">
        <w:rPr>
          <w:b/>
        </w:rPr>
        <w:t>moins d’un an</w:t>
      </w:r>
    </w:p>
    <w:p w:rsidR="00C83EF1" w:rsidRPr="00D373B4" w:rsidRDefault="00CB375F" w:rsidP="00D373B4">
      <w:pPr>
        <w:spacing w:before="120"/>
        <w:rPr>
          <w:rFonts w:eastAsiaTheme="majorEastAsia"/>
          <w:sz w:val="18"/>
          <w:lang w:eastAsia="en-US"/>
        </w:rPr>
      </w:pPr>
      <w:r>
        <w:rPr>
          <w:rFonts w:eastAsiaTheme="majorEastAsia"/>
          <w:lang w:eastAsia="en-US"/>
        </w:rPr>
        <w:lastRenderedPageBreak/>
        <w:t>Certains</w:t>
      </w:r>
      <w:r w:rsidR="00D373B4">
        <w:rPr>
          <w:rFonts w:eastAsiaTheme="majorEastAsia"/>
          <w:lang w:eastAsia="en-US"/>
        </w:rPr>
        <w:t xml:space="preserve"> contrats n’entrent pas dans le champ d’application de la norme IFRS 16 </w:t>
      </w:r>
      <w:r w:rsidR="00D373B4" w:rsidRPr="00D373B4">
        <w:rPr>
          <w:rFonts w:eastAsiaTheme="majorEastAsia"/>
          <w:sz w:val="18"/>
          <w:lang w:eastAsia="en-US"/>
        </w:rPr>
        <w:t>(certains contrats sur la prospection ou l'exploitation de minéraux, de pétrole, de gaz naturel, contrat sur la location d'actifs biologiques, licences de propriété intellectuelle, licences portant sur des films cinématographiques, des enregistrements vidéo, des pièces de théâtre, des manuscrits, des brevets, etc.)</w:t>
      </w:r>
    </w:p>
    <w:p w:rsidR="00D373B4" w:rsidRDefault="00D373B4" w:rsidP="00D373B4">
      <w:pPr>
        <w:spacing w:before="120"/>
        <w:rPr>
          <w:rFonts w:eastAsiaTheme="majorEastAsia"/>
          <w:lang w:eastAsia="en-US"/>
        </w:rPr>
      </w:pPr>
      <w:r>
        <w:rPr>
          <w:rFonts w:eastAsiaTheme="majorEastAsia"/>
          <w:lang w:eastAsia="en-US"/>
        </w:rPr>
        <w:t xml:space="preserve">La comptabilisation chez le </w:t>
      </w:r>
      <w:r w:rsidRPr="00D373B4">
        <w:rPr>
          <w:rFonts w:eastAsiaTheme="majorEastAsia"/>
          <w:b/>
          <w:lang w:eastAsia="en-US"/>
        </w:rPr>
        <w:t>bailleur</w:t>
      </w:r>
      <w:r>
        <w:rPr>
          <w:rFonts w:eastAsiaTheme="majorEastAsia"/>
          <w:lang w:eastAsia="en-US"/>
        </w:rPr>
        <w:t xml:space="preserve"> reste </w:t>
      </w:r>
      <w:r w:rsidRPr="00D373B4">
        <w:rPr>
          <w:rFonts w:eastAsiaTheme="majorEastAsia"/>
          <w:b/>
          <w:lang w:eastAsia="en-US"/>
        </w:rPr>
        <w:t>inchangée</w:t>
      </w:r>
      <w:r w:rsidR="00CB375F">
        <w:rPr>
          <w:rFonts w:eastAsiaTheme="majorEastAsia"/>
          <w:lang w:eastAsia="en-US"/>
        </w:rPr>
        <w:t>.</w:t>
      </w:r>
    </w:p>
    <w:p w:rsidR="00CB375F" w:rsidRPr="00C16982" w:rsidRDefault="00CB375F" w:rsidP="00C16982">
      <w:pPr>
        <w:spacing w:before="120"/>
        <w:rPr>
          <w:rFonts w:eastAsiaTheme="majorEastAsia"/>
          <w:lang w:eastAsia="en-US"/>
        </w:rPr>
      </w:pPr>
      <w:r w:rsidRPr="00CB375F">
        <w:rPr>
          <w:rFonts w:eastAsiaTheme="majorEastAsia"/>
          <w:lang w:eastAsia="en-US"/>
        </w:rPr>
        <w:t xml:space="preserve">Par mesure de </w:t>
      </w:r>
      <w:r w:rsidRPr="005C2389">
        <w:rPr>
          <w:rFonts w:eastAsiaTheme="majorEastAsia"/>
          <w:b/>
          <w:lang w:eastAsia="en-US"/>
        </w:rPr>
        <w:t>simplification</w:t>
      </w:r>
      <w:r w:rsidRPr="00CB375F">
        <w:rPr>
          <w:rFonts w:eastAsiaTheme="majorEastAsia"/>
          <w:lang w:eastAsia="en-US"/>
        </w:rPr>
        <w:t xml:space="preserve">, </w:t>
      </w:r>
      <w:r w:rsidRPr="00C16982">
        <w:rPr>
          <w:rFonts w:eastAsiaTheme="majorEastAsia"/>
          <w:lang w:eastAsia="en-US"/>
        </w:rPr>
        <w:t xml:space="preserve">il est possible de ne pas </w:t>
      </w:r>
      <w:r w:rsidR="00C16982">
        <w:rPr>
          <w:rFonts w:eastAsiaTheme="majorEastAsia"/>
          <w:lang w:eastAsia="en-US"/>
        </w:rPr>
        <w:t>mettre en œuvre</w:t>
      </w:r>
      <w:r w:rsidRPr="00C16982">
        <w:rPr>
          <w:rFonts w:eastAsiaTheme="majorEastAsia"/>
          <w:lang w:eastAsia="en-US"/>
        </w:rPr>
        <w:t xml:space="preserve"> de manière rétroactive la norme IFRS 16 à condition d’appliquer cette mesure de simplification à tous les contrats et </w:t>
      </w:r>
      <w:r w:rsidR="00E54473">
        <w:rPr>
          <w:rFonts w:eastAsiaTheme="majorEastAsia"/>
          <w:lang w:eastAsia="en-US"/>
        </w:rPr>
        <w:t>de</w:t>
      </w:r>
      <w:r w:rsidRPr="00C16982">
        <w:rPr>
          <w:rFonts w:eastAsiaTheme="majorEastAsia"/>
          <w:lang w:eastAsia="en-US"/>
        </w:rPr>
        <w:t xml:space="preserve"> l’indiquer</w:t>
      </w:r>
      <w:r w:rsidR="006C56D0">
        <w:rPr>
          <w:rFonts w:eastAsiaTheme="majorEastAsia"/>
          <w:lang w:eastAsia="en-US"/>
        </w:rPr>
        <w:t xml:space="preserve"> en annexe.</w:t>
      </w:r>
    </w:p>
    <w:p w:rsidR="00CB375F" w:rsidRPr="00ED2056" w:rsidRDefault="00CB375F" w:rsidP="00ED2056">
      <w:pPr>
        <w:spacing w:before="120"/>
        <w:rPr>
          <w:rFonts w:eastAsiaTheme="majorEastAsia"/>
          <w:lang w:eastAsia="en-US"/>
        </w:rPr>
      </w:pPr>
    </w:p>
    <w:p w:rsidR="00587EAD" w:rsidRPr="00B50390" w:rsidRDefault="00587EAD" w:rsidP="009A38FE">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sidRPr="00B50390">
        <w:rPr>
          <w:rFonts w:asciiTheme="minorHAnsi" w:eastAsiaTheme="majorEastAsia" w:hAnsiTheme="minorHAnsi" w:cstheme="majorBidi"/>
          <w:color w:val="000000" w:themeColor="text1"/>
          <w:sz w:val="24"/>
          <w:szCs w:val="32"/>
          <w:u w:val="single"/>
        </w:rPr>
        <w:t>Définition d’un contrat de location</w:t>
      </w:r>
    </w:p>
    <w:p w:rsidR="00CF575A" w:rsidRDefault="00CF575A" w:rsidP="00766C84">
      <w:pPr>
        <w:spacing w:before="120"/>
        <w:rPr>
          <w:rFonts w:eastAsiaTheme="majorEastAsia"/>
          <w:lang w:eastAsia="en-US"/>
        </w:rPr>
      </w:pPr>
    </w:p>
    <w:p w:rsidR="004B20B2" w:rsidRPr="00766C84" w:rsidRDefault="004B20B2" w:rsidP="00766C84">
      <w:pPr>
        <w:spacing w:before="120"/>
        <w:rPr>
          <w:rFonts w:eastAsiaTheme="majorEastAsia"/>
          <w:lang w:eastAsia="en-US"/>
        </w:rPr>
      </w:pPr>
      <w:r w:rsidRPr="00766C84">
        <w:rPr>
          <w:rFonts w:eastAsiaTheme="majorEastAsia"/>
          <w:lang w:eastAsia="en-US"/>
        </w:rPr>
        <w:t>Selon IFRS 16 : « Un contrat est ou contient un contrat de location s'il confère le droit de contrôler l'utilisation d'un actif identifié pour une période déterminée moyennant le paiement d'une contrepartie. »</w:t>
      </w:r>
    </w:p>
    <w:p w:rsidR="00B50390" w:rsidRPr="00766C84" w:rsidRDefault="004B20B2" w:rsidP="00766C84">
      <w:pPr>
        <w:spacing w:before="120"/>
        <w:rPr>
          <w:rFonts w:eastAsiaTheme="majorEastAsia"/>
          <w:lang w:eastAsia="en-US"/>
        </w:rPr>
      </w:pPr>
      <w:r w:rsidRPr="00766C84">
        <w:rPr>
          <w:rFonts w:eastAsiaTheme="majorEastAsia"/>
          <w:lang w:eastAsia="en-US"/>
        </w:rPr>
        <w:t xml:space="preserve">Cette définition </w:t>
      </w:r>
      <w:r w:rsidR="00B50390" w:rsidRPr="00766C84">
        <w:rPr>
          <w:rFonts w:eastAsiaTheme="majorEastAsia"/>
          <w:lang w:eastAsia="en-US"/>
        </w:rPr>
        <w:t xml:space="preserve">s’appuie sur </w:t>
      </w:r>
      <w:r w:rsidR="00B50390" w:rsidRPr="00766C84">
        <w:rPr>
          <w:rFonts w:eastAsiaTheme="majorEastAsia"/>
          <w:b/>
          <w:lang w:eastAsia="en-US"/>
        </w:rPr>
        <w:t>2 caractéristiques</w:t>
      </w:r>
      <w:r w:rsidR="00B50390" w:rsidRPr="00766C84">
        <w:rPr>
          <w:rFonts w:eastAsiaTheme="majorEastAsia"/>
          <w:lang w:eastAsia="en-US"/>
        </w:rPr>
        <w:t xml:space="preserve"> : </w:t>
      </w:r>
    </w:p>
    <w:p w:rsidR="00B50390" w:rsidRPr="00766C84" w:rsidRDefault="00B50390" w:rsidP="00766C84">
      <w:pPr>
        <w:pStyle w:val="liste2"/>
        <w:spacing w:before="60"/>
        <w:contextualSpacing/>
      </w:pPr>
      <w:proofErr w:type="gramStart"/>
      <w:r w:rsidRPr="00766C84">
        <w:t>l’existence</w:t>
      </w:r>
      <w:proofErr w:type="gramEnd"/>
      <w:r w:rsidRPr="00766C84">
        <w:t xml:space="preserve"> d’un </w:t>
      </w:r>
      <w:r w:rsidRPr="00766C84">
        <w:rPr>
          <w:b/>
        </w:rPr>
        <w:t>actif identifié</w:t>
      </w:r>
      <w:r w:rsidR="004B20B2" w:rsidRPr="00766C84">
        <w:t xml:space="preserve"> (souvent mentionnée dans le contrat) sur lequel le bailleur n’a pas </w:t>
      </w:r>
      <w:r w:rsidR="00E54473">
        <w:t xml:space="preserve">de </w:t>
      </w:r>
      <w:r w:rsidR="004B20B2" w:rsidRPr="00372AAE">
        <w:rPr>
          <w:b/>
        </w:rPr>
        <w:t>droit de substitution</w:t>
      </w:r>
      <w:r w:rsidR="00372AAE" w:rsidRPr="00372AAE">
        <w:rPr>
          <w:b/>
        </w:rPr>
        <w:t xml:space="preserve"> substantiel</w:t>
      </w:r>
    </w:p>
    <w:p w:rsidR="00EF7400" w:rsidRPr="00766C84" w:rsidRDefault="00B50390" w:rsidP="00766C84">
      <w:pPr>
        <w:pStyle w:val="liste2"/>
        <w:rPr>
          <w:szCs w:val="15"/>
        </w:rPr>
      </w:pPr>
      <w:proofErr w:type="gramStart"/>
      <w:r w:rsidRPr="00766C84">
        <w:t>le</w:t>
      </w:r>
      <w:proofErr w:type="gramEnd"/>
      <w:r w:rsidRPr="00766C84">
        <w:t xml:space="preserve"> </w:t>
      </w:r>
      <w:r w:rsidRPr="00766C84">
        <w:rPr>
          <w:b/>
        </w:rPr>
        <w:t>contrôle</w:t>
      </w:r>
      <w:r w:rsidRPr="00766C84">
        <w:t xml:space="preserve"> de l’utilisation de l’actif</w:t>
      </w:r>
      <w:r w:rsidR="004B20B2" w:rsidRPr="00766C84">
        <w:t>, c'est-à-dire le droit</w:t>
      </w:r>
      <w:r w:rsidR="008A1D85">
        <w:t xml:space="preserve"> </w:t>
      </w:r>
      <w:r w:rsidR="004B20B2" w:rsidRPr="00766C84">
        <w:rPr>
          <w:szCs w:val="15"/>
        </w:rPr>
        <w:t>de décider de son utilisation</w:t>
      </w:r>
      <w:r w:rsidR="004B20B2" w:rsidRPr="00766C84">
        <w:t xml:space="preserve"> et le droit </w:t>
      </w:r>
      <w:r w:rsidR="00EF7400" w:rsidRPr="00766C84">
        <w:t>d'obtenir l</w:t>
      </w:r>
      <w:r w:rsidR="004E6901" w:rsidRPr="004E6901">
        <w:t>a quasi-totalité des</w:t>
      </w:r>
      <w:r w:rsidR="00EF7400" w:rsidRPr="00766C84">
        <w:t xml:space="preserve"> avantages économiques </w:t>
      </w:r>
      <w:r w:rsidR="004B20B2" w:rsidRPr="00766C84">
        <w:t>générés par cette utilisation</w:t>
      </w:r>
      <w:r w:rsidR="00E54473">
        <w:t>.</w:t>
      </w:r>
    </w:p>
    <w:p w:rsidR="00726393" w:rsidRDefault="00475AA9" w:rsidP="00843B1F">
      <w:pPr>
        <w:spacing w:before="120"/>
        <w:rPr>
          <w:rFonts w:eastAsiaTheme="majorEastAsia"/>
          <w:lang w:eastAsia="en-US"/>
        </w:rPr>
      </w:pPr>
      <w:r>
        <w:rPr>
          <w:rFonts w:eastAsiaTheme="majorEastAsia"/>
          <w:lang w:eastAsia="en-US"/>
        </w:rPr>
        <w:t>A noter qu’un b</w:t>
      </w:r>
      <w:r w:rsidR="00372AAE">
        <w:rPr>
          <w:rFonts w:eastAsiaTheme="majorEastAsia"/>
          <w:lang w:eastAsia="en-US"/>
        </w:rPr>
        <w:t>ailleur a un droit de substitution substantiel</w:t>
      </w:r>
      <w:r w:rsidR="00726393">
        <w:rPr>
          <w:rFonts w:eastAsiaTheme="majorEastAsia"/>
          <w:lang w:eastAsia="en-US"/>
        </w:rPr>
        <w:t> :</w:t>
      </w:r>
    </w:p>
    <w:p w:rsidR="00726393" w:rsidRPr="00726393" w:rsidRDefault="00372AAE" w:rsidP="00726393">
      <w:pPr>
        <w:pStyle w:val="liste2"/>
        <w:spacing w:before="60"/>
        <w:contextualSpacing/>
      </w:pPr>
      <w:proofErr w:type="gramStart"/>
      <w:r w:rsidRPr="00726393">
        <w:t>s</w:t>
      </w:r>
      <w:r w:rsidR="00726393" w:rsidRPr="00726393">
        <w:t>’i</w:t>
      </w:r>
      <w:r w:rsidRPr="00726393">
        <w:t>l</w:t>
      </w:r>
      <w:proofErr w:type="gramEnd"/>
      <w:r w:rsidRPr="00726393">
        <w:t xml:space="preserve"> peut remplacer l’actif par un autre à n’importe quel moment </w:t>
      </w:r>
      <w:r w:rsidR="00726393" w:rsidRPr="00726393">
        <w:t>pendant</w:t>
      </w:r>
      <w:r w:rsidR="008A1D85">
        <w:t xml:space="preserve"> </w:t>
      </w:r>
      <w:r w:rsidR="00726393" w:rsidRPr="00726393">
        <w:t>sa</w:t>
      </w:r>
      <w:r w:rsidRPr="00726393">
        <w:t xml:space="preserve"> durée d’utilisation </w:t>
      </w:r>
    </w:p>
    <w:p w:rsidR="00372AAE" w:rsidRPr="00726393" w:rsidRDefault="00726393" w:rsidP="00726393">
      <w:pPr>
        <w:pStyle w:val="liste2"/>
        <w:spacing w:before="60"/>
        <w:contextualSpacing/>
      </w:pPr>
      <w:proofErr w:type="gramStart"/>
      <w:r w:rsidRPr="00726393">
        <w:t>et</w:t>
      </w:r>
      <w:proofErr w:type="gramEnd"/>
      <w:r w:rsidRPr="00726393">
        <w:t xml:space="preserve"> si l'exercice de ce droit de substitution lui fournit un avantage économique supérieur au co</w:t>
      </w:r>
      <w:r w:rsidR="008A1D85">
        <w:t>û</w:t>
      </w:r>
      <w:r w:rsidRPr="00726393">
        <w:t>t de substitution</w:t>
      </w:r>
    </w:p>
    <w:p w:rsidR="00E54473" w:rsidRDefault="008877D2" w:rsidP="00843B1F">
      <w:pPr>
        <w:spacing w:before="120"/>
        <w:rPr>
          <w:rFonts w:eastAsiaTheme="majorEastAsia"/>
          <w:b/>
          <w:lang w:eastAsia="en-US"/>
        </w:rPr>
      </w:pPr>
      <w:r w:rsidRPr="00843B1F">
        <w:rPr>
          <w:rFonts w:eastAsiaTheme="majorEastAsia"/>
          <w:lang w:eastAsia="en-US"/>
        </w:rPr>
        <w:t xml:space="preserve">Lorsqu'un contrat est ou contient un contrat de location, </w:t>
      </w:r>
      <w:r w:rsidR="00843B1F" w:rsidRPr="00843B1F">
        <w:rPr>
          <w:rFonts w:eastAsiaTheme="majorEastAsia"/>
          <w:lang w:eastAsia="en-US"/>
        </w:rPr>
        <w:t xml:space="preserve">chaque </w:t>
      </w:r>
      <w:r w:rsidR="00843B1F" w:rsidRPr="004E6901">
        <w:rPr>
          <w:rFonts w:eastAsiaTheme="majorEastAsia"/>
          <w:b/>
          <w:lang w:eastAsia="en-US"/>
        </w:rPr>
        <w:t>composante</w:t>
      </w:r>
      <w:r w:rsidR="00843B1F" w:rsidRPr="00843B1F">
        <w:rPr>
          <w:rFonts w:eastAsiaTheme="majorEastAsia"/>
          <w:lang w:eastAsia="en-US"/>
        </w:rPr>
        <w:t xml:space="preserve"> locative du contrat doit être comptabilisée comme un </w:t>
      </w:r>
      <w:r w:rsidR="00843B1F" w:rsidRPr="004E6901">
        <w:rPr>
          <w:rFonts w:eastAsiaTheme="majorEastAsia"/>
          <w:b/>
          <w:lang w:eastAsia="en-US"/>
        </w:rPr>
        <w:t>contrat de location distinct</w:t>
      </w:r>
      <w:r w:rsidR="00E54473">
        <w:rPr>
          <w:rFonts w:eastAsiaTheme="majorEastAsia"/>
          <w:b/>
          <w:lang w:eastAsia="en-US"/>
        </w:rPr>
        <w:t>.</w:t>
      </w:r>
    </w:p>
    <w:p w:rsidR="00843B1F" w:rsidRPr="00843B1F" w:rsidRDefault="00E54473" w:rsidP="00843B1F">
      <w:pPr>
        <w:spacing w:before="120"/>
        <w:rPr>
          <w:rFonts w:eastAsiaTheme="majorEastAsia"/>
          <w:lang w:eastAsia="en-US"/>
        </w:rPr>
      </w:pPr>
      <w:r w:rsidRPr="00E54473">
        <w:rPr>
          <w:rFonts w:eastAsiaTheme="majorEastAsia"/>
          <w:lang w:eastAsia="en-US"/>
        </w:rPr>
        <w:t xml:space="preserve">Il est à noter que </w:t>
      </w:r>
      <w:r w:rsidR="00843B1F" w:rsidRPr="00843B1F">
        <w:rPr>
          <w:rFonts w:eastAsiaTheme="majorEastAsia"/>
          <w:lang w:eastAsia="en-US"/>
        </w:rPr>
        <w:t xml:space="preserve">les composantes non locatives peuvent être séparées ou non </w:t>
      </w:r>
      <w:r>
        <w:rPr>
          <w:rFonts w:eastAsiaTheme="majorEastAsia"/>
          <w:lang w:eastAsia="en-US"/>
        </w:rPr>
        <w:t>(</w:t>
      </w:r>
      <w:r w:rsidR="00843B1F" w:rsidRPr="00843B1F">
        <w:rPr>
          <w:rFonts w:eastAsiaTheme="majorEastAsia"/>
          <w:lang w:eastAsia="en-US"/>
        </w:rPr>
        <w:t>par mesure de simplification</w:t>
      </w:r>
      <w:r>
        <w:rPr>
          <w:rFonts w:eastAsiaTheme="majorEastAsia"/>
          <w:lang w:eastAsia="en-US"/>
        </w:rPr>
        <w:t>)</w:t>
      </w:r>
      <w:r w:rsidR="00843B1F" w:rsidRPr="00843B1F">
        <w:rPr>
          <w:rFonts w:eastAsiaTheme="majorEastAsia"/>
          <w:lang w:eastAsia="en-US"/>
        </w:rPr>
        <w:t xml:space="preserve"> des composantes locatives</w:t>
      </w:r>
      <w:r>
        <w:rPr>
          <w:rFonts w:eastAsiaTheme="majorEastAsia"/>
          <w:lang w:eastAsia="en-US"/>
        </w:rPr>
        <w:t> (c’est le cas par exemple de contrats portant à la fois sur la location et l’entretien d’un bien</w:t>
      </w:r>
      <w:r w:rsidR="00843B1F" w:rsidRPr="00843B1F">
        <w:rPr>
          <w:rFonts w:eastAsiaTheme="majorEastAsia"/>
          <w:lang w:eastAsia="en-US"/>
        </w:rPr>
        <w:t>)</w:t>
      </w:r>
    </w:p>
    <w:p w:rsidR="00843B1F" w:rsidRPr="00843B1F" w:rsidRDefault="00843B1F" w:rsidP="00843B1F">
      <w:pPr>
        <w:spacing w:before="120"/>
        <w:rPr>
          <w:rFonts w:eastAsiaTheme="majorEastAsia"/>
          <w:lang w:eastAsia="en-US"/>
        </w:rPr>
      </w:pPr>
      <w:r w:rsidRPr="00843B1F">
        <w:rPr>
          <w:rFonts w:eastAsiaTheme="majorEastAsia"/>
          <w:lang w:eastAsia="en-US"/>
        </w:rPr>
        <w:t>Pour qu’il y ait une composante locative distincte, il faut ;</w:t>
      </w:r>
    </w:p>
    <w:p w:rsidR="00843B1F" w:rsidRPr="00843B1F" w:rsidRDefault="00843B1F" w:rsidP="00843B1F">
      <w:pPr>
        <w:pStyle w:val="liste2"/>
        <w:spacing w:before="60"/>
        <w:contextualSpacing/>
      </w:pPr>
      <w:r w:rsidRPr="00843B1F">
        <w:t xml:space="preserve">que l’actif </w:t>
      </w:r>
      <w:r w:rsidR="003032E1" w:rsidRPr="00843B1F">
        <w:t>sous-jacent</w:t>
      </w:r>
      <w:bookmarkStart w:id="1" w:name="_GoBack"/>
      <w:bookmarkEnd w:id="1"/>
      <w:r w:rsidRPr="00843B1F">
        <w:t xml:space="preserve"> puisse être utilisé isolément </w:t>
      </w:r>
    </w:p>
    <w:p w:rsidR="00843B1F" w:rsidRPr="00843B1F" w:rsidRDefault="00843B1F" w:rsidP="00843B1F">
      <w:pPr>
        <w:pStyle w:val="liste2"/>
        <w:spacing w:before="60"/>
        <w:contextualSpacing/>
      </w:pPr>
      <w:proofErr w:type="gramStart"/>
      <w:r w:rsidRPr="00843B1F">
        <w:t>qu’il</w:t>
      </w:r>
      <w:proofErr w:type="gramEnd"/>
      <w:r w:rsidRPr="00843B1F">
        <w:t xml:space="preserve"> ne dépende pas des autres actifs </w:t>
      </w:r>
      <w:r w:rsidR="003032E1" w:rsidRPr="00843B1F">
        <w:t>sous-jacents</w:t>
      </w:r>
      <w:r w:rsidRPr="00843B1F">
        <w:t xml:space="preserve"> prévus au contrat</w:t>
      </w:r>
    </w:p>
    <w:p w:rsidR="00372AAE" w:rsidRPr="00ED2056" w:rsidRDefault="00372AAE" w:rsidP="00ED2056">
      <w:pPr>
        <w:spacing w:before="120"/>
        <w:rPr>
          <w:rFonts w:eastAsiaTheme="majorEastAsia"/>
          <w:lang w:eastAsia="en-US"/>
        </w:rPr>
      </w:pPr>
    </w:p>
    <w:p w:rsidR="00B50390" w:rsidRPr="00B50390" w:rsidRDefault="00E16246" w:rsidP="009A38FE">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sidRPr="00E16246">
        <w:rPr>
          <w:rFonts w:asciiTheme="minorHAnsi" w:eastAsiaTheme="majorEastAsia" w:hAnsiTheme="minorHAnsi" w:cstheme="majorBidi"/>
          <w:color w:val="000000" w:themeColor="text1"/>
          <w:sz w:val="24"/>
          <w:szCs w:val="32"/>
          <w:u w:val="single"/>
        </w:rPr>
        <w:t>Év</w:t>
      </w:r>
      <w:r w:rsidR="00B50390">
        <w:rPr>
          <w:rFonts w:asciiTheme="minorHAnsi" w:eastAsiaTheme="majorEastAsia" w:hAnsiTheme="minorHAnsi" w:cstheme="majorBidi"/>
          <w:color w:val="000000" w:themeColor="text1"/>
          <w:sz w:val="24"/>
          <w:szCs w:val="32"/>
          <w:u w:val="single"/>
        </w:rPr>
        <w:t>alu</w:t>
      </w:r>
      <w:r w:rsidR="00766C84">
        <w:rPr>
          <w:rFonts w:asciiTheme="minorHAnsi" w:eastAsiaTheme="majorEastAsia" w:hAnsiTheme="minorHAnsi" w:cstheme="majorBidi"/>
          <w:color w:val="000000" w:themeColor="text1"/>
          <w:sz w:val="24"/>
          <w:szCs w:val="32"/>
          <w:u w:val="single"/>
        </w:rPr>
        <w:t>a</w:t>
      </w:r>
      <w:r w:rsidR="00B50390">
        <w:rPr>
          <w:rFonts w:asciiTheme="minorHAnsi" w:eastAsiaTheme="majorEastAsia" w:hAnsiTheme="minorHAnsi" w:cstheme="majorBidi"/>
          <w:color w:val="000000" w:themeColor="text1"/>
          <w:sz w:val="24"/>
          <w:szCs w:val="32"/>
          <w:u w:val="single"/>
        </w:rPr>
        <w:t>tion</w:t>
      </w:r>
      <w:r w:rsidR="00D36D51">
        <w:rPr>
          <w:rFonts w:asciiTheme="minorHAnsi" w:eastAsiaTheme="majorEastAsia" w:hAnsiTheme="minorHAnsi" w:cstheme="majorBidi"/>
          <w:color w:val="000000" w:themeColor="text1"/>
          <w:sz w:val="24"/>
          <w:szCs w:val="32"/>
          <w:u w:val="single"/>
        </w:rPr>
        <w:t xml:space="preserve"> </w:t>
      </w:r>
      <w:r w:rsidR="004B20B2">
        <w:rPr>
          <w:rFonts w:asciiTheme="minorHAnsi" w:eastAsiaTheme="majorEastAsia" w:hAnsiTheme="minorHAnsi" w:cstheme="majorBidi"/>
          <w:color w:val="000000" w:themeColor="text1"/>
          <w:sz w:val="24"/>
          <w:szCs w:val="32"/>
          <w:u w:val="single"/>
        </w:rPr>
        <w:t>du passif locatif</w:t>
      </w:r>
    </w:p>
    <w:p w:rsidR="00CF575A" w:rsidRDefault="00CF575A" w:rsidP="00766C84">
      <w:pPr>
        <w:spacing w:before="120"/>
        <w:rPr>
          <w:rFonts w:eastAsiaTheme="majorEastAsia"/>
          <w:lang w:eastAsia="en-US"/>
        </w:rPr>
      </w:pPr>
    </w:p>
    <w:p w:rsidR="004B20B2" w:rsidRPr="00766C84" w:rsidRDefault="004B20B2" w:rsidP="00766C84">
      <w:pPr>
        <w:spacing w:before="120"/>
        <w:rPr>
          <w:rFonts w:eastAsiaTheme="majorEastAsia"/>
          <w:lang w:eastAsia="en-US"/>
        </w:rPr>
      </w:pPr>
      <w:r w:rsidRPr="00766C84">
        <w:rPr>
          <w:rFonts w:eastAsiaTheme="majorEastAsia"/>
          <w:lang w:eastAsia="en-US"/>
        </w:rPr>
        <w:t xml:space="preserve">La valeur du passif locatif correspond </w:t>
      </w:r>
      <w:r w:rsidR="00045A6F" w:rsidRPr="00766C84">
        <w:rPr>
          <w:rFonts w:eastAsiaTheme="majorEastAsia"/>
          <w:lang w:eastAsia="en-US"/>
        </w:rPr>
        <w:t xml:space="preserve">à la </w:t>
      </w:r>
      <w:r w:rsidR="00045A6F" w:rsidRPr="002936A3">
        <w:rPr>
          <w:rFonts w:eastAsiaTheme="majorEastAsia"/>
          <w:b/>
          <w:lang w:eastAsia="en-US"/>
        </w:rPr>
        <w:t>valeur actualisée</w:t>
      </w:r>
      <w:r w:rsidR="00045A6F" w:rsidRPr="00766C84">
        <w:rPr>
          <w:rFonts w:eastAsiaTheme="majorEastAsia"/>
          <w:lang w:eastAsia="en-US"/>
        </w:rPr>
        <w:t xml:space="preserve"> du montant des </w:t>
      </w:r>
      <w:r w:rsidR="00045A6F" w:rsidRPr="002936A3">
        <w:rPr>
          <w:rFonts w:eastAsiaTheme="majorEastAsia"/>
          <w:b/>
          <w:lang w:eastAsia="en-US"/>
        </w:rPr>
        <w:t>loyers non encore versés</w:t>
      </w:r>
      <w:r w:rsidR="008A1D85">
        <w:rPr>
          <w:rFonts w:eastAsiaTheme="majorEastAsia"/>
          <w:b/>
          <w:lang w:eastAsia="en-US"/>
        </w:rPr>
        <w:t xml:space="preserve"> </w:t>
      </w:r>
      <w:r w:rsidRPr="00766C84">
        <w:rPr>
          <w:rFonts w:eastAsiaTheme="majorEastAsia"/>
          <w:lang w:eastAsia="en-US"/>
        </w:rPr>
        <w:t xml:space="preserve">(loyers fixes, </w:t>
      </w:r>
      <w:r w:rsidR="002936A3">
        <w:rPr>
          <w:rFonts w:eastAsiaTheme="majorEastAsia"/>
          <w:lang w:eastAsia="en-US"/>
        </w:rPr>
        <w:t xml:space="preserve">loyers </w:t>
      </w:r>
      <w:r w:rsidRPr="00766C84">
        <w:rPr>
          <w:rFonts w:eastAsiaTheme="majorEastAsia"/>
          <w:lang w:eastAsia="en-US"/>
        </w:rPr>
        <w:t>variables, valeur résiduelle des garanties données, option d’achat qui sera raisonnablement exercée, pénalités, etc.)</w:t>
      </w:r>
    </w:p>
    <w:p w:rsidR="004B20B2" w:rsidRPr="00766C84" w:rsidRDefault="004B20B2" w:rsidP="00766C84">
      <w:pPr>
        <w:spacing w:before="120"/>
        <w:rPr>
          <w:rFonts w:eastAsiaTheme="majorEastAsia"/>
          <w:lang w:eastAsia="en-US"/>
        </w:rPr>
      </w:pPr>
      <w:r w:rsidRPr="00766C84">
        <w:rPr>
          <w:rFonts w:eastAsiaTheme="majorEastAsia"/>
          <w:lang w:eastAsia="en-US"/>
        </w:rPr>
        <w:t xml:space="preserve">Le </w:t>
      </w:r>
      <w:r w:rsidRPr="009F231C">
        <w:rPr>
          <w:rFonts w:eastAsiaTheme="majorEastAsia"/>
          <w:b/>
          <w:lang w:eastAsia="en-US"/>
        </w:rPr>
        <w:t>taux</w:t>
      </w:r>
      <w:r w:rsidRPr="00766C84">
        <w:rPr>
          <w:rFonts w:eastAsiaTheme="majorEastAsia"/>
          <w:lang w:eastAsia="en-US"/>
        </w:rPr>
        <w:t xml:space="preserve"> d’actualisation à retenir est </w:t>
      </w:r>
      <w:r w:rsidR="00045A6F" w:rsidRPr="00766C84">
        <w:rPr>
          <w:rFonts w:eastAsiaTheme="majorEastAsia"/>
          <w:lang w:eastAsia="en-US"/>
        </w:rPr>
        <w:t xml:space="preserve">le taux d'intérêt </w:t>
      </w:r>
      <w:r w:rsidR="00045A6F" w:rsidRPr="009F231C">
        <w:rPr>
          <w:rFonts w:eastAsiaTheme="majorEastAsia"/>
          <w:b/>
          <w:lang w:eastAsia="en-US"/>
        </w:rPr>
        <w:t>implicite</w:t>
      </w:r>
      <w:r w:rsidR="00045A6F" w:rsidRPr="00766C84">
        <w:rPr>
          <w:rFonts w:eastAsiaTheme="majorEastAsia"/>
          <w:lang w:eastAsia="en-US"/>
        </w:rPr>
        <w:t xml:space="preserve"> du contrat de location </w:t>
      </w:r>
      <w:r w:rsidRPr="00766C84">
        <w:rPr>
          <w:rFonts w:eastAsiaTheme="majorEastAsia"/>
          <w:lang w:eastAsia="en-US"/>
        </w:rPr>
        <w:t xml:space="preserve">ou à défaut le taux d'emprunt </w:t>
      </w:r>
      <w:r w:rsidRPr="009F231C">
        <w:rPr>
          <w:rFonts w:eastAsiaTheme="majorEastAsia"/>
          <w:b/>
          <w:lang w:eastAsia="en-US"/>
        </w:rPr>
        <w:t>marginal</w:t>
      </w:r>
      <w:r w:rsidRPr="00766C84">
        <w:rPr>
          <w:rFonts w:eastAsiaTheme="majorEastAsia"/>
          <w:lang w:eastAsia="en-US"/>
        </w:rPr>
        <w:t xml:space="preserve"> du preneur</w:t>
      </w:r>
      <w:r w:rsidR="00560F1A">
        <w:rPr>
          <w:rFonts w:eastAsiaTheme="majorEastAsia"/>
          <w:lang w:eastAsia="en-US"/>
        </w:rPr>
        <w:t xml:space="preserve"> lorsque le taux implicite ne peut pas être déterminé facilement</w:t>
      </w:r>
      <w:r w:rsidR="009F231C">
        <w:rPr>
          <w:rFonts w:eastAsiaTheme="majorEastAsia"/>
          <w:lang w:eastAsia="en-US"/>
        </w:rPr>
        <w:t xml:space="preserve"> (</w:t>
      </w:r>
      <w:r w:rsidR="00475AA9">
        <w:rPr>
          <w:rFonts w:eastAsiaTheme="majorEastAsia"/>
          <w:lang w:eastAsia="en-US"/>
        </w:rPr>
        <w:t xml:space="preserve">à savoir </w:t>
      </w:r>
      <w:r w:rsidR="009F231C">
        <w:rPr>
          <w:rFonts w:eastAsiaTheme="majorEastAsia"/>
          <w:lang w:eastAsia="en-US"/>
        </w:rPr>
        <w:t>le t</w:t>
      </w:r>
      <w:r w:rsidR="009F231C" w:rsidRPr="009F231C">
        <w:rPr>
          <w:rFonts w:eastAsiaTheme="majorEastAsia"/>
          <w:lang w:eastAsia="en-US"/>
        </w:rPr>
        <w:t xml:space="preserve">aux d'intérêt que le preneur aurait à payer pour emprunter, pour une durée et avec </w:t>
      </w:r>
      <w:proofErr w:type="gramStart"/>
      <w:r w:rsidR="009F231C" w:rsidRPr="009F231C">
        <w:rPr>
          <w:rFonts w:eastAsiaTheme="majorEastAsia"/>
          <w:lang w:eastAsia="en-US"/>
        </w:rPr>
        <w:t>une garantie similaire</w:t>
      </w:r>
      <w:r w:rsidR="008A1D85">
        <w:rPr>
          <w:rFonts w:eastAsiaTheme="majorEastAsia"/>
          <w:lang w:eastAsia="en-US"/>
        </w:rPr>
        <w:t>s</w:t>
      </w:r>
      <w:proofErr w:type="gramEnd"/>
      <w:r w:rsidR="009F231C" w:rsidRPr="009F231C">
        <w:rPr>
          <w:rFonts w:eastAsiaTheme="majorEastAsia"/>
          <w:lang w:eastAsia="en-US"/>
        </w:rPr>
        <w:t>, les fonds nécessaires pour se procurer un actif de valeur similaire dans un environnement économique similaire)</w:t>
      </w:r>
      <w:r w:rsidR="00560F1A">
        <w:rPr>
          <w:rFonts w:eastAsiaTheme="majorEastAsia"/>
          <w:lang w:eastAsia="en-US"/>
        </w:rPr>
        <w:t>.</w:t>
      </w:r>
    </w:p>
    <w:p w:rsidR="00EF7400" w:rsidRDefault="004B20B2" w:rsidP="00766C84">
      <w:pPr>
        <w:spacing w:before="120"/>
        <w:rPr>
          <w:rFonts w:eastAsiaTheme="majorEastAsia"/>
          <w:lang w:eastAsia="en-US"/>
        </w:rPr>
      </w:pPr>
      <w:r w:rsidRPr="00766C84">
        <w:rPr>
          <w:rFonts w:eastAsiaTheme="majorEastAsia"/>
          <w:lang w:eastAsia="en-US"/>
        </w:rPr>
        <w:lastRenderedPageBreak/>
        <w:t xml:space="preserve">La </w:t>
      </w:r>
      <w:r w:rsidRPr="002936A3">
        <w:rPr>
          <w:rFonts w:eastAsiaTheme="majorEastAsia"/>
          <w:b/>
          <w:lang w:eastAsia="en-US"/>
        </w:rPr>
        <w:t>durée</w:t>
      </w:r>
      <w:r w:rsidRPr="00766C84">
        <w:rPr>
          <w:rFonts w:eastAsiaTheme="majorEastAsia"/>
          <w:lang w:eastAsia="en-US"/>
        </w:rPr>
        <w:t xml:space="preserve"> à retenir est la </w:t>
      </w:r>
      <w:r w:rsidRPr="002936A3">
        <w:rPr>
          <w:rFonts w:eastAsiaTheme="majorEastAsia"/>
          <w:b/>
          <w:lang w:eastAsia="en-US"/>
        </w:rPr>
        <w:t>p</w:t>
      </w:r>
      <w:r w:rsidR="00EF7400" w:rsidRPr="002936A3">
        <w:rPr>
          <w:rFonts w:eastAsiaTheme="majorEastAsia"/>
          <w:b/>
          <w:lang w:eastAsia="en-US"/>
        </w:rPr>
        <w:t>ériode non résiliable</w:t>
      </w:r>
      <w:r w:rsidR="00EF7400" w:rsidRPr="00766C84">
        <w:rPr>
          <w:rFonts w:eastAsiaTheme="majorEastAsia"/>
          <w:lang w:eastAsia="en-US"/>
        </w:rPr>
        <w:t xml:space="preserve"> pendant laquelle le preneur a le droit d'utiliser </w:t>
      </w:r>
      <w:r w:rsidR="00560F1A">
        <w:rPr>
          <w:rFonts w:eastAsiaTheme="majorEastAsia"/>
          <w:lang w:eastAsia="en-US"/>
        </w:rPr>
        <w:t xml:space="preserve">l’actif </w:t>
      </w:r>
      <w:r w:rsidR="00766C84">
        <w:rPr>
          <w:rFonts w:eastAsiaTheme="majorEastAsia"/>
          <w:lang w:eastAsia="en-US"/>
        </w:rPr>
        <w:t xml:space="preserve">majorée </w:t>
      </w:r>
      <w:r w:rsidR="008E5A01">
        <w:rPr>
          <w:rFonts w:eastAsiaTheme="majorEastAsia"/>
          <w:lang w:eastAsia="en-US"/>
        </w:rPr>
        <w:t xml:space="preserve">de </w:t>
      </w:r>
      <w:r w:rsidR="00766C84">
        <w:rPr>
          <w:rFonts w:eastAsiaTheme="majorEastAsia"/>
          <w:lang w:eastAsia="en-US"/>
        </w:rPr>
        <w:t>toutes les périodes pour lesquelles le preneur bénéficie d’une</w:t>
      </w:r>
      <w:r w:rsidR="00EF7400" w:rsidRPr="00766C84">
        <w:rPr>
          <w:rFonts w:eastAsiaTheme="majorEastAsia"/>
          <w:lang w:eastAsia="en-US"/>
        </w:rPr>
        <w:t xml:space="preserve"> option de renouvellement </w:t>
      </w:r>
      <w:r w:rsidR="00766C84">
        <w:rPr>
          <w:rFonts w:eastAsiaTheme="majorEastAsia"/>
          <w:lang w:eastAsia="en-US"/>
        </w:rPr>
        <w:t xml:space="preserve">qu’il a </w:t>
      </w:r>
      <w:r w:rsidR="00EF7400" w:rsidRPr="00766C84">
        <w:rPr>
          <w:rFonts w:eastAsiaTheme="majorEastAsia"/>
          <w:lang w:eastAsia="en-US"/>
        </w:rPr>
        <w:t xml:space="preserve">la certitude </w:t>
      </w:r>
      <w:r w:rsidR="00766C84" w:rsidRPr="00766C84">
        <w:rPr>
          <w:rFonts w:eastAsiaTheme="majorEastAsia"/>
          <w:lang w:eastAsia="en-US"/>
        </w:rPr>
        <w:t>raisonnable</w:t>
      </w:r>
      <w:r w:rsidR="00EF7400" w:rsidRPr="00766C84">
        <w:rPr>
          <w:rFonts w:eastAsiaTheme="majorEastAsia"/>
          <w:lang w:eastAsia="en-US"/>
        </w:rPr>
        <w:t xml:space="preserve"> d'exercer</w:t>
      </w:r>
      <w:r w:rsidR="00766C84">
        <w:rPr>
          <w:rFonts w:eastAsiaTheme="majorEastAsia"/>
          <w:lang w:eastAsia="en-US"/>
        </w:rPr>
        <w:t>.</w:t>
      </w:r>
    </w:p>
    <w:p w:rsidR="002936A3" w:rsidRDefault="002936A3" w:rsidP="00766C84">
      <w:pPr>
        <w:spacing w:before="120"/>
        <w:rPr>
          <w:rFonts w:eastAsiaTheme="majorEastAsia"/>
          <w:lang w:eastAsia="en-US"/>
        </w:rPr>
      </w:pPr>
      <w:r>
        <w:rPr>
          <w:rFonts w:eastAsiaTheme="majorEastAsia"/>
          <w:lang w:eastAsia="en-US"/>
        </w:rPr>
        <w:t xml:space="preserve">Si des </w:t>
      </w:r>
      <w:r w:rsidRPr="006C56D0">
        <w:rPr>
          <w:rFonts w:eastAsiaTheme="majorEastAsia"/>
          <w:b/>
          <w:lang w:eastAsia="en-US"/>
        </w:rPr>
        <w:t>changements d’estimation</w:t>
      </w:r>
      <w:r>
        <w:rPr>
          <w:rFonts w:eastAsiaTheme="majorEastAsia"/>
          <w:lang w:eastAsia="en-US"/>
        </w:rPr>
        <w:t xml:space="preserve"> sont constatés</w:t>
      </w:r>
      <w:r w:rsidR="008A1D85">
        <w:rPr>
          <w:rFonts w:eastAsiaTheme="majorEastAsia"/>
          <w:lang w:eastAsia="en-US"/>
        </w:rPr>
        <w:t xml:space="preserve"> </w:t>
      </w:r>
      <w:r>
        <w:rPr>
          <w:rFonts w:eastAsiaTheme="majorEastAsia"/>
          <w:lang w:eastAsia="en-US"/>
        </w:rPr>
        <w:t>au cours de la période de location (</w:t>
      </w:r>
      <w:r w:rsidR="008E5A01">
        <w:rPr>
          <w:rFonts w:eastAsiaTheme="majorEastAsia"/>
          <w:lang w:eastAsia="en-US"/>
        </w:rPr>
        <w:t xml:space="preserve">sur la </w:t>
      </w:r>
      <w:r>
        <w:rPr>
          <w:rFonts w:eastAsiaTheme="majorEastAsia"/>
          <w:lang w:eastAsia="en-US"/>
        </w:rPr>
        <w:t>durée du contrat</w:t>
      </w:r>
      <w:r w:rsidR="008E5A01">
        <w:rPr>
          <w:rFonts w:eastAsiaTheme="majorEastAsia"/>
          <w:lang w:eastAsia="en-US"/>
        </w:rPr>
        <w:t xml:space="preserve"> ou le </w:t>
      </w:r>
      <w:r>
        <w:rPr>
          <w:rFonts w:eastAsiaTheme="majorEastAsia"/>
          <w:lang w:eastAsia="en-US"/>
        </w:rPr>
        <w:t xml:space="preserve">taux d’intérêt par exemple), le passif locatif doit être </w:t>
      </w:r>
      <w:r w:rsidRPr="006C56D0">
        <w:rPr>
          <w:rFonts w:eastAsiaTheme="majorEastAsia"/>
          <w:b/>
          <w:lang w:eastAsia="en-US"/>
        </w:rPr>
        <w:t>réajusté</w:t>
      </w:r>
      <w:r>
        <w:rPr>
          <w:rFonts w:eastAsiaTheme="majorEastAsia"/>
          <w:lang w:eastAsia="en-US"/>
        </w:rPr>
        <w:t xml:space="preserve"> en conséquence, avec comme </w:t>
      </w:r>
      <w:r w:rsidRPr="006C56D0">
        <w:rPr>
          <w:rFonts w:eastAsiaTheme="majorEastAsia"/>
          <w:b/>
          <w:color w:val="000000" w:themeColor="text1"/>
          <w:lang w:eastAsia="en-US"/>
        </w:rPr>
        <w:t>contrepartie</w:t>
      </w:r>
      <w:r w:rsidR="008A1D85">
        <w:rPr>
          <w:rFonts w:eastAsiaTheme="majorEastAsia"/>
          <w:b/>
          <w:color w:val="000000" w:themeColor="text1"/>
          <w:lang w:eastAsia="en-US"/>
        </w:rPr>
        <w:t xml:space="preserve"> </w:t>
      </w:r>
      <w:r w:rsidRPr="006C56D0">
        <w:rPr>
          <w:rFonts w:eastAsiaTheme="majorEastAsia"/>
          <w:b/>
          <w:color w:val="000000" w:themeColor="text1"/>
          <w:lang w:eastAsia="en-US"/>
        </w:rPr>
        <w:t>le droit d’utilisation</w:t>
      </w:r>
      <w:r>
        <w:rPr>
          <w:rFonts w:eastAsiaTheme="majorEastAsia"/>
          <w:lang w:eastAsia="en-US"/>
        </w:rPr>
        <w:t>.</w:t>
      </w:r>
    </w:p>
    <w:p w:rsidR="00FC6307" w:rsidRPr="00FC6307" w:rsidRDefault="00FC6307" w:rsidP="00FC6307">
      <w:pPr>
        <w:spacing w:before="120"/>
        <w:rPr>
          <w:rFonts w:eastAsiaTheme="majorEastAsia"/>
          <w:lang w:eastAsia="en-US"/>
        </w:rPr>
      </w:pPr>
      <w:r>
        <w:rPr>
          <w:rFonts w:eastAsiaTheme="majorEastAsia"/>
          <w:lang w:eastAsia="en-US"/>
        </w:rPr>
        <w:t>Le preneur doit présenter l</w:t>
      </w:r>
      <w:r w:rsidRPr="00FC6307">
        <w:rPr>
          <w:rFonts w:eastAsiaTheme="majorEastAsia"/>
          <w:lang w:eastAsia="en-US"/>
        </w:rPr>
        <w:t xml:space="preserve">es passifs locatifs </w:t>
      </w:r>
      <w:r>
        <w:rPr>
          <w:rFonts w:eastAsiaTheme="majorEastAsia"/>
          <w:lang w:eastAsia="en-US"/>
        </w:rPr>
        <w:t>d</w:t>
      </w:r>
      <w:r w:rsidRPr="00FC6307">
        <w:rPr>
          <w:rFonts w:eastAsiaTheme="majorEastAsia"/>
          <w:lang w:eastAsia="en-US"/>
        </w:rPr>
        <w:t>ans les états financiers séparément des autres passifs ou</w:t>
      </w:r>
      <w:r w:rsidR="00ED2056">
        <w:rPr>
          <w:rFonts w:eastAsiaTheme="majorEastAsia"/>
          <w:lang w:eastAsia="en-US"/>
        </w:rPr>
        <w:t>,</w:t>
      </w:r>
      <w:r w:rsidR="008A1D85">
        <w:rPr>
          <w:rFonts w:eastAsiaTheme="majorEastAsia"/>
          <w:lang w:eastAsia="en-US"/>
        </w:rPr>
        <w:t xml:space="preserve"> </w:t>
      </w:r>
      <w:r>
        <w:rPr>
          <w:rFonts w:eastAsiaTheme="majorEastAsia"/>
          <w:lang w:eastAsia="en-US"/>
        </w:rPr>
        <w:t>à défaut</w:t>
      </w:r>
      <w:r w:rsidR="00ED2056">
        <w:rPr>
          <w:rFonts w:eastAsiaTheme="majorEastAsia"/>
          <w:lang w:eastAsia="en-US"/>
        </w:rPr>
        <w:t>,</w:t>
      </w:r>
      <w:r w:rsidR="008A1D85">
        <w:rPr>
          <w:rFonts w:eastAsiaTheme="majorEastAsia"/>
          <w:lang w:eastAsia="en-US"/>
        </w:rPr>
        <w:t xml:space="preserve"> </w:t>
      </w:r>
      <w:r w:rsidR="00ED2056">
        <w:rPr>
          <w:rFonts w:eastAsiaTheme="majorEastAsia"/>
          <w:lang w:eastAsia="en-US"/>
        </w:rPr>
        <w:t xml:space="preserve">il </w:t>
      </w:r>
      <w:r w:rsidRPr="00FC6307">
        <w:rPr>
          <w:rFonts w:eastAsiaTheme="majorEastAsia"/>
          <w:lang w:eastAsia="en-US"/>
        </w:rPr>
        <w:t>doit indiquer les postes dans lesquels ces passifs locatifs sont inclus.</w:t>
      </w:r>
    </w:p>
    <w:p w:rsidR="00FC6307" w:rsidRPr="00ED2056" w:rsidRDefault="00FC6307" w:rsidP="00FC6307">
      <w:pPr>
        <w:spacing w:before="120"/>
        <w:rPr>
          <w:rFonts w:eastAsiaTheme="majorEastAsia"/>
          <w:lang w:eastAsia="en-US"/>
        </w:rPr>
      </w:pPr>
    </w:p>
    <w:p w:rsidR="00766C84" w:rsidRDefault="00E16246" w:rsidP="00766C84">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sidRPr="00E16246">
        <w:rPr>
          <w:rFonts w:asciiTheme="minorHAnsi" w:eastAsiaTheme="majorEastAsia" w:hAnsiTheme="minorHAnsi" w:cstheme="majorBidi"/>
          <w:color w:val="000000" w:themeColor="text1"/>
          <w:sz w:val="24"/>
          <w:szCs w:val="32"/>
          <w:u w:val="single"/>
        </w:rPr>
        <w:t>Év</w:t>
      </w:r>
      <w:r>
        <w:rPr>
          <w:rFonts w:asciiTheme="minorHAnsi" w:eastAsiaTheme="majorEastAsia" w:hAnsiTheme="minorHAnsi" w:cstheme="majorBidi"/>
          <w:color w:val="000000" w:themeColor="text1"/>
          <w:sz w:val="24"/>
          <w:szCs w:val="32"/>
          <w:u w:val="single"/>
        </w:rPr>
        <w:t>al</w:t>
      </w:r>
      <w:r w:rsidR="00766C84">
        <w:rPr>
          <w:rFonts w:asciiTheme="minorHAnsi" w:eastAsiaTheme="majorEastAsia" w:hAnsiTheme="minorHAnsi" w:cstheme="majorBidi"/>
          <w:color w:val="000000" w:themeColor="text1"/>
          <w:sz w:val="24"/>
          <w:szCs w:val="32"/>
          <w:u w:val="single"/>
        </w:rPr>
        <w:t>u</w:t>
      </w:r>
      <w:r w:rsidR="00560F1A">
        <w:rPr>
          <w:rFonts w:asciiTheme="minorHAnsi" w:eastAsiaTheme="majorEastAsia" w:hAnsiTheme="minorHAnsi" w:cstheme="majorBidi"/>
          <w:color w:val="000000" w:themeColor="text1"/>
          <w:sz w:val="24"/>
          <w:szCs w:val="32"/>
          <w:u w:val="single"/>
        </w:rPr>
        <w:t>a</w:t>
      </w:r>
      <w:r w:rsidR="00766C84">
        <w:rPr>
          <w:rFonts w:asciiTheme="minorHAnsi" w:eastAsiaTheme="majorEastAsia" w:hAnsiTheme="minorHAnsi" w:cstheme="majorBidi"/>
          <w:color w:val="000000" w:themeColor="text1"/>
          <w:sz w:val="24"/>
          <w:szCs w:val="32"/>
          <w:u w:val="single"/>
        </w:rPr>
        <w:t>tion du droit d’utilisation</w:t>
      </w:r>
    </w:p>
    <w:p w:rsidR="00CF575A" w:rsidRDefault="00CF575A" w:rsidP="009F231C">
      <w:pPr>
        <w:spacing w:before="120"/>
        <w:rPr>
          <w:rFonts w:eastAsiaTheme="majorEastAsia"/>
          <w:lang w:eastAsia="en-US"/>
        </w:rPr>
      </w:pPr>
    </w:p>
    <w:p w:rsidR="009F231C" w:rsidRDefault="009F231C" w:rsidP="009F231C">
      <w:pPr>
        <w:spacing w:before="120"/>
        <w:rPr>
          <w:rFonts w:eastAsiaTheme="majorEastAsia"/>
          <w:lang w:eastAsia="en-US"/>
        </w:rPr>
      </w:pPr>
      <w:r w:rsidRPr="009F231C">
        <w:rPr>
          <w:rFonts w:eastAsiaTheme="majorEastAsia"/>
          <w:lang w:eastAsia="en-US"/>
        </w:rPr>
        <w:t>L’actif comptabilisé au titre du droit d'utilisation représente le droit du preneur d'utiliser l'actif sous-jacent dans le contrat de location pour la durée du contrat.</w:t>
      </w:r>
    </w:p>
    <w:p w:rsidR="00560F1A" w:rsidRDefault="003F6E28" w:rsidP="003F6E28">
      <w:pPr>
        <w:spacing w:before="120"/>
        <w:rPr>
          <w:rFonts w:eastAsiaTheme="majorEastAsia"/>
          <w:lang w:eastAsia="en-US"/>
        </w:rPr>
      </w:pPr>
      <w:r>
        <w:rPr>
          <w:rFonts w:eastAsiaTheme="majorEastAsia"/>
          <w:lang w:eastAsia="en-US"/>
        </w:rPr>
        <w:t xml:space="preserve">Le droit d’utilisation est évalué lors de la conclusion du contrat au </w:t>
      </w:r>
      <w:r w:rsidRPr="006402E9">
        <w:rPr>
          <w:rFonts w:eastAsiaTheme="majorEastAsia"/>
          <w:b/>
          <w:lang w:eastAsia="en-US"/>
        </w:rPr>
        <w:t>même montant</w:t>
      </w:r>
      <w:r>
        <w:rPr>
          <w:rFonts w:eastAsiaTheme="majorEastAsia"/>
          <w:lang w:eastAsia="en-US"/>
        </w:rPr>
        <w:t xml:space="preserve"> que le </w:t>
      </w:r>
      <w:r w:rsidRPr="006402E9">
        <w:rPr>
          <w:rFonts w:eastAsiaTheme="majorEastAsia"/>
          <w:b/>
          <w:lang w:eastAsia="en-US"/>
        </w:rPr>
        <w:t>passif</w:t>
      </w:r>
      <w:r w:rsidR="008A1D85">
        <w:rPr>
          <w:rFonts w:eastAsiaTheme="majorEastAsia"/>
          <w:b/>
          <w:lang w:eastAsia="en-US"/>
        </w:rPr>
        <w:t xml:space="preserve"> </w:t>
      </w:r>
      <w:r w:rsidRPr="00E16246">
        <w:rPr>
          <w:rFonts w:eastAsiaTheme="majorEastAsia"/>
          <w:b/>
          <w:lang w:eastAsia="en-US"/>
        </w:rPr>
        <w:t>locatif.</w:t>
      </w:r>
    </w:p>
    <w:p w:rsidR="00560F1A" w:rsidRDefault="00560F1A" w:rsidP="003F6E28">
      <w:pPr>
        <w:spacing w:before="120"/>
        <w:rPr>
          <w:rFonts w:eastAsiaTheme="majorEastAsia"/>
          <w:lang w:eastAsia="en-US"/>
        </w:rPr>
      </w:pPr>
      <w:r>
        <w:rPr>
          <w:rFonts w:eastAsiaTheme="majorEastAsia"/>
          <w:lang w:eastAsia="en-US"/>
        </w:rPr>
        <w:t xml:space="preserve">Ce montant doit être </w:t>
      </w:r>
      <w:r w:rsidRPr="006402E9">
        <w:rPr>
          <w:rFonts w:eastAsiaTheme="majorEastAsia"/>
          <w:b/>
          <w:lang w:eastAsia="en-US"/>
        </w:rPr>
        <w:t>majoré</w:t>
      </w:r>
      <w:r>
        <w:rPr>
          <w:rFonts w:eastAsiaTheme="majorEastAsia"/>
          <w:lang w:eastAsia="en-US"/>
        </w:rPr>
        <w:t xml:space="preserve"> le cas échéant des </w:t>
      </w:r>
      <w:r w:rsidR="008E5A01">
        <w:rPr>
          <w:rFonts w:eastAsiaTheme="majorEastAsia"/>
          <w:lang w:eastAsia="en-US"/>
        </w:rPr>
        <w:t>coûts</w:t>
      </w:r>
      <w:r>
        <w:rPr>
          <w:rFonts w:eastAsiaTheme="majorEastAsia"/>
          <w:lang w:eastAsia="en-US"/>
        </w:rPr>
        <w:t xml:space="preserve"> initiaux engagés par le preneur et des </w:t>
      </w:r>
      <w:r w:rsidR="008E5A01">
        <w:rPr>
          <w:rFonts w:eastAsiaTheme="majorEastAsia"/>
          <w:lang w:eastAsia="en-US"/>
        </w:rPr>
        <w:t>coûts</w:t>
      </w:r>
      <w:r>
        <w:rPr>
          <w:rFonts w:eastAsiaTheme="majorEastAsia"/>
          <w:lang w:eastAsia="en-US"/>
        </w:rPr>
        <w:t xml:space="preserve"> estimés de</w:t>
      </w:r>
      <w:r w:rsidRPr="00560F1A">
        <w:rPr>
          <w:rFonts w:eastAsiaTheme="majorEastAsia"/>
          <w:lang w:eastAsia="en-US"/>
        </w:rPr>
        <w:t xml:space="preserve"> démantèlement et d’enlèvement de l'actif si cela est exigé dans le contrat de location.</w:t>
      </w:r>
    </w:p>
    <w:p w:rsidR="006402E9" w:rsidRDefault="006402E9" w:rsidP="003F6E28">
      <w:pPr>
        <w:spacing w:before="120"/>
        <w:rPr>
          <w:rFonts w:eastAsiaTheme="majorEastAsia"/>
          <w:lang w:eastAsia="en-US"/>
        </w:rPr>
      </w:pPr>
      <w:r>
        <w:rPr>
          <w:rFonts w:eastAsiaTheme="majorEastAsia"/>
          <w:lang w:eastAsia="en-US"/>
        </w:rPr>
        <w:t>Le montant du droit d’utilisation peut être réajusté si le passif locatif est amené à l’être.</w:t>
      </w:r>
    </w:p>
    <w:p w:rsidR="006402E9" w:rsidRDefault="00560F1A" w:rsidP="003F6E28">
      <w:pPr>
        <w:spacing w:before="120"/>
        <w:rPr>
          <w:rFonts w:eastAsiaTheme="majorEastAsia"/>
          <w:lang w:eastAsia="en-US"/>
        </w:rPr>
      </w:pPr>
      <w:r>
        <w:rPr>
          <w:rFonts w:eastAsiaTheme="majorEastAsia"/>
          <w:lang w:eastAsia="en-US"/>
        </w:rPr>
        <w:t xml:space="preserve">Le droit d’utilisation est ensuite </w:t>
      </w:r>
      <w:r w:rsidRPr="006402E9">
        <w:rPr>
          <w:rFonts w:eastAsiaTheme="majorEastAsia"/>
          <w:b/>
          <w:lang w:eastAsia="en-US"/>
        </w:rPr>
        <w:t>amorti et déprécié de manière classique</w:t>
      </w:r>
      <w:r>
        <w:rPr>
          <w:rFonts w:eastAsiaTheme="majorEastAsia"/>
          <w:lang w:eastAsia="en-US"/>
        </w:rPr>
        <w:t xml:space="preserve"> (cf. </w:t>
      </w:r>
      <w:r w:rsidRPr="006402E9">
        <w:rPr>
          <w:rFonts w:eastAsiaTheme="majorEastAsia"/>
          <w:lang w:eastAsia="en-US"/>
        </w:rPr>
        <w:t>IAS 16 Immobilisations corporelles pour l’amortissement et IAS 36 Dépréciation d'actifs</w:t>
      </w:r>
      <w:r w:rsidR="006402E9" w:rsidRPr="006402E9">
        <w:rPr>
          <w:rFonts w:eastAsiaTheme="majorEastAsia"/>
          <w:lang w:eastAsia="en-US"/>
        </w:rPr>
        <w:t xml:space="preserve"> pour les dépréciations).</w:t>
      </w:r>
    </w:p>
    <w:p w:rsidR="006402E9" w:rsidRDefault="006402E9" w:rsidP="003F6E28">
      <w:pPr>
        <w:spacing w:before="120"/>
        <w:rPr>
          <w:rFonts w:eastAsiaTheme="majorEastAsia"/>
          <w:lang w:eastAsia="en-US"/>
        </w:rPr>
      </w:pPr>
      <w:r>
        <w:rPr>
          <w:rFonts w:eastAsiaTheme="majorEastAsia"/>
          <w:lang w:eastAsia="en-US"/>
        </w:rPr>
        <w:t xml:space="preserve">La </w:t>
      </w:r>
      <w:r w:rsidRPr="005C2389">
        <w:rPr>
          <w:rFonts w:eastAsiaTheme="majorEastAsia"/>
          <w:b/>
          <w:lang w:eastAsia="en-US"/>
        </w:rPr>
        <w:t>durée</w:t>
      </w:r>
      <w:r>
        <w:rPr>
          <w:rFonts w:eastAsiaTheme="majorEastAsia"/>
          <w:lang w:eastAsia="en-US"/>
        </w:rPr>
        <w:t xml:space="preserve"> d’amortissement à retenir </w:t>
      </w:r>
      <w:r w:rsidRPr="006402E9">
        <w:rPr>
          <w:rFonts w:eastAsiaTheme="majorEastAsia"/>
          <w:lang w:eastAsia="en-US"/>
        </w:rPr>
        <w:t>correspond</w:t>
      </w:r>
      <w:r w:rsidR="008A1D85">
        <w:rPr>
          <w:rFonts w:eastAsiaTheme="majorEastAsia"/>
          <w:lang w:eastAsia="en-US"/>
        </w:rPr>
        <w:t xml:space="preserve"> </w:t>
      </w:r>
      <w:r w:rsidRPr="006402E9">
        <w:rPr>
          <w:rFonts w:eastAsiaTheme="majorEastAsia"/>
          <w:lang w:eastAsia="en-US"/>
        </w:rPr>
        <w:t>à la période entre la date de prise d'effet du contrat et la date au plus tôt</w:t>
      </w:r>
      <w:r>
        <w:rPr>
          <w:rFonts w:eastAsiaTheme="majorEastAsia"/>
          <w:lang w:eastAsia="en-US"/>
        </w:rPr>
        <w:t> entre :</w:t>
      </w:r>
    </w:p>
    <w:p w:rsidR="006402E9" w:rsidRPr="006402E9" w:rsidRDefault="006402E9" w:rsidP="006402E9">
      <w:pPr>
        <w:pStyle w:val="liste2"/>
        <w:spacing w:before="60"/>
        <w:contextualSpacing/>
      </w:pPr>
      <w:proofErr w:type="gramStart"/>
      <w:r w:rsidRPr="006402E9">
        <w:t>le</w:t>
      </w:r>
      <w:proofErr w:type="gramEnd"/>
      <w:r w:rsidRPr="006402E9">
        <w:t xml:space="preserve"> terme de la durée d'utilité de l’actif</w:t>
      </w:r>
    </w:p>
    <w:p w:rsidR="00560F1A" w:rsidRPr="006402E9" w:rsidRDefault="006402E9" w:rsidP="006402E9">
      <w:pPr>
        <w:pStyle w:val="liste2"/>
        <w:spacing w:before="60"/>
        <w:contextualSpacing/>
      </w:pPr>
      <w:proofErr w:type="gramStart"/>
      <w:r w:rsidRPr="006402E9">
        <w:t>ou</w:t>
      </w:r>
      <w:proofErr w:type="gramEnd"/>
      <w:r w:rsidRPr="006402E9">
        <w:t xml:space="preserve"> le terme de la durée du contrat de location.</w:t>
      </w:r>
    </w:p>
    <w:p w:rsidR="00C16982" w:rsidRDefault="00C16982" w:rsidP="003F6E28">
      <w:pPr>
        <w:spacing w:before="120"/>
        <w:rPr>
          <w:rFonts w:ascii="Arial" w:hAnsi="Arial" w:cs="Arial"/>
          <w:sz w:val="15"/>
          <w:szCs w:val="15"/>
        </w:rPr>
      </w:pPr>
      <w:r>
        <w:rPr>
          <w:rFonts w:eastAsiaTheme="majorEastAsia"/>
          <w:lang w:eastAsia="en-US"/>
        </w:rPr>
        <w:t xml:space="preserve">Il est à noter que </w:t>
      </w:r>
      <w:r w:rsidR="008877D2">
        <w:rPr>
          <w:rFonts w:eastAsiaTheme="majorEastAsia"/>
          <w:lang w:eastAsia="en-US"/>
        </w:rPr>
        <w:t xml:space="preserve">pour la 1ère application de </w:t>
      </w:r>
      <w:r w:rsidRPr="00C16982">
        <w:rPr>
          <w:rFonts w:eastAsiaTheme="majorEastAsia"/>
          <w:lang w:eastAsia="en-US"/>
        </w:rPr>
        <w:t>la</w:t>
      </w:r>
      <w:r w:rsidR="00D36D51">
        <w:rPr>
          <w:rFonts w:eastAsiaTheme="majorEastAsia"/>
          <w:lang w:eastAsia="en-US"/>
        </w:rPr>
        <w:t xml:space="preserve"> </w:t>
      </w:r>
      <w:r w:rsidRPr="00C16982">
        <w:rPr>
          <w:rFonts w:eastAsiaTheme="majorEastAsia"/>
          <w:lang w:eastAsia="en-US"/>
        </w:rPr>
        <w:t>no</w:t>
      </w:r>
      <w:r w:rsidR="00D36D51">
        <w:rPr>
          <w:rFonts w:eastAsiaTheme="majorEastAsia"/>
          <w:lang w:eastAsia="en-US"/>
        </w:rPr>
        <w:t>r</w:t>
      </w:r>
      <w:r w:rsidRPr="00C16982">
        <w:rPr>
          <w:rFonts w:eastAsiaTheme="majorEastAsia"/>
          <w:lang w:eastAsia="en-US"/>
        </w:rPr>
        <w:t>me IFRS 16, les entités ayant renoncé à la mesure de simplification et souhait</w:t>
      </w:r>
      <w:r>
        <w:rPr>
          <w:rFonts w:eastAsiaTheme="majorEastAsia"/>
          <w:lang w:eastAsia="en-US"/>
        </w:rPr>
        <w:t>ant faire figurer de manière rétroactive les contrats déjà conclus peuvent choisir pour évaluer le droit d’utilisation </w:t>
      </w:r>
      <w:r w:rsidR="00E54473">
        <w:rPr>
          <w:rFonts w:eastAsiaTheme="majorEastAsia"/>
          <w:lang w:eastAsia="en-US"/>
        </w:rPr>
        <w:t xml:space="preserve">entre </w:t>
      </w:r>
      <w:r>
        <w:rPr>
          <w:rFonts w:eastAsiaTheme="majorEastAsia"/>
          <w:lang w:eastAsia="en-US"/>
        </w:rPr>
        <w:t>:</w:t>
      </w:r>
    </w:p>
    <w:p w:rsidR="00C16982" w:rsidRPr="00C16982" w:rsidRDefault="00C16982" w:rsidP="00C16982">
      <w:pPr>
        <w:pStyle w:val="liste2"/>
        <w:spacing w:before="60"/>
        <w:contextualSpacing/>
      </w:pPr>
      <w:proofErr w:type="gramStart"/>
      <w:r w:rsidRPr="00C16982">
        <w:t>la</w:t>
      </w:r>
      <w:proofErr w:type="gramEnd"/>
      <w:r w:rsidRPr="00C16982">
        <w:t xml:space="preserve"> valeur comptable de ce droit comme si la norme avait été appliquée depuis la date de prise d'effet du contrat de location</w:t>
      </w:r>
    </w:p>
    <w:p w:rsidR="00560F1A" w:rsidRDefault="00C16982" w:rsidP="00C16982">
      <w:pPr>
        <w:pStyle w:val="liste2"/>
        <w:spacing w:before="60"/>
        <w:contextualSpacing/>
      </w:pPr>
      <w:proofErr w:type="gramStart"/>
      <w:r w:rsidRPr="00C16982">
        <w:t>un</w:t>
      </w:r>
      <w:proofErr w:type="gramEnd"/>
      <w:r w:rsidRPr="00C16982">
        <w:t xml:space="preserve"> montant égal au passif locatif</w:t>
      </w:r>
    </w:p>
    <w:p w:rsidR="00ED2056" w:rsidRPr="00ED2056" w:rsidRDefault="00FC6307" w:rsidP="00ED2056">
      <w:pPr>
        <w:spacing w:before="120"/>
        <w:rPr>
          <w:rFonts w:eastAsiaTheme="majorEastAsia"/>
          <w:lang w:eastAsia="en-US"/>
        </w:rPr>
      </w:pPr>
      <w:r w:rsidRPr="00ED2056">
        <w:rPr>
          <w:rFonts w:eastAsiaTheme="majorEastAsia"/>
          <w:lang w:eastAsia="en-US"/>
        </w:rPr>
        <w:t xml:space="preserve">Les actifs comptabilisés au titre du droit d’utilisation </w:t>
      </w:r>
      <w:r w:rsidR="00ED2056" w:rsidRPr="00ED2056">
        <w:rPr>
          <w:rFonts w:eastAsiaTheme="majorEastAsia"/>
          <w:lang w:eastAsia="en-US"/>
        </w:rPr>
        <w:t>doivent figurer dans l’état de la situation financière ou dans les notes aux états financiers :</w:t>
      </w:r>
    </w:p>
    <w:p w:rsidR="00FC6307" w:rsidRDefault="00ED2056" w:rsidP="00ED2056">
      <w:pPr>
        <w:pStyle w:val="liste2"/>
        <w:spacing w:before="60"/>
        <w:contextualSpacing/>
      </w:pPr>
      <w:proofErr w:type="gramStart"/>
      <w:r>
        <w:t>soit</w:t>
      </w:r>
      <w:proofErr w:type="gramEnd"/>
      <w:r>
        <w:t xml:space="preserve"> séparément des autres actifs</w:t>
      </w:r>
    </w:p>
    <w:p w:rsidR="00ED2056" w:rsidRDefault="003534B9" w:rsidP="00ED2056">
      <w:pPr>
        <w:pStyle w:val="liste2"/>
        <w:spacing w:before="60"/>
        <w:contextualSpacing/>
      </w:pPr>
      <w:proofErr w:type="gramStart"/>
      <w:r>
        <w:t>soit</w:t>
      </w:r>
      <w:proofErr w:type="gramEnd"/>
      <w:r>
        <w:t xml:space="preserve"> dans les postes où</w:t>
      </w:r>
      <w:r w:rsidR="00ED2056">
        <w:t xml:space="preserve"> les actifs </w:t>
      </w:r>
      <w:r w:rsidR="003032E1">
        <w:t>sous-jacents</w:t>
      </w:r>
      <w:r w:rsidR="00ED2056">
        <w:t xml:space="preserve"> seraient présentés si le preneur en était propriétaire (avec mention des postes concernés)</w:t>
      </w:r>
    </w:p>
    <w:p w:rsidR="00FC6307" w:rsidRPr="00ED2056" w:rsidRDefault="00FC6307" w:rsidP="00ED2056">
      <w:pPr>
        <w:spacing w:before="120"/>
        <w:rPr>
          <w:rFonts w:eastAsiaTheme="majorEastAsia"/>
          <w:lang w:eastAsia="en-US"/>
        </w:rPr>
      </w:pPr>
    </w:p>
    <w:p w:rsidR="006402E9" w:rsidRDefault="006402E9" w:rsidP="00741B97">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Pr>
          <w:rFonts w:asciiTheme="minorHAnsi" w:eastAsiaTheme="majorEastAsia" w:hAnsiTheme="minorHAnsi" w:cstheme="majorBidi"/>
          <w:color w:val="000000" w:themeColor="text1"/>
          <w:sz w:val="24"/>
          <w:szCs w:val="32"/>
          <w:u w:val="single"/>
        </w:rPr>
        <w:t>Les contrats de location dans le compte de résultat</w:t>
      </w:r>
    </w:p>
    <w:p w:rsidR="006402E9" w:rsidRDefault="006402E9" w:rsidP="00ED2056">
      <w:pPr>
        <w:spacing w:before="120"/>
        <w:rPr>
          <w:rFonts w:eastAsiaTheme="majorEastAsia"/>
          <w:lang w:eastAsia="en-US"/>
        </w:rPr>
      </w:pPr>
    </w:p>
    <w:p w:rsidR="006402E9" w:rsidRDefault="006402E9" w:rsidP="006402E9">
      <w:pPr>
        <w:rPr>
          <w:rFonts w:eastAsiaTheme="majorEastAsia"/>
          <w:lang w:eastAsia="en-US"/>
        </w:rPr>
      </w:pPr>
      <w:r>
        <w:rPr>
          <w:rFonts w:eastAsiaTheme="majorEastAsia"/>
          <w:lang w:eastAsia="en-US"/>
        </w:rPr>
        <w:t>Les contrats de location sont appréhendés dans le compte de résultat par :</w:t>
      </w:r>
    </w:p>
    <w:p w:rsidR="006402E9" w:rsidRPr="00BF3975" w:rsidRDefault="006402E9" w:rsidP="00BF3975">
      <w:pPr>
        <w:pStyle w:val="liste2"/>
        <w:spacing w:before="60"/>
        <w:contextualSpacing/>
      </w:pPr>
      <w:proofErr w:type="gramStart"/>
      <w:r w:rsidRPr="00BF3975">
        <w:t>une</w:t>
      </w:r>
      <w:proofErr w:type="gramEnd"/>
      <w:r w:rsidRPr="00BF3975">
        <w:t xml:space="preserve"> </w:t>
      </w:r>
      <w:r w:rsidRPr="006C56D0">
        <w:rPr>
          <w:b/>
        </w:rPr>
        <w:t>dotation aux amortissement</w:t>
      </w:r>
      <w:r w:rsidR="008E5A01" w:rsidRPr="006C56D0">
        <w:rPr>
          <w:b/>
        </w:rPr>
        <w:t>s</w:t>
      </w:r>
      <w:r w:rsidRPr="00BF3975">
        <w:t xml:space="preserve"> du droit d’utilisation </w:t>
      </w:r>
    </w:p>
    <w:p w:rsidR="006402E9" w:rsidRDefault="006402E9" w:rsidP="00BF3975">
      <w:pPr>
        <w:pStyle w:val="liste2"/>
        <w:spacing w:before="60"/>
        <w:contextualSpacing/>
      </w:pPr>
      <w:r w:rsidRPr="00BF3975">
        <w:t xml:space="preserve">les </w:t>
      </w:r>
      <w:r w:rsidRPr="006C56D0">
        <w:rPr>
          <w:b/>
        </w:rPr>
        <w:t>intérêts</w:t>
      </w:r>
      <w:r w:rsidRPr="00BF3975">
        <w:t xml:space="preserve"> d</w:t>
      </w:r>
      <w:r w:rsidR="008A1D85">
        <w:t>u</w:t>
      </w:r>
      <w:r w:rsidRPr="00BF3975">
        <w:t xml:space="preserve">s au titre du passif locatif (dont le montant correspond au produit du solde du passif locatif et du taux </w:t>
      </w:r>
      <w:r w:rsidR="00BF3975" w:rsidRPr="00BF3975">
        <w:t>retenu pour l’actualisation)</w:t>
      </w:r>
    </w:p>
    <w:p w:rsidR="00C16982" w:rsidRPr="00ED2056" w:rsidRDefault="00C16982" w:rsidP="00ED2056">
      <w:pPr>
        <w:spacing w:before="120"/>
        <w:rPr>
          <w:rFonts w:eastAsiaTheme="majorEastAsia"/>
          <w:lang w:eastAsia="en-US"/>
        </w:rPr>
      </w:pPr>
    </w:p>
    <w:p w:rsidR="00741B97" w:rsidRPr="00B50390" w:rsidRDefault="00741B97" w:rsidP="00741B97">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Pr>
          <w:rFonts w:asciiTheme="minorHAnsi" w:eastAsiaTheme="majorEastAsia" w:hAnsiTheme="minorHAnsi" w:cstheme="majorBidi"/>
          <w:color w:val="000000" w:themeColor="text1"/>
          <w:sz w:val="24"/>
          <w:szCs w:val="32"/>
          <w:u w:val="single"/>
        </w:rPr>
        <w:lastRenderedPageBreak/>
        <w:t>Impact sur les états financiers</w:t>
      </w:r>
    </w:p>
    <w:p w:rsidR="00ED2056" w:rsidRDefault="00ED2056" w:rsidP="00766C84">
      <w:pPr>
        <w:spacing w:before="120"/>
        <w:rPr>
          <w:rFonts w:eastAsiaTheme="majorEastAsia"/>
          <w:lang w:eastAsia="en-US"/>
        </w:rPr>
      </w:pPr>
    </w:p>
    <w:p w:rsidR="00741B97" w:rsidRPr="00766C84" w:rsidRDefault="00741B97" w:rsidP="00766C84">
      <w:pPr>
        <w:spacing w:before="120"/>
        <w:rPr>
          <w:rFonts w:eastAsiaTheme="majorEastAsia"/>
          <w:lang w:eastAsia="en-US"/>
        </w:rPr>
      </w:pPr>
      <w:r w:rsidRPr="00766C84">
        <w:rPr>
          <w:rFonts w:eastAsiaTheme="majorEastAsia"/>
          <w:lang w:eastAsia="en-US"/>
        </w:rPr>
        <w:t>Avec IFRS 16 :</w:t>
      </w:r>
    </w:p>
    <w:p w:rsidR="00741B97" w:rsidRDefault="00741B97" w:rsidP="00766C84">
      <w:pPr>
        <w:pStyle w:val="liste2"/>
        <w:spacing w:before="60"/>
        <w:ind w:left="851" w:hanging="284"/>
        <w:contextualSpacing/>
      </w:pPr>
      <w:proofErr w:type="gramStart"/>
      <w:r>
        <w:t>le</w:t>
      </w:r>
      <w:proofErr w:type="gramEnd"/>
      <w:r>
        <w:t xml:space="preserve"> total du bilan progresse par la constatation à l’actif du droit d’utilisation (qui sera progressivement amorti) et au passif de la dette vis-à-vis du bailleur (qui sera progressivement remboursée).</w:t>
      </w:r>
    </w:p>
    <w:p w:rsidR="00045A6F" w:rsidRDefault="00741B97" w:rsidP="00766C84">
      <w:pPr>
        <w:pStyle w:val="liste2"/>
        <w:spacing w:before="60"/>
        <w:ind w:left="851" w:hanging="284"/>
        <w:contextualSpacing/>
      </w:pPr>
      <w:proofErr w:type="gramStart"/>
      <w:r>
        <w:t>un</w:t>
      </w:r>
      <w:proofErr w:type="gramEnd"/>
      <w:r>
        <w:t xml:space="preserve"> amortissement</w:t>
      </w:r>
      <w:r w:rsidR="00045A6F">
        <w:t xml:space="preserve"> (du droit d’utilisation) et des charges d’intérêt (de la dette) sont à constater en lieu et place de la charge de loyers. </w:t>
      </w:r>
    </w:p>
    <w:p w:rsidR="00766C84" w:rsidRDefault="00045A6F" w:rsidP="00766C84">
      <w:pPr>
        <w:spacing w:before="120"/>
        <w:rPr>
          <w:rFonts w:eastAsiaTheme="majorEastAsia"/>
          <w:lang w:eastAsia="en-US"/>
        </w:rPr>
      </w:pPr>
      <w:r w:rsidRPr="00766C84">
        <w:rPr>
          <w:rFonts w:eastAsiaTheme="majorEastAsia"/>
          <w:lang w:eastAsia="en-US"/>
        </w:rPr>
        <w:t xml:space="preserve">En conséquence, les </w:t>
      </w:r>
      <w:r w:rsidRPr="006C56D0">
        <w:rPr>
          <w:rFonts w:eastAsiaTheme="majorEastAsia"/>
          <w:b/>
          <w:color w:val="000000" w:themeColor="text1"/>
          <w:lang w:eastAsia="en-US"/>
        </w:rPr>
        <w:t>indicateurs</w:t>
      </w:r>
      <w:r w:rsidRPr="00766C84">
        <w:rPr>
          <w:rFonts w:eastAsiaTheme="majorEastAsia"/>
          <w:lang w:eastAsia="en-US"/>
        </w:rPr>
        <w:t xml:space="preserve"> et </w:t>
      </w:r>
      <w:r w:rsidRPr="006C56D0">
        <w:rPr>
          <w:rFonts w:eastAsiaTheme="majorEastAsia"/>
          <w:b/>
          <w:lang w:eastAsia="en-US"/>
        </w:rPr>
        <w:t>ratios</w:t>
      </w:r>
      <w:r w:rsidRPr="00766C84">
        <w:rPr>
          <w:rFonts w:eastAsiaTheme="majorEastAsia"/>
          <w:lang w:eastAsia="en-US"/>
        </w:rPr>
        <w:t xml:space="preserve"> financiers sont amenés à </w:t>
      </w:r>
      <w:r w:rsidRPr="006C56D0">
        <w:rPr>
          <w:rFonts w:eastAsiaTheme="majorEastAsia"/>
          <w:b/>
          <w:lang w:eastAsia="en-US"/>
        </w:rPr>
        <w:t>évoluer</w:t>
      </w:r>
      <w:r w:rsidRPr="00766C84">
        <w:rPr>
          <w:rFonts w:eastAsiaTheme="majorEastAsia"/>
          <w:lang w:eastAsia="en-US"/>
        </w:rPr>
        <w:t xml:space="preserve"> dans leur montant (ratio d’endettement, résultat opérationnel, résultat financier, flux de trésorerie d’exploitation et </w:t>
      </w:r>
      <w:r w:rsidR="00BF3975">
        <w:rPr>
          <w:rFonts w:eastAsiaTheme="majorEastAsia"/>
          <w:lang w:eastAsia="en-US"/>
        </w:rPr>
        <w:t xml:space="preserve">de </w:t>
      </w:r>
      <w:r w:rsidRPr="00766C84">
        <w:rPr>
          <w:rFonts w:eastAsiaTheme="majorEastAsia"/>
          <w:lang w:eastAsia="en-US"/>
        </w:rPr>
        <w:t>financ</w:t>
      </w:r>
      <w:r w:rsidR="00BF3975">
        <w:rPr>
          <w:rFonts w:eastAsiaTheme="majorEastAsia"/>
          <w:lang w:eastAsia="en-US"/>
        </w:rPr>
        <w:t>ement</w:t>
      </w:r>
      <w:r w:rsidRPr="00766C84">
        <w:rPr>
          <w:rFonts w:eastAsiaTheme="majorEastAsia"/>
          <w:lang w:eastAsia="en-US"/>
        </w:rPr>
        <w:t xml:space="preserve">, etc.).  </w:t>
      </w:r>
    </w:p>
    <w:p w:rsidR="00045A6F" w:rsidRDefault="00045A6F" w:rsidP="00766C84">
      <w:pPr>
        <w:spacing w:before="120"/>
        <w:rPr>
          <w:rFonts w:eastAsiaTheme="majorEastAsia"/>
          <w:lang w:eastAsia="en-US"/>
        </w:rPr>
      </w:pPr>
      <w:r w:rsidRPr="00766C84">
        <w:rPr>
          <w:rFonts w:eastAsiaTheme="majorEastAsia"/>
          <w:lang w:eastAsia="en-US"/>
        </w:rPr>
        <w:t xml:space="preserve">Il est </w:t>
      </w:r>
      <w:r w:rsidR="00766C84">
        <w:rPr>
          <w:rFonts w:eastAsiaTheme="majorEastAsia"/>
          <w:lang w:eastAsia="en-US"/>
        </w:rPr>
        <w:t xml:space="preserve">également </w:t>
      </w:r>
      <w:r w:rsidRPr="00766C84">
        <w:rPr>
          <w:rFonts w:eastAsiaTheme="majorEastAsia"/>
          <w:lang w:eastAsia="en-US"/>
        </w:rPr>
        <w:t xml:space="preserve">à noter que la charge de loyer souvent </w:t>
      </w:r>
      <w:r w:rsidRPr="006C56D0">
        <w:rPr>
          <w:rFonts w:eastAsiaTheme="majorEastAsia"/>
          <w:b/>
          <w:lang w:eastAsia="en-US"/>
        </w:rPr>
        <w:t>constante</w:t>
      </w:r>
      <w:r w:rsidRPr="00766C84">
        <w:rPr>
          <w:rFonts w:eastAsiaTheme="majorEastAsia"/>
          <w:lang w:eastAsia="en-US"/>
        </w:rPr>
        <w:t xml:space="preserve"> est remplacée par une charge cumulée d’amortissement et d’intérêt</w:t>
      </w:r>
      <w:r w:rsidR="006C56D0">
        <w:rPr>
          <w:rFonts w:eastAsiaTheme="majorEastAsia"/>
          <w:lang w:eastAsia="en-US"/>
        </w:rPr>
        <w:t xml:space="preserve"> qui pourra être </w:t>
      </w:r>
      <w:r w:rsidR="006C56D0" w:rsidRPr="006C56D0">
        <w:rPr>
          <w:rFonts w:eastAsiaTheme="majorEastAsia"/>
          <w:b/>
          <w:lang w:eastAsia="en-US"/>
        </w:rPr>
        <w:t>dégressive</w:t>
      </w:r>
      <w:r w:rsidR="006C56D0">
        <w:rPr>
          <w:rFonts w:eastAsiaTheme="majorEastAsia"/>
          <w:lang w:eastAsia="en-US"/>
        </w:rPr>
        <w:t>.</w:t>
      </w:r>
    </w:p>
    <w:p w:rsidR="00CB6BFB" w:rsidRPr="00ED2056" w:rsidRDefault="00CB6BFB" w:rsidP="00CB6BFB">
      <w:pPr>
        <w:spacing w:before="120"/>
        <w:rPr>
          <w:rFonts w:eastAsiaTheme="majorEastAsia"/>
          <w:lang w:eastAsia="en-US"/>
        </w:rPr>
      </w:pPr>
    </w:p>
    <w:p w:rsidR="00CB6BFB" w:rsidRPr="00B50390" w:rsidRDefault="00CB6BFB" w:rsidP="00CB6BFB">
      <w:pPr>
        <w:pStyle w:val="Titre1"/>
        <w:keepNext/>
        <w:keepLines/>
        <w:numPr>
          <w:ilvl w:val="0"/>
          <w:numId w:val="6"/>
        </w:numPr>
        <w:pBdr>
          <w:top w:val="none" w:sz="0" w:space="0" w:color="auto"/>
          <w:bottom w:val="none" w:sz="0" w:space="0" w:color="auto"/>
        </w:pBdr>
        <w:shd w:val="clear" w:color="auto" w:fill="auto"/>
        <w:spacing w:before="240" w:after="0"/>
        <w:ind w:left="284" w:hanging="284"/>
        <w:rPr>
          <w:rFonts w:asciiTheme="minorHAnsi" w:eastAsiaTheme="majorEastAsia" w:hAnsiTheme="minorHAnsi" w:cstheme="majorBidi"/>
          <w:color w:val="000000" w:themeColor="text1"/>
          <w:sz w:val="24"/>
          <w:szCs w:val="32"/>
          <w:u w:val="single"/>
        </w:rPr>
      </w:pPr>
      <w:r>
        <w:rPr>
          <w:rFonts w:asciiTheme="minorHAnsi" w:eastAsiaTheme="majorEastAsia" w:hAnsiTheme="minorHAnsi" w:cstheme="majorBidi"/>
          <w:color w:val="000000" w:themeColor="text1"/>
          <w:sz w:val="24"/>
          <w:szCs w:val="32"/>
          <w:u w:val="single"/>
        </w:rPr>
        <w:t>Exemple</w:t>
      </w:r>
    </w:p>
    <w:p w:rsidR="001A3F17" w:rsidRDefault="001A3F17" w:rsidP="00CB6BFB">
      <w:pPr>
        <w:spacing w:before="120"/>
        <w:rPr>
          <w:rFonts w:eastAsiaTheme="majorEastAsia"/>
          <w:lang w:eastAsia="en-US"/>
        </w:rPr>
      </w:pPr>
    </w:p>
    <w:p w:rsidR="007007C7" w:rsidRDefault="007007C7" w:rsidP="00CB6BFB">
      <w:pPr>
        <w:spacing w:before="120"/>
        <w:rPr>
          <w:rFonts w:eastAsiaTheme="majorEastAsia"/>
          <w:lang w:eastAsia="en-US"/>
        </w:rPr>
      </w:pPr>
      <w:r>
        <w:rPr>
          <w:rFonts w:eastAsiaTheme="majorEastAsia"/>
          <w:lang w:eastAsia="en-US"/>
        </w:rPr>
        <w:t>Un preneur signe le 1/1/N un contrat portant sur la location d’une machine d’imprimerie avec les caractéristiques suivantes :</w:t>
      </w:r>
    </w:p>
    <w:p w:rsidR="007007C7" w:rsidRPr="007007C7" w:rsidRDefault="007007C7" w:rsidP="007007C7">
      <w:pPr>
        <w:pStyle w:val="liste2"/>
        <w:spacing w:before="60"/>
        <w:ind w:left="851" w:hanging="284"/>
        <w:contextualSpacing/>
      </w:pPr>
      <w:proofErr w:type="gramStart"/>
      <w:r w:rsidRPr="007007C7">
        <w:t>contrat</w:t>
      </w:r>
      <w:proofErr w:type="gramEnd"/>
      <w:r w:rsidRPr="007007C7">
        <w:t xml:space="preserve"> d’une durée de 5 ans</w:t>
      </w:r>
    </w:p>
    <w:p w:rsidR="007007C7" w:rsidRPr="007007C7" w:rsidRDefault="007007C7" w:rsidP="007007C7">
      <w:pPr>
        <w:pStyle w:val="liste2"/>
        <w:spacing w:before="60"/>
        <w:ind w:left="851" w:hanging="284"/>
        <w:contextualSpacing/>
      </w:pPr>
      <w:proofErr w:type="gramStart"/>
      <w:r w:rsidRPr="007007C7">
        <w:t>loyer</w:t>
      </w:r>
      <w:proofErr w:type="gramEnd"/>
      <w:r w:rsidRPr="007007C7">
        <w:t xml:space="preserve"> annuel payable à terme échu de 70 000 €</w:t>
      </w:r>
    </w:p>
    <w:p w:rsidR="001A3F17" w:rsidRDefault="001A3F17" w:rsidP="001A3F17">
      <w:pPr>
        <w:spacing w:before="120"/>
        <w:rPr>
          <w:rFonts w:eastAsiaTheme="majorEastAsia"/>
          <w:lang w:eastAsia="en-US"/>
        </w:rPr>
      </w:pPr>
      <w:r>
        <w:rPr>
          <w:rFonts w:eastAsiaTheme="majorEastAsia"/>
          <w:lang w:eastAsia="en-US"/>
        </w:rPr>
        <w:t>Par ailleurs le preneur a engagé des co</w:t>
      </w:r>
      <w:r w:rsidR="008A1D85">
        <w:rPr>
          <w:rFonts w:eastAsiaTheme="majorEastAsia"/>
          <w:lang w:eastAsia="en-US"/>
        </w:rPr>
        <w:t>û</w:t>
      </w:r>
      <w:r>
        <w:rPr>
          <w:rFonts w:eastAsiaTheme="majorEastAsia"/>
          <w:lang w:eastAsia="en-US"/>
        </w:rPr>
        <w:t>ts initiaux à hauteur de 5 000 €</w:t>
      </w:r>
    </w:p>
    <w:p w:rsidR="007007C7" w:rsidRDefault="007007C7" w:rsidP="00CB6BFB">
      <w:pPr>
        <w:spacing w:before="120"/>
        <w:rPr>
          <w:rFonts w:eastAsiaTheme="majorEastAsia"/>
          <w:lang w:eastAsia="en-US"/>
        </w:rPr>
      </w:pPr>
      <w:r>
        <w:rPr>
          <w:rFonts w:eastAsiaTheme="majorEastAsia"/>
          <w:lang w:eastAsia="en-US"/>
        </w:rPr>
        <w:t>Le taux d’intérêt implicite du contrat est de 3%</w:t>
      </w:r>
    </w:p>
    <w:p w:rsidR="001A3F17" w:rsidRPr="006402E9" w:rsidRDefault="001A3F17" w:rsidP="001A3F17">
      <w:pPr>
        <w:spacing w:before="120"/>
      </w:pPr>
      <w:r>
        <w:rPr>
          <w:rFonts w:eastAsiaTheme="majorEastAsia"/>
          <w:lang w:eastAsia="en-US"/>
        </w:rPr>
        <w:t>Le droit d’utilisation sera amorti sur le mode linéaire sur 5 ans</w:t>
      </w:r>
    </w:p>
    <w:p w:rsidR="001A3F17" w:rsidRDefault="001A3F17" w:rsidP="00CB6BFB">
      <w:pPr>
        <w:spacing w:before="120"/>
        <w:rPr>
          <w:rFonts w:eastAsiaTheme="majorEastAsia"/>
          <w:lang w:eastAsia="en-US"/>
        </w:rPr>
      </w:pPr>
    </w:p>
    <w:p w:rsidR="007007C7" w:rsidRDefault="00D36D51" w:rsidP="00D36D51">
      <w:pPr>
        <w:pStyle w:val="Paragraphedeliste"/>
        <w:numPr>
          <w:ilvl w:val="0"/>
          <w:numId w:val="36"/>
        </w:numPr>
        <w:spacing w:before="120" w:line="360" w:lineRule="auto"/>
        <w:ind w:left="284" w:hanging="284"/>
        <w:rPr>
          <w:rFonts w:eastAsiaTheme="majorEastAsia"/>
        </w:rPr>
      </w:pPr>
      <w:r w:rsidRPr="00D36D51">
        <w:rPr>
          <w:rFonts w:eastAsiaTheme="majorEastAsia"/>
        </w:rPr>
        <w:t>É</w:t>
      </w:r>
      <w:r w:rsidR="007007C7" w:rsidRPr="001A3F17">
        <w:rPr>
          <w:rFonts w:eastAsiaTheme="majorEastAsia"/>
        </w:rPr>
        <w:t>valuation du passif locatif :</w:t>
      </w:r>
      <w:r w:rsidR="001A3F17">
        <w:rPr>
          <w:rFonts w:eastAsiaTheme="majorEastAsia"/>
        </w:rPr>
        <w:t xml:space="preserve"> 70 000 x (1 – 1,03</w:t>
      </w:r>
      <w:r w:rsidR="001A3F17" w:rsidRPr="005C2389">
        <w:rPr>
          <w:rFonts w:eastAsiaTheme="majorEastAsia"/>
          <w:vertAlign w:val="superscript"/>
        </w:rPr>
        <w:t>-5</w:t>
      </w:r>
      <w:r w:rsidR="001A3F17">
        <w:rPr>
          <w:rFonts w:eastAsiaTheme="majorEastAsia"/>
        </w:rPr>
        <w:t>) / 0,03 = 32</w:t>
      </w:r>
      <w:r>
        <w:rPr>
          <w:rFonts w:eastAsiaTheme="majorEastAsia"/>
        </w:rPr>
        <w:t>0</w:t>
      </w:r>
      <w:r w:rsidR="001A3F17">
        <w:rPr>
          <w:rFonts w:eastAsiaTheme="majorEastAsia"/>
        </w:rPr>
        <w:t> 580 €</w:t>
      </w:r>
    </w:p>
    <w:p w:rsidR="001A3F17" w:rsidRDefault="00D36D51" w:rsidP="00D36D51">
      <w:pPr>
        <w:pStyle w:val="Paragraphedeliste"/>
        <w:numPr>
          <w:ilvl w:val="0"/>
          <w:numId w:val="36"/>
        </w:numPr>
        <w:spacing w:before="120" w:line="360" w:lineRule="auto"/>
        <w:ind w:left="284" w:hanging="284"/>
        <w:rPr>
          <w:rFonts w:eastAsiaTheme="majorEastAsia"/>
        </w:rPr>
      </w:pPr>
      <w:r w:rsidRPr="00D36D51">
        <w:rPr>
          <w:rFonts w:eastAsiaTheme="majorEastAsia"/>
        </w:rPr>
        <w:t>É</w:t>
      </w:r>
      <w:r w:rsidR="001A3F17" w:rsidRPr="001A3F17">
        <w:rPr>
          <w:rFonts w:eastAsiaTheme="majorEastAsia"/>
        </w:rPr>
        <w:t xml:space="preserve">valuation du </w:t>
      </w:r>
      <w:r w:rsidR="001A3F17">
        <w:rPr>
          <w:rFonts w:eastAsiaTheme="majorEastAsia"/>
        </w:rPr>
        <w:t>droit d’utilisation</w:t>
      </w:r>
      <w:r w:rsidR="001A3F17" w:rsidRPr="001A3F17">
        <w:rPr>
          <w:rFonts w:eastAsiaTheme="majorEastAsia"/>
        </w:rPr>
        <w:t> :</w:t>
      </w:r>
      <w:r>
        <w:rPr>
          <w:rFonts w:eastAsiaTheme="majorEastAsia"/>
        </w:rPr>
        <w:t xml:space="preserve"> </w:t>
      </w:r>
      <w:r w:rsidR="001A3F17">
        <w:rPr>
          <w:rFonts w:eastAsiaTheme="majorEastAsia"/>
        </w:rPr>
        <w:t>32</w:t>
      </w:r>
      <w:r>
        <w:rPr>
          <w:rFonts w:eastAsiaTheme="majorEastAsia"/>
        </w:rPr>
        <w:t>0</w:t>
      </w:r>
      <w:r w:rsidR="001A3F17">
        <w:rPr>
          <w:rFonts w:eastAsiaTheme="majorEastAsia"/>
        </w:rPr>
        <w:t> 580 + 5 000 = 325 580 €</w:t>
      </w:r>
    </w:p>
    <w:p w:rsidR="00F158DA" w:rsidRDefault="00F158DA" w:rsidP="00D36D51">
      <w:pPr>
        <w:pStyle w:val="Paragraphedeliste"/>
        <w:numPr>
          <w:ilvl w:val="0"/>
          <w:numId w:val="36"/>
        </w:numPr>
        <w:spacing w:before="120" w:line="360" w:lineRule="auto"/>
        <w:ind w:left="284" w:hanging="284"/>
        <w:rPr>
          <w:rFonts w:eastAsiaTheme="majorEastAsia"/>
        </w:rPr>
      </w:pPr>
      <w:r>
        <w:rPr>
          <w:rFonts w:eastAsiaTheme="majorEastAsia"/>
        </w:rPr>
        <w:t>Dotation annuelle aux amortissement</w:t>
      </w:r>
      <w:r w:rsidR="00D36D51">
        <w:rPr>
          <w:rFonts w:eastAsiaTheme="majorEastAsia"/>
        </w:rPr>
        <w:t xml:space="preserve">s </w:t>
      </w:r>
      <w:r>
        <w:rPr>
          <w:rFonts w:eastAsiaTheme="majorEastAsia"/>
        </w:rPr>
        <w:t>du droit d’utilisation : 325 580 / 5 = 65 116 €</w:t>
      </w:r>
    </w:p>
    <w:p w:rsidR="001A3F17" w:rsidRDefault="001A3F17" w:rsidP="00D36D51">
      <w:pPr>
        <w:pStyle w:val="Paragraphedeliste"/>
        <w:numPr>
          <w:ilvl w:val="0"/>
          <w:numId w:val="36"/>
        </w:numPr>
        <w:spacing w:before="120" w:line="360" w:lineRule="auto"/>
        <w:ind w:left="284" w:hanging="284"/>
        <w:rPr>
          <w:rFonts w:eastAsiaTheme="majorEastAsia"/>
        </w:rPr>
      </w:pPr>
      <w:r>
        <w:rPr>
          <w:rFonts w:eastAsiaTheme="majorEastAsia"/>
        </w:rPr>
        <w:t>Tableau d’amortissement du passif locatif</w:t>
      </w:r>
      <w:r w:rsidR="00D36D51">
        <w:rPr>
          <w:rFonts w:eastAsiaTheme="majorEastAsia"/>
        </w:rPr>
        <w:t> :</w:t>
      </w:r>
    </w:p>
    <w:tbl>
      <w:tblPr>
        <w:tblW w:w="9082" w:type="dxa"/>
        <w:tblInd w:w="60" w:type="dxa"/>
        <w:tblCellMar>
          <w:left w:w="70" w:type="dxa"/>
          <w:right w:w="70" w:type="dxa"/>
        </w:tblCellMar>
        <w:tblLook w:val="04A0" w:firstRow="1" w:lastRow="0" w:firstColumn="1" w:lastColumn="0" w:noHBand="0" w:noVBand="1"/>
      </w:tblPr>
      <w:tblGrid>
        <w:gridCol w:w="1816"/>
        <w:gridCol w:w="1816"/>
        <w:gridCol w:w="1817"/>
        <w:gridCol w:w="1816"/>
        <w:gridCol w:w="1817"/>
      </w:tblGrid>
      <w:tr w:rsidR="00A26880" w:rsidRPr="00A26880" w:rsidTr="00A26880">
        <w:trPr>
          <w:trHeight w:val="600"/>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0" w:rsidRPr="00A26880" w:rsidRDefault="00D36D51" w:rsidP="00A26880">
            <w:pPr>
              <w:jc w:val="center"/>
              <w:rPr>
                <w:rFonts w:eastAsiaTheme="majorEastAsia"/>
                <w:sz w:val="20"/>
                <w:lang w:eastAsia="en-US"/>
              </w:rPr>
            </w:pPr>
            <w:r w:rsidRPr="00D36D51">
              <w:rPr>
                <w:rFonts w:eastAsiaTheme="majorEastAsia"/>
                <w:sz w:val="20"/>
                <w:lang w:eastAsia="en-US"/>
              </w:rPr>
              <w:t>É</w:t>
            </w:r>
            <w:r w:rsidR="00A26880" w:rsidRPr="00A26880">
              <w:rPr>
                <w:rFonts w:eastAsiaTheme="majorEastAsia"/>
                <w:sz w:val="20"/>
                <w:lang w:eastAsia="en-US"/>
              </w:rPr>
              <w:t>chéance</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Dette avant échéance</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Loyer</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Intérêt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Remboursement dette</w:t>
            </w:r>
          </w:p>
        </w:tc>
      </w:tr>
      <w:tr w:rsidR="00A26880" w:rsidRPr="00A26880" w:rsidTr="00A26880">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320 580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70 000   </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9 617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60 383   </w:t>
            </w:r>
          </w:p>
        </w:tc>
      </w:tr>
      <w:tr w:rsidR="00A26880" w:rsidRPr="00A26880" w:rsidTr="00A26880">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31/12/N+1</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260 197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70 000   </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7 806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62 194   </w:t>
            </w:r>
          </w:p>
        </w:tc>
      </w:tr>
      <w:tr w:rsidR="00A26880" w:rsidRPr="00A26880" w:rsidTr="00A26880">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31/12/N+2</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198 003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70 000   </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5 940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64 060   </w:t>
            </w:r>
          </w:p>
        </w:tc>
      </w:tr>
      <w:tr w:rsidR="00A26880" w:rsidRPr="00A26880" w:rsidTr="00A26880">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31/12/N+3</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133 943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70 000   </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4 018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65 982   </w:t>
            </w:r>
          </w:p>
        </w:tc>
      </w:tr>
      <w:tr w:rsidR="00A26880" w:rsidRPr="00A26880" w:rsidTr="00A26880">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31/12/N+4</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67 961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70 000   </w:t>
            </w:r>
          </w:p>
        </w:tc>
        <w:tc>
          <w:tcPr>
            <w:tcW w:w="1816"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2 039   </w:t>
            </w:r>
          </w:p>
        </w:tc>
        <w:tc>
          <w:tcPr>
            <w:tcW w:w="1817"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67 961   </w:t>
            </w:r>
          </w:p>
        </w:tc>
      </w:tr>
    </w:tbl>
    <w:p w:rsidR="00A26880" w:rsidRDefault="00A26880">
      <w:pPr>
        <w:jc w:val="left"/>
        <w:rPr>
          <w:rFonts w:asciiTheme="minorHAnsi" w:eastAsiaTheme="majorEastAsia" w:hAnsiTheme="minorHAnsi" w:cstheme="minorBidi"/>
          <w:szCs w:val="22"/>
          <w:lang w:eastAsia="en-US"/>
        </w:rPr>
      </w:pPr>
    </w:p>
    <w:p w:rsidR="00D36D51" w:rsidRDefault="00D36D51">
      <w:pPr>
        <w:jc w:val="left"/>
        <w:rPr>
          <w:rFonts w:asciiTheme="minorHAnsi" w:eastAsiaTheme="majorEastAsia" w:hAnsiTheme="minorHAnsi" w:cstheme="minorBidi"/>
          <w:szCs w:val="22"/>
          <w:lang w:eastAsia="en-US"/>
        </w:rPr>
      </w:pPr>
      <w:r>
        <w:rPr>
          <w:rFonts w:eastAsiaTheme="majorEastAsia"/>
        </w:rPr>
        <w:br w:type="page"/>
      </w:r>
    </w:p>
    <w:p w:rsidR="00A26880" w:rsidRDefault="00D36D51" w:rsidP="00A26880">
      <w:pPr>
        <w:pStyle w:val="Paragraphedeliste"/>
        <w:numPr>
          <w:ilvl w:val="0"/>
          <w:numId w:val="36"/>
        </w:numPr>
        <w:spacing w:before="120"/>
        <w:ind w:left="284" w:hanging="284"/>
        <w:rPr>
          <w:rFonts w:eastAsiaTheme="majorEastAsia"/>
        </w:rPr>
      </w:pPr>
      <w:r w:rsidRPr="00D36D51">
        <w:rPr>
          <w:rFonts w:eastAsiaTheme="majorEastAsia"/>
        </w:rPr>
        <w:lastRenderedPageBreak/>
        <w:t>É</w:t>
      </w:r>
      <w:r w:rsidR="00A26880">
        <w:rPr>
          <w:rFonts w:eastAsiaTheme="majorEastAsia"/>
        </w:rPr>
        <w:t>volution du bilan</w:t>
      </w:r>
    </w:p>
    <w:tbl>
      <w:tblPr>
        <w:tblW w:w="7240" w:type="dxa"/>
        <w:tblInd w:w="60" w:type="dxa"/>
        <w:tblLayout w:type="fixed"/>
        <w:tblCellMar>
          <w:left w:w="70" w:type="dxa"/>
          <w:right w:w="70" w:type="dxa"/>
        </w:tblCellMar>
        <w:tblLook w:val="04A0" w:firstRow="1" w:lastRow="0" w:firstColumn="1" w:lastColumn="0" w:noHBand="0" w:noVBand="1"/>
      </w:tblPr>
      <w:tblGrid>
        <w:gridCol w:w="2137"/>
        <w:gridCol w:w="2551"/>
        <w:gridCol w:w="2552"/>
      </w:tblGrid>
      <w:tr w:rsidR="00A26880" w:rsidRPr="00A26880" w:rsidTr="00D36D51">
        <w:trPr>
          <w:trHeight w:val="596"/>
        </w:trPr>
        <w:tc>
          <w:tcPr>
            <w:tcW w:w="2137"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Actif : droit d'utilisation (valeur nette)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Passif locatif</w:t>
            </w:r>
          </w:p>
        </w:tc>
      </w:tr>
      <w:tr w:rsidR="00A26880" w:rsidRPr="00A26880" w:rsidTr="00D36D51">
        <w:trPr>
          <w:trHeight w:val="122"/>
        </w:trPr>
        <w:tc>
          <w:tcPr>
            <w:tcW w:w="2137"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6"/>
              </w:rPr>
            </w:pPr>
          </w:p>
        </w:tc>
        <w:tc>
          <w:tcPr>
            <w:tcW w:w="2551"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6"/>
              </w:rPr>
            </w:pPr>
          </w:p>
        </w:tc>
        <w:tc>
          <w:tcPr>
            <w:tcW w:w="2552"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6"/>
              </w:rPr>
            </w:pPr>
          </w:p>
        </w:tc>
      </w:tr>
      <w:tr w:rsidR="00A26880" w:rsidRPr="00A26880" w:rsidTr="00D36D51">
        <w:trPr>
          <w:trHeight w:val="300"/>
        </w:trPr>
        <w:tc>
          <w:tcPr>
            <w:tcW w:w="2137"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20"/>
              </w:rPr>
            </w:pPr>
            <w:r w:rsidRPr="007D07E1">
              <w:rPr>
                <w:rFonts w:cs="Calibri"/>
                <w:color w:val="000000"/>
                <w:sz w:val="18"/>
              </w:rPr>
              <w:t xml:space="preserve"> Pour information </w:t>
            </w:r>
            <w:r w:rsidRPr="00A26880">
              <w:rPr>
                <w:rFonts w:cs="Calibri"/>
                <w:color w:val="000000"/>
                <w:sz w:val="18"/>
              </w:rPr>
              <w:t>1/1/N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325 580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320 580   </w:t>
            </w:r>
          </w:p>
        </w:tc>
      </w:tr>
      <w:tr w:rsidR="00A26880" w:rsidRPr="00A26880" w:rsidTr="00D36D51">
        <w:trPr>
          <w:trHeight w:val="202"/>
        </w:trPr>
        <w:tc>
          <w:tcPr>
            <w:tcW w:w="2137" w:type="dxa"/>
            <w:tcBorders>
              <w:top w:val="nil"/>
              <w:left w:val="nil"/>
              <w:bottom w:val="nil"/>
              <w:right w:val="nil"/>
            </w:tcBorders>
            <w:shd w:val="clear" w:color="auto" w:fill="auto"/>
            <w:vAlign w:val="center"/>
            <w:hideMark/>
          </w:tcPr>
          <w:p w:rsidR="00A26880" w:rsidRPr="00A26880" w:rsidRDefault="00A26880" w:rsidP="00A26880">
            <w:pPr>
              <w:jc w:val="center"/>
              <w:rPr>
                <w:rFonts w:cs="Calibri"/>
                <w:color w:val="000000"/>
                <w:sz w:val="8"/>
              </w:rPr>
            </w:pPr>
          </w:p>
        </w:tc>
        <w:tc>
          <w:tcPr>
            <w:tcW w:w="2551" w:type="dxa"/>
            <w:tcBorders>
              <w:top w:val="nil"/>
              <w:left w:val="nil"/>
              <w:bottom w:val="nil"/>
              <w:right w:val="nil"/>
            </w:tcBorders>
            <w:shd w:val="clear" w:color="auto" w:fill="auto"/>
            <w:noWrap/>
            <w:vAlign w:val="center"/>
            <w:hideMark/>
          </w:tcPr>
          <w:p w:rsidR="00A26880" w:rsidRPr="00A26880" w:rsidRDefault="00A26880" w:rsidP="00A26880">
            <w:pPr>
              <w:jc w:val="center"/>
              <w:rPr>
                <w:rFonts w:cs="Calibri"/>
                <w:color w:val="000000"/>
                <w:sz w:val="8"/>
              </w:rPr>
            </w:pPr>
          </w:p>
        </w:tc>
        <w:tc>
          <w:tcPr>
            <w:tcW w:w="2552" w:type="dxa"/>
            <w:tcBorders>
              <w:top w:val="nil"/>
              <w:left w:val="nil"/>
              <w:bottom w:val="nil"/>
              <w:right w:val="nil"/>
            </w:tcBorders>
            <w:shd w:val="clear" w:color="auto" w:fill="auto"/>
            <w:noWrap/>
            <w:vAlign w:val="center"/>
            <w:hideMark/>
          </w:tcPr>
          <w:p w:rsidR="00A26880" w:rsidRPr="00A26880" w:rsidRDefault="00A26880" w:rsidP="00A26880">
            <w:pPr>
              <w:jc w:val="center"/>
              <w:rPr>
                <w:rFonts w:cs="Calibri"/>
                <w:color w:val="000000"/>
                <w:sz w:val="8"/>
              </w:rPr>
            </w:pPr>
          </w:p>
        </w:tc>
      </w:tr>
      <w:tr w:rsidR="00A26880" w:rsidRPr="00A26880" w:rsidTr="00D36D51">
        <w:trPr>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260 464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260 197   </w:t>
            </w:r>
          </w:p>
        </w:tc>
      </w:tr>
      <w:tr w:rsidR="00A26880" w:rsidRPr="00A26880" w:rsidTr="00D36D51">
        <w:trPr>
          <w:trHeight w:val="30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31/12/N+1</w:t>
            </w:r>
          </w:p>
        </w:tc>
        <w:tc>
          <w:tcPr>
            <w:tcW w:w="2551"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195 348   </w:t>
            </w:r>
          </w:p>
        </w:tc>
        <w:tc>
          <w:tcPr>
            <w:tcW w:w="2552"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198 003   </w:t>
            </w:r>
          </w:p>
        </w:tc>
      </w:tr>
      <w:tr w:rsidR="00A26880" w:rsidRPr="00A26880" w:rsidTr="00D36D51">
        <w:trPr>
          <w:trHeight w:val="30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31/12/N+2</w:t>
            </w:r>
          </w:p>
        </w:tc>
        <w:tc>
          <w:tcPr>
            <w:tcW w:w="2551"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130 232   </w:t>
            </w:r>
          </w:p>
        </w:tc>
        <w:tc>
          <w:tcPr>
            <w:tcW w:w="2552"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133 943   </w:t>
            </w:r>
          </w:p>
        </w:tc>
      </w:tr>
      <w:tr w:rsidR="00A26880" w:rsidRPr="00A26880" w:rsidTr="00D36D51">
        <w:trPr>
          <w:trHeight w:val="30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31/12/N+3</w:t>
            </w:r>
          </w:p>
        </w:tc>
        <w:tc>
          <w:tcPr>
            <w:tcW w:w="2551"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65 116   </w:t>
            </w:r>
          </w:p>
        </w:tc>
        <w:tc>
          <w:tcPr>
            <w:tcW w:w="2552"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67 961   </w:t>
            </w:r>
          </w:p>
        </w:tc>
      </w:tr>
      <w:tr w:rsidR="00A26880" w:rsidRPr="00A26880" w:rsidTr="00D36D51">
        <w:trPr>
          <w:trHeight w:val="30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A26880" w:rsidRPr="00A26880" w:rsidRDefault="00A26880" w:rsidP="00A26880">
            <w:pPr>
              <w:jc w:val="center"/>
              <w:rPr>
                <w:rFonts w:eastAsiaTheme="majorEastAsia"/>
                <w:sz w:val="20"/>
                <w:lang w:eastAsia="en-US"/>
              </w:rPr>
            </w:pPr>
            <w:r w:rsidRPr="00A26880">
              <w:rPr>
                <w:rFonts w:eastAsiaTheme="majorEastAsia"/>
                <w:sz w:val="20"/>
                <w:lang w:eastAsia="en-US"/>
              </w:rPr>
              <w:t>31/12/N+4</w:t>
            </w:r>
          </w:p>
        </w:tc>
        <w:tc>
          <w:tcPr>
            <w:tcW w:w="2551"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     </w:t>
            </w:r>
          </w:p>
        </w:tc>
        <w:tc>
          <w:tcPr>
            <w:tcW w:w="2552" w:type="dxa"/>
            <w:tcBorders>
              <w:top w:val="nil"/>
              <w:left w:val="nil"/>
              <w:bottom w:val="single" w:sz="4" w:space="0" w:color="auto"/>
              <w:right w:val="single" w:sz="4" w:space="0" w:color="auto"/>
            </w:tcBorders>
            <w:shd w:val="clear" w:color="auto" w:fill="auto"/>
            <w:vAlign w:val="center"/>
            <w:hideMark/>
          </w:tcPr>
          <w:p w:rsidR="00A26880" w:rsidRPr="00A26880" w:rsidRDefault="00A26880" w:rsidP="00A26880">
            <w:pPr>
              <w:jc w:val="right"/>
              <w:rPr>
                <w:rFonts w:eastAsiaTheme="majorEastAsia"/>
                <w:sz w:val="20"/>
                <w:lang w:eastAsia="en-US"/>
              </w:rPr>
            </w:pPr>
            <w:r w:rsidRPr="00A26880">
              <w:rPr>
                <w:rFonts w:eastAsiaTheme="majorEastAsia"/>
                <w:sz w:val="20"/>
                <w:lang w:eastAsia="en-US"/>
              </w:rPr>
              <w:t xml:space="preserve">                                  -     </w:t>
            </w:r>
          </w:p>
        </w:tc>
      </w:tr>
    </w:tbl>
    <w:p w:rsidR="00A26880" w:rsidRDefault="00A26880" w:rsidP="00CB6BFB">
      <w:pPr>
        <w:spacing w:before="120"/>
        <w:rPr>
          <w:rFonts w:eastAsiaTheme="majorEastAsia"/>
          <w:lang w:eastAsia="en-US"/>
        </w:rPr>
      </w:pPr>
    </w:p>
    <w:p w:rsidR="00D36D51" w:rsidRDefault="00D36D51" w:rsidP="00CB6BFB">
      <w:pPr>
        <w:spacing w:before="120"/>
        <w:rPr>
          <w:rFonts w:eastAsiaTheme="majorEastAsia"/>
          <w:lang w:eastAsia="en-US"/>
        </w:rPr>
      </w:pPr>
    </w:p>
    <w:p w:rsidR="00A26880" w:rsidRDefault="00D36D51" w:rsidP="00A26880">
      <w:pPr>
        <w:pStyle w:val="Paragraphedeliste"/>
        <w:numPr>
          <w:ilvl w:val="0"/>
          <w:numId w:val="36"/>
        </w:numPr>
        <w:spacing w:before="120"/>
        <w:ind w:left="284" w:hanging="284"/>
        <w:rPr>
          <w:rFonts w:eastAsiaTheme="majorEastAsia"/>
        </w:rPr>
      </w:pPr>
      <w:r w:rsidRPr="00D36D51">
        <w:rPr>
          <w:rFonts w:eastAsiaTheme="majorEastAsia"/>
        </w:rPr>
        <w:t>É</w:t>
      </w:r>
      <w:r w:rsidR="00A26880">
        <w:rPr>
          <w:rFonts w:eastAsiaTheme="majorEastAsia"/>
        </w:rPr>
        <w:t>volution du compte de résultat</w:t>
      </w:r>
    </w:p>
    <w:tbl>
      <w:tblPr>
        <w:tblW w:w="9312" w:type="dxa"/>
        <w:tblInd w:w="60" w:type="dxa"/>
        <w:tblLayout w:type="fixed"/>
        <w:tblCellMar>
          <w:left w:w="70" w:type="dxa"/>
          <w:right w:w="70" w:type="dxa"/>
        </w:tblCellMar>
        <w:tblLook w:val="04A0" w:firstRow="1" w:lastRow="0" w:firstColumn="1" w:lastColumn="0" w:noHBand="0" w:noVBand="1"/>
      </w:tblPr>
      <w:tblGrid>
        <w:gridCol w:w="1428"/>
        <w:gridCol w:w="1937"/>
        <w:gridCol w:w="1937"/>
        <w:gridCol w:w="1938"/>
        <w:gridCol w:w="283"/>
        <w:gridCol w:w="1789"/>
      </w:tblGrid>
      <w:tr w:rsidR="007D07E1" w:rsidRPr="00A26880" w:rsidTr="00D36D51">
        <w:trPr>
          <w:trHeight w:val="900"/>
        </w:trPr>
        <w:tc>
          <w:tcPr>
            <w:tcW w:w="1428" w:type="dxa"/>
            <w:tcBorders>
              <w:top w:val="nil"/>
              <w:left w:val="nil"/>
              <w:bottom w:val="nil"/>
              <w:right w:val="nil"/>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center"/>
              <w:rPr>
                <w:rFonts w:asciiTheme="minorHAnsi" w:hAnsiTheme="minorHAnsi" w:cstheme="minorHAnsi"/>
                <w:color w:val="000000"/>
                <w:sz w:val="20"/>
              </w:rPr>
            </w:pPr>
            <w:r>
              <w:rPr>
                <w:rFonts w:asciiTheme="minorHAnsi" w:hAnsiTheme="minorHAnsi" w:cstheme="minorHAnsi"/>
                <w:color w:val="000000"/>
                <w:sz w:val="20"/>
              </w:rPr>
              <w:t>Dotation aux a</w:t>
            </w:r>
            <w:r w:rsidRPr="00A26880">
              <w:rPr>
                <w:rFonts w:asciiTheme="minorHAnsi" w:hAnsiTheme="minorHAnsi" w:cstheme="minorHAnsi"/>
                <w:color w:val="000000"/>
                <w:sz w:val="20"/>
              </w:rPr>
              <w:t>mortissement</w:t>
            </w:r>
            <w:r>
              <w:rPr>
                <w:rFonts w:asciiTheme="minorHAnsi" w:hAnsiTheme="minorHAnsi" w:cstheme="minorHAnsi"/>
                <w:color w:val="000000"/>
                <w:sz w:val="20"/>
              </w:rPr>
              <w:t>s</w:t>
            </w:r>
            <w:r w:rsidRPr="00A26880">
              <w:rPr>
                <w:rFonts w:asciiTheme="minorHAnsi" w:hAnsiTheme="minorHAnsi" w:cstheme="minorHAnsi"/>
                <w:color w:val="000000"/>
                <w:sz w:val="20"/>
              </w:rPr>
              <w:t xml:space="preserve"> du droit utilisation</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Intérêts</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Charge totale</w:t>
            </w:r>
          </w:p>
        </w:tc>
        <w:tc>
          <w:tcPr>
            <w:tcW w:w="283" w:type="dxa"/>
            <w:tcBorders>
              <w:left w:val="single" w:sz="4" w:space="0" w:color="auto"/>
              <w:right w:val="single" w:sz="4" w:space="0" w:color="auto"/>
            </w:tcBorders>
          </w:tcPr>
          <w:p w:rsidR="007D07E1"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7D07E1" w:rsidRDefault="007D07E1" w:rsidP="00A26880">
            <w:pPr>
              <w:jc w:val="center"/>
              <w:rPr>
                <w:rFonts w:asciiTheme="minorHAnsi" w:hAnsiTheme="minorHAnsi" w:cstheme="minorHAnsi"/>
                <w:i/>
                <w:color w:val="000000"/>
                <w:sz w:val="18"/>
              </w:rPr>
            </w:pPr>
            <w:r w:rsidRPr="007D07E1">
              <w:rPr>
                <w:rFonts w:asciiTheme="minorHAnsi" w:hAnsiTheme="minorHAnsi" w:cstheme="minorHAnsi"/>
                <w:i/>
                <w:color w:val="000000"/>
                <w:sz w:val="18"/>
              </w:rPr>
              <w:t xml:space="preserve">Avec la norme IAS 17 </w:t>
            </w:r>
          </w:p>
          <w:p w:rsidR="007D07E1" w:rsidRPr="00A26880" w:rsidRDefault="007D07E1" w:rsidP="00A26880">
            <w:pPr>
              <w:jc w:val="center"/>
              <w:rPr>
                <w:rFonts w:asciiTheme="minorHAnsi" w:hAnsiTheme="minorHAnsi" w:cstheme="minorHAnsi"/>
                <w:i/>
                <w:color w:val="000000"/>
                <w:sz w:val="18"/>
              </w:rPr>
            </w:pPr>
            <w:r w:rsidRPr="007D07E1">
              <w:rPr>
                <w:rFonts w:asciiTheme="minorHAnsi" w:hAnsiTheme="minorHAnsi" w:cstheme="minorHAnsi"/>
                <w:i/>
                <w:color w:val="000000"/>
                <w:sz w:val="18"/>
              </w:rPr>
              <w:t>(</w:t>
            </w:r>
            <w:proofErr w:type="gramStart"/>
            <w:r w:rsidRPr="007D07E1">
              <w:rPr>
                <w:rFonts w:asciiTheme="minorHAnsi" w:hAnsiTheme="minorHAnsi" w:cstheme="minorHAnsi"/>
                <w:i/>
                <w:color w:val="000000"/>
                <w:sz w:val="18"/>
              </w:rPr>
              <w:t>pour</w:t>
            </w:r>
            <w:proofErr w:type="gramEnd"/>
            <w:r w:rsidRPr="007D07E1">
              <w:rPr>
                <w:rFonts w:asciiTheme="minorHAnsi" w:hAnsiTheme="minorHAnsi" w:cstheme="minorHAnsi"/>
                <w:i/>
                <w:color w:val="000000"/>
                <w:sz w:val="18"/>
              </w:rPr>
              <w:t xml:space="preserve"> information)</w:t>
            </w:r>
          </w:p>
        </w:tc>
      </w:tr>
      <w:tr w:rsidR="007D07E1" w:rsidRPr="00A26880" w:rsidTr="00D36D51">
        <w:trPr>
          <w:trHeight w:val="300"/>
        </w:trPr>
        <w:tc>
          <w:tcPr>
            <w:tcW w:w="1428" w:type="dxa"/>
            <w:tcBorders>
              <w:top w:val="single" w:sz="4" w:space="0" w:color="auto"/>
              <w:left w:val="single" w:sz="4" w:space="0" w:color="auto"/>
              <w:bottom w:val="single" w:sz="4" w:space="0" w:color="auto"/>
              <w:right w:val="nil"/>
            </w:tcBorders>
            <w:shd w:val="clear" w:color="auto" w:fill="auto"/>
            <w:noWrap/>
            <w:vAlign w:val="center"/>
            <w:hideMark/>
          </w:tcPr>
          <w:p w:rsidR="007D07E1" w:rsidRPr="00A26880" w:rsidRDefault="007D07E1" w:rsidP="0005656B">
            <w:pPr>
              <w:jc w:val="center"/>
              <w:rPr>
                <w:rFonts w:eastAsiaTheme="majorEastAsia"/>
                <w:sz w:val="20"/>
                <w:lang w:eastAsia="en-US"/>
              </w:rPr>
            </w:pPr>
            <w:r>
              <w:rPr>
                <w:rFonts w:eastAsiaTheme="majorEastAsia"/>
                <w:sz w:val="20"/>
                <w:lang w:eastAsia="en-US"/>
              </w:rPr>
              <w:t>N</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65 116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9 617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74 733   </w:t>
            </w:r>
          </w:p>
        </w:tc>
        <w:tc>
          <w:tcPr>
            <w:tcW w:w="283" w:type="dxa"/>
            <w:tcBorders>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75 000   </w:t>
            </w:r>
          </w:p>
        </w:tc>
      </w:tr>
      <w:tr w:rsidR="007D07E1" w:rsidRPr="00A26880" w:rsidTr="00D36D51">
        <w:trPr>
          <w:trHeight w:val="300"/>
        </w:trPr>
        <w:tc>
          <w:tcPr>
            <w:tcW w:w="1428" w:type="dxa"/>
            <w:tcBorders>
              <w:top w:val="single" w:sz="4" w:space="0" w:color="auto"/>
              <w:left w:val="single" w:sz="4" w:space="0" w:color="auto"/>
              <w:bottom w:val="single" w:sz="4" w:space="0" w:color="auto"/>
              <w:right w:val="nil"/>
            </w:tcBorders>
            <w:shd w:val="clear" w:color="auto" w:fill="auto"/>
            <w:noWrap/>
            <w:vAlign w:val="center"/>
            <w:hideMark/>
          </w:tcPr>
          <w:p w:rsidR="007D07E1" w:rsidRPr="00A26880" w:rsidRDefault="007D07E1" w:rsidP="0005656B">
            <w:pPr>
              <w:jc w:val="center"/>
              <w:rPr>
                <w:rFonts w:eastAsiaTheme="majorEastAsia"/>
                <w:sz w:val="20"/>
                <w:lang w:eastAsia="en-US"/>
              </w:rPr>
            </w:pPr>
            <w:r>
              <w:rPr>
                <w:rFonts w:eastAsiaTheme="majorEastAsia"/>
                <w:sz w:val="20"/>
                <w:lang w:eastAsia="en-US"/>
              </w:rPr>
              <w:t>N</w:t>
            </w:r>
            <w:r w:rsidRPr="00A26880">
              <w:rPr>
                <w:rFonts w:eastAsiaTheme="majorEastAsia"/>
                <w:sz w:val="20"/>
                <w:lang w:eastAsia="en-US"/>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65 116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7 806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72 922   </w:t>
            </w:r>
          </w:p>
        </w:tc>
        <w:tc>
          <w:tcPr>
            <w:tcW w:w="283" w:type="dxa"/>
            <w:tcBorders>
              <w:top w:val="nil"/>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70 000   </w:t>
            </w:r>
          </w:p>
        </w:tc>
      </w:tr>
      <w:tr w:rsidR="007D07E1" w:rsidRPr="00A26880" w:rsidTr="00D36D51">
        <w:trPr>
          <w:trHeight w:val="300"/>
        </w:trPr>
        <w:tc>
          <w:tcPr>
            <w:tcW w:w="1428" w:type="dxa"/>
            <w:tcBorders>
              <w:top w:val="single" w:sz="4" w:space="0" w:color="auto"/>
              <w:left w:val="single" w:sz="4" w:space="0" w:color="auto"/>
              <w:bottom w:val="single" w:sz="4" w:space="0" w:color="auto"/>
              <w:right w:val="nil"/>
            </w:tcBorders>
            <w:shd w:val="clear" w:color="auto" w:fill="auto"/>
            <w:noWrap/>
            <w:vAlign w:val="center"/>
            <w:hideMark/>
          </w:tcPr>
          <w:p w:rsidR="007D07E1" w:rsidRPr="00A26880" w:rsidRDefault="007D07E1" w:rsidP="0005656B">
            <w:pPr>
              <w:jc w:val="center"/>
              <w:rPr>
                <w:rFonts w:eastAsiaTheme="majorEastAsia"/>
                <w:sz w:val="20"/>
                <w:lang w:eastAsia="en-US"/>
              </w:rPr>
            </w:pPr>
            <w:r>
              <w:rPr>
                <w:rFonts w:eastAsiaTheme="majorEastAsia"/>
                <w:sz w:val="20"/>
                <w:lang w:eastAsia="en-US"/>
              </w:rPr>
              <w:t>N</w:t>
            </w:r>
            <w:r w:rsidRPr="00A26880">
              <w:rPr>
                <w:rFonts w:eastAsiaTheme="majorEastAsia"/>
                <w:sz w:val="20"/>
                <w:lang w:eastAsia="en-US"/>
              </w:rPr>
              <w:t>+</w:t>
            </w:r>
            <w:r>
              <w:rPr>
                <w:rFonts w:eastAsiaTheme="majorEastAsia"/>
                <w:sz w:val="20"/>
                <w:lang w:eastAsia="en-US"/>
              </w:rPr>
              <w:t>2</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65 116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5 940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71 056   </w:t>
            </w:r>
          </w:p>
        </w:tc>
        <w:tc>
          <w:tcPr>
            <w:tcW w:w="283" w:type="dxa"/>
            <w:tcBorders>
              <w:top w:val="nil"/>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70 000   </w:t>
            </w:r>
          </w:p>
        </w:tc>
      </w:tr>
      <w:tr w:rsidR="007D07E1" w:rsidRPr="00A26880" w:rsidTr="00D36D51">
        <w:trPr>
          <w:trHeight w:val="300"/>
        </w:trPr>
        <w:tc>
          <w:tcPr>
            <w:tcW w:w="1428" w:type="dxa"/>
            <w:tcBorders>
              <w:top w:val="single" w:sz="4" w:space="0" w:color="auto"/>
              <w:left w:val="single" w:sz="4" w:space="0" w:color="auto"/>
              <w:bottom w:val="single" w:sz="4" w:space="0" w:color="auto"/>
              <w:right w:val="nil"/>
            </w:tcBorders>
            <w:shd w:val="clear" w:color="auto" w:fill="auto"/>
            <w:noWrap/>
            <w:vAlign w:val="center"/>
            <w:hideMark/>
          </w:tcPr>
          <w:p w:rsidR="007D07E1" w:rsidRPr="00A26880" w:rsidRDefault="007D07E1" w:rsidP="0005656B">
            <w:pPr>
              <w:jc w:val="center"/>
              <w:rPr>
                <w:rFonts w:eastAsiaTheme="majorEastAsia"/>
                <w:sz w:val="20"/>
                <w:lang w:eastAsia="en-US"/>
              </w:rPr>
            </w:pPr>
            <w:r>
              <w:rPr>
                <w:rFonts w:eastAsiaTheme="majorEastAsia"/>
                <w:sz w:val="20"/>
                <w:lang w:eastAsia="en-US"/>
              </w:rPr>
              <w:t>N+3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65 116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4 018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69 134   </w:t>
            </w:r>
          </w:p>
        </w:tc>
        <w:tc>
          <w:tcPr>
            <w:tcW w:w="283" w:type="dxa"/>
            <w:tcBorders>
              <w:top w:val="nil"/>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70 000   </w:t>
            </w:r>
          </w:p>
        </w:tc>
      </w:tr>
      <w:tr w:rsidR="007D07E1" w:rsidRPr="00A26880" w:rsidTr="00D36D51">
        <w:trPr>
          <w:trHeight w:val="300"/>
        </w:trPr>
        <w:tc>
          <w:tcPr>
            <w:tcW w:w="1428" w:type="dxa"/>
            <w:tcBorders>
              <w:top w:val="single" w:sz="4" w:space="0" w:color="auto"/>
              <w:left w:val="single" w:sz="4" w:space="0" w:color="auto"/>
              <w:bottom w:val="single" w:sz="4" w:space="0" w:color="auto"/>
              <w:right w:val="nil"/>
            </w:tcBorders>
            <w:shd w:val="clear" w:color="auto" w:fill="auto"/>
            <w:noWrap/>
            <w:vAlign w:val="center"/>
            <w:hideMark/>
          </w:tcPr>
          <w:p w:rsidR="007D07E1" w:rsidRPr="00A26880" w:rsidRDefault="007D07E1" w:rsidP="0005656B">
            <w:pPr>
              <w:jc w:val="center"/>
              <w:rPr>
                <w:rFonts w:eastAsiaTheme="majorEastAsia"/>
                <w:sz w:val="20"/>
                <w:lang w:eastAsia="en-US"/>
              </w:rPr>
            </w:pPr>
            <w:r>
              <w:rPr>
                <w:rFonts w:eastAsiaTheme="majorEastAsia"/>
                <w:sz w:val="20"/>
                <w:lang w:eastAsia="en-US"/>
              </w:rPr>
              <w:t>N+4</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65 116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2 039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67 155   </w:t>
            </w:r>
          </w:p>
        </w:tc>
        <w:tc>
          <w:tcPr>
            <w:tcW w:w="283" w:type="dxa"/>
            <w:tcBorders>
              <w:top w:val="nil"/>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70 000   </w:t>
            </w:r>
          </w:p>
        </w:tc>
      </w:tr>
      <w:tr w:rsidR="007D07E1" w:rsidRPr="00A26880" w:rsidTr="00D36D51">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Total</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7D07E1">
            <w:pPr>
              <w:jc w:val="right"/>
              <w:rPr>
                <w:rFonts w:asciiTheme="minorHAnsi" w:hAnsiTheme="minorHAnsi" w:cstheme="minorHAnsi"/>
                <w:color w:val="000000"/>
                <w:sz w:val="20"/>
              </w:rPr>
            </w:pPr>
            <w:r w:rsidRPr="00A26880">
              <w:rPr>
                <w:rFonts w:asciiTheme="minorHAnsi" w:hAnsiTheme="minorHAnsi" w:cstheme="minorHAnsi"/>
                <w:color w:val="000000"/>
                <w:sz w:val="20"/>
              </w:rPr>
              <w:t xml:space="preserve">325 580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29 420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color w:val="000000"/>
                <w:sz w:val="20"/>
              </w:rPr>
            </w:pPr>
            <w:r w:rsidRPr="00A26880">
              <w:rPr>
                <w:rFonts w:asciiTheme="minorHAnsi" w:hAnsiTheme="minorHAnsi" w:cstheme="minorHAnsi"/>
                <w:color w:val="000000"/>
                <w:sz w:val="20"/>
              </w:rPr>
              <w:t xml:space="preserve">       355 000   </w:t>
            </w:r>
          </w:p>
        </w:tc>
        <w:tc>
          <w:tcPr>
            <w:tcW w:w="283" w:type="dxa"/>
            <w:tcBorders>
              <w:top w:val="nil"/>
              <w:left w:val="single" w:sz="4" w:space="0" w:color="auto"/>
              <w:right w:val="single" w:sz="4" w:space="0" w:color="auto"/>
            </w:tcBorders>
          </w:tcPr>
          <w:p w:rsidR="007D07E1" w:rsidRPr="00A26880" w:rsidRDefault="007D07E1" w:rsidP="00A26880">
            <w:pPr>
              <w:jc w:val="center"/>
              <w:rPr>
                <w:rFonts w:asciiTheme="minorHAnsi" w:hAnsiTheme="minorHAnsi" w:cstheme="minorHAnsi"/>
                <w:color w:val="000000"/>
                <w:sz w:val="20"/>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E1" w:rsidRPr="00A26880" w:rsidRDefault="007D07E1" w:rsidP="00A26880">
            <w:pPr>
              <w:jc w:val="center"/>
              <w:rPr>
                <w:rFonts w:asciiTheme="minorHAnsi" w:hAnsiTheme="minorHAnsi" w:cstheme="minorHAnsi"/>
                <w:i/>
                <w:color w:val="000000"/>
                <w:sz w:val="18"/>
              </w:rPr>
            </w:pPr>
            <w:r w:rsidRPr="00A26880">
              <w:rPr>
                <w:rFonts w:asciiTheme="minorHAnsi" w:hAnsiTheme="minorHAnsi" w:cstheme="minorHAnsi"/>
                <w:i/>
                <w:color w:val="000000"/>
                <w:sz w:val="18"/>
              </w:rPr>
              <w:t xml:space="preserve">       355 000   </w:t>
            </w:r>
          </w:p>
        </w:tc>
      </w:tr>
    </w:tbl>
    <w:p w:rsidR="008A06EC" w:rsidRDefault="008A06EC" w:rsidP="00766C84">
      <w:pPr>
        <w:spacing w:before="120"/>
        <w:rPr>
          <w:rFonts w:eastAsiaTheme="majorEastAsia"/>
          <w:lang w:eastAsia="en-US"/>
        </w:rPr>
      </w:pPr>
    </w:p>
    <w:sectPr w:rsidR="008A06EC" w:rsidSect="00F5722D">
      <w:headerReference w:type="default" r:id="rId12"/>
      <w:footerReference w:type="default" r:id="rId13"/>
      <w:type w:val="continuous"/>
      <w:pgSz w:w="11906" w:h="16838" w:code="9"/>
      <w:pgMar w:top="1134" w:right="1418" w:bottom="1021" w:left="141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E79" w:rsidRDefault="00774E79">
      <w:r>
        <w:separator/>
      </w:r>
    </w:p>
  </w:endnote>
  <w:endnote w:type="continuationSeparator" w:id="0">
    <w:p w:rsidR="00774E79" w:rsidRDefault="007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B4" w:rsidRPr="00ED5A97" w:rsidRDefault="00D373B4" w:rsidP="00ED5A97">
    <w:pPr>
      <w:pStyle w:val="Pieddepage"/>
    </w:pPr>
    <w:r w:rsidRPr="00F12DC5">
      <w:rPr>
        <w:sz w:val="12"/>
      </w:rPr>
      <w:t>Veille comptable 2019 n°</w:t>
    </w:r>
    <w:r>
      <w:rPr>
        <w:sz w:val="12"/>
      </w:rPr>
      <w:t>2</w:t>
    </w:r>
    <w:r w:rsidRPr="00F12DC5">
      <w:rPr>
        <w:sz w:val="12"/>
      </w:rPr>
      <w:t xml:space="preserve">. </w:t>
    </w:r>
    <w:proofErr w:type="gramStart"/>
    <w:r w:rsidRPr="00F12DC5">
      <w:rPr>
        <w:sz w:val="12"/>
      </w:rPr>
      <w:t>doc</w:t>
    </w:r>
    <w:proofErr w:type="gramEnd"/>
    <w:r w:rsidRPr="00ED5A97">
      <w:tab/>
    </w:r>
    <w:r w:rsidRPr="00ED5A97">
      <w:rPr>
        <w:sz w:val="16"/>
      </w:rPr>
      <w:t xml:space="preserve">© Réseau CRCF - Ministère de l'Éducation nationale - </w:t>
    </w:r>
    <w:hyperlink r:id="rId1" w:history="1">
      <w:r w:rsidRPr="00ED5A97">
        <w:rPr>
          <w:rStyle w:val="Lienhypertexte"/>
          <w:color w:val="auto"/>
          <w:sz w:val="16"/>
          <w:szCs w:val="16"/>
          <w:u w:val="none"/>
        </w:rPr>
        <w:t>http://crcf.ac-grenoble.fr</w:t>
      </w:r>
    </w:hyperlink>
    <w:r w:rsidRPr="00ED5A97">
      <w:tab/>
      <w:t xml:space="preserve">page </w:t>
    </w:r>
    <w:r w:rsidR="0045625E">
      <w:fldChar w:fldCharType="begin"/>
    </w:r>
    <w:r w:rsidR="005D0182">
      <w:instrText xml:space="preserve"> PAGE   \* MERGEFORMAT </w:instrText>
    </w:r>
    <w:r w:rsidR="0045625E">
      <w:fldChar w:fldCharType="separate"/>
    </w:r>
    <w:r w:rsidR="001E7C72">
      <w:rPr>
        <w:noProof/>
      </w:rPr>
      <w:t>1</w:t>
    </w:r>
    <w:r w:rsidR="0045625E">
      <w:rPr>
        <w:noProof/>
      </w:rPr>
      <w:fldChar w:fldCharType="end"/>
    </w:r>
    <w:r w:rsidRPr="00ED5A97">
      <w:t>/</w:t>
    </w:r>
    <w:r w:rsidR="00671735">
      <w:rPr>
        <w:noProof/>
      </w:rPr>
      <w:fldChar w:fldCharType="begin"/>
    </w:r>
    <w:r w:rsidR="00671735">
      <w:rPr>
        <w:noProof/>
      </w:rPr>
      <w:instrText xml:space="preserve"> NUMPAGES   \* MERGEFORMAT </w:instrText>
    </w:r>
    <w:r w:rsidR="00671735">
      <w:rPr>
        <w:noProof/>
      </w:rPr>
      <w:fldChar w:fldCharType="separate"/>
    </w:r>
    <w:r w:rsidR="001E7C72">
      <w:rPr>
        <w:noProof/>
      </w:rPr>
      <w:t>3</w:t>
    </w:r>
    <w:r w:rsidR="006717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E79" w:rsidRDefault="00774E79">
      <w:r>
        <w:separator/>
      </w:r>
    </w:p>
  </w:footnote>
  <w:footnote w:type="continuationSeparator" w:id="0">
    <w:p w:rsidR="00774E79" w:rsidRDefault="0077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B4" w:rsidRPr="00ED5A97" w:rsidRDefault="00D373B4" w:rsidP="00ED5A97">
    <w:pPr>
      <w:pStyle w:val="En-tte"/>
    </w:pPr>
    <w:r>
      <w:t>Actualité comptable</w:t>
    </w:r>
    <w:r w:rsidRPr="00ED5A97">
      <w:tab/>
    </w:r>
    <w:r w:rsidRPr="00ED5A97">
      <w:tab/>
    </w:r>
    <w:r>
      <w:t>Mai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5C46C83"/>
    <w:multiLevelType w:val="hybridMultilevel"/>
    <w:tmpl w:val="4F609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F1BA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BCD7BC9"/>
    <w:multiLevelType w:val="hybridMultilevel"/>
    <w:tmpl w:val="6324EB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00D15"/>
    <w:multiLevelType w:val="hybridMultilevel"/>
    <w:tmpl w:val="290AF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80245"/>
    <w:multiLevelType w:val="hybridMultilevel"/>
    <w:tmpl w:val="721E8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5277C"/>
    <w:multiLevelType w:val="multilevel"/>
    <w:tmpl w:val="070A6084"/>
    <w:lvl w:ilvl="0">
      <w:start w:val="1"/>
      <w:numFmt w:val="decimal"/>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256A08CA"/>
    <w:multiLevelType w:val="hybridMultilevel"/>
    <w:tmpl w:val="D8026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5356E"/>
    <w:multiLevelType w:val="multilevel"/>
    <w:tmpl w:val="F6EC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D20D6"/>
    <w:multiLevelType w:val="multilevel"/>
    <w:tmpl w:val="C93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44368"/>
    <w:multiLevelType w:val="hybridMultilevel"/>
    <w:tmpl w:val="3F868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831A75"/>
    <w:multiLevelType w:val="hybridMultilevel"/>
    <w:tmpl w:val="7A929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A499E"/>
    <w:multiLevelType w:val="hybridMultilevel"/>
    <w:tmpl w:val="5ADE7884"/>
    <w:lvl w:ilvl="0" w:tplc="DCBA708E">
      <w:start w:val="1"/>
      <w:numFmt w:val="bullet"/>
      <w:pStyle w:val="liste2"/>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C14D0"/>
    <w:multiLevelType w:val="hybridMultilevel"/>
    <w:tmpl w:val="2EE8E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B21A9"/>
    <w:multiLevelType w:val="hybridMultilevel"/>
    <w:tmpl w:val="21263138"/>
    <w:lvl w:ilvl="0" w:tplc="A45A913E">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412EB2"/>
    <w:multiLevelType w:val="hybridMultilevel"/>
    <w:tmpl w:val="50F41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A153C7"/>
    <w:multiLevelType w:val="hybridMultilevel"/>
    <w:tmpl w:val="9458946A"/>
    <w:lvl w:ilvl="0" w:tplc="1902BAD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5909D8"/>
    <w:multiLevelType w:val="hybridMultilevel"/>
    <w:tmpl w:val="5238C5B4"/>
    <w:lvl w:ilvl="0" w:tplc="2A7C35A0">
      <w:start w:val="1"/>
      <w:numFmt w:val="bullet"/>
      <w:pStyle w:val="DCGtiret"/>
      <w:lvlText w:val=""/>
      <w:lvlJc w:val="left"/>
      <w:pPr>
        <w:ind w:left="3196" w:hanging="360"/>
      </w:pPr>
      <w:rPr>
        <w:rFonts w:ascii="Wingdings" w:hAnsi="Wingdings" w:hint="default"/>
        <w:caps w:val="0"/>
        <w:strike w:val="0"/>
        <w:dstrike w:val="0"/>
        <w:vanish w:val="0"/>
        <w:sz w:val="12"/>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E21E89"/>
    <w:multiLevelType w:val="multilevel"/>
    <w:tmpl w:val="6D2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5336C"/>
    <w:multiLevelType w:val="hybridMultilevel"/>
    <w:tmpl w:val="CF160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B449FD"/>
    <w:multiLevelType w:val="hybridMultilevel"/>
    <w:tmpl w:val="41969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097A2B"/>
    <w:multiLevelType w:val="hybridMultilevel"/>
    <w:tmpl w:val="1C2E736E"/>
    <w:lvl w:ilvl="0" w:tplc="1AC4396C">
      <w:start w:val="1"/>
      <w:numFmt w:val="bullet"/>
      <w:pStyle w:val="StyleVerdana8ptAvant5ptAprs6ptInterligneAumo1"/>
      <w:lvlText w:val=""/>
      <w:lvlJc w:val="left"/>
      <w:pPr>
        <w:tabs>
          <w:tab w:val="num" w:pos="426"/>
        </w:tabs>
        <w:ind w:left="426" w:hanging="142"/>
      </w:pPr>
      <w:rPr>
        <w:rFonts w:ascii="Symbol" w:hAnsi="Symbol" w:hint="default"/>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6E2D7CC3"/>
    <w:multiLevelType w:val="hybridMultilevel"/>
    <w:tmpl w:val="2D7AF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421871"/>
    <w:multiLevelType w:val="hybridMultilevel"/>
    <w:tmpl w:val="21263138"/>
    <w:lvl w:ilvl="0" w:tplc="A45A913E">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C11915"/>
    <w:multiLevelType w:val="hybridMultilevel"/>
    <w:tmpl w:val="01FEC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4341F7"/>
    <w:multiLevelType w:val="hybridMultilevel"/>
    <w:tmpl w:val="B1243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11"/>
  </w:num>
  <w:num w:numId="5">
    <w:abstractNumId w:val="12"/>
  </w:num>
  <w:num w:numId="6">
    <w:abstractNumId w:val="19"/>
  </w:num>
  <w:num w:numId="7">
    <w:abstractNumId w:val="10"/>
  </w:num>
  <w:num w:numId="8">
    <w:abstractNumId w:val="14"/>
  </w:num>
  <w:num w:numId="9">
    <w:abstractNumId w:val="23"/>
  </w:num>
  <w:num w:numId="10">
    <w:abstractNumId w:val="0"/>
  </w:num>
  <w:num w:numId="11">
    <w:abstractNumId w:val="13"/>
  </w:num>
  <w:num w:numId="12">
    <w:abstractNumId w:val="25"/>
  </w:num>
  <w:num w:numId="13">
    <w:abstractNumId w:val="20"/>
  </w:num>
  <w:num w:numId="14">
    <w:abstractNumId w:val="6"/>
  </w:num>
  <w:num w:numId="15">
    <w:abstractNumId w:val="3"/>
  </w:num>
  <w:num w:numId="16">
    <w:abstractNumId w:val="2"/>
  </w:num>
  <w:num w:numId="17">
    <w:abstractNumId w:val="22"/>
  </w:num>
  <w:num w:numId="18">
    <w:abstractNumId w:val="24"/>
  </w:num>
  <w:num w:numId="19">
    <w:abstractNumId w:val="4"/>
  </w:num>
  <w:num w:numId="20">
    <w:abstractNumId w:val="15"/>
  </w:num>
  <w:num w:numId="21">
    <w:abstractNumId w:val="8"/>
  </w:num>
  <w:num w:numId="22">
    <w:abstractNumId w:val="18"/>
  </w:num>
  <w:num w:numId="23">
    <w:abstractNumId w:val="7"/>
  </w:num>
  <w:num w:numId="24">
    <w:abstractNumId w:val="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7"/>
  </w:num>
  <w:num w:numId="35">
    <w:abstractNumId w:val="12"/>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0EA"/>
    <w:rsid w:val="00000189"/>
    <w:rsid w:val="00016B2F"/>
    <w:rsid w:val="00020DF6"/>
    <w:rsid w:val="00033457"/>
    <w:rsid w:val="00044392"/>
    <w:rsid w:val="00045A6F"/>
    <w:rsid w:val="00045EF8"/>
    <w:rsid w:val="000473B7"/>
    <w:rsid w:val="00060389"/>
    <w:rsid w:val="00060C4C"/>
    <w:rsid w:val="000924F4"/>
    <w:rsid w:val="00093417"/>
    <w:rsid w:val="00093D7C"/>
    <w:rsid w:val="00094210"/>
    <w:rsid w:val="00097F94"/>
    <w:rsid w:val="000A2848"/>
    <w:rsid w:val="000C2D62"/>
    <w:rsid w:val="000D0628"/>
    <w:rsid w:val="00102B5B"/>
    <w:rsid w:val="00150D9C"/>
    <w:rsid w:val="00151650"/>
    <w:rsid w:val="0015246D"/>
    <w:rsid w:val="001735D1"/>
    <w:rsid w:val="001934F7"/>
    <w:rsid w:val="001A1F79"/>
    <w:rsid w:val="001A3F17"/>
    <w:rsid w:val="001A5C95"/>
    <w:rsid w:val="001D2444"/>
    <w:rsid w:val="001D500F"/>
    <w:rsid w:val="001E0018"/>
    <w:rsid w:val="001E7C72"/>
    <w:rsid w:val="001F30FF"/>
    <w:rsid w:val="001F4166"/>
    <w:rsid w:val="002053C0"/>
    <w:rsid w:val="0020688C"/>
    <w:rsid w:val="002231F6"/>
    <w:rsid w:val="00230396"/>
    <w:rsid w:val="00240001"/>
    <w:rsid w:val="00250221"/>
    <w:rsid w:val="00251623"/>
    <w:rsid w:val="00273CD9"/>
    <w:rsid w:val="00280C29"/>
    <w:rsid w:val="00283C6F"/>
    <w:rsid w:val="002936A3"/>
    <w:rsid w:val="0029486C"/>
    <w:rsid w:val="002A063C"/>
    <w:rsid w:val="002A2090"/>
    <w:rsid w:val="002A35E3"/>
    <w:rsid w:val="002B56BC"/>
    <w:rsid w:val="002C081D"/>
    <w:rsid w:val="002C4C4D"/>
    <w:rsid w:val="002D4028"/>
    <w:rsid w:val="002E58AD"/>
    <w:rsid w:val="002E6E3A"/>
    <w:rsid w:val="002E727C"/>
    <w:rsid w:val="002F2BD3"/>
    <w:rsid w:val="0030302D"/>
    <w:rsid w:val="003032E1"/>
    <w:rsid w:val="003217F7"/>
    <w:rsid w:val="0032792C"/>
    <w:rsid w:val="00335B0A"/>
    <w:rsid w:val="003411E9"/>
    <w:rsid w:val="003534B9"/>
    <w:rsid w:val="00372AAE"/>
    <w:rsid w:val="003968C6"/>
    <w:rsid w:val="003B1E29"/>
    <w:rsid w:val="003B53A3"/>
    <w:rsid w:val="003B7ADB"/>
    <w:rsid w:val="003C24F7"/>
    <w:rsid w:val="003E469F"/>
    <w:rsid w:val="003E5082"/>
    <w:rsid w:val="003E785A"/>
    <w:rsid w:val="003E79BA"/>
    <w:rsid w:val="003F4A6D"/>
    <w:rsid w:val="003F6E28"/>
    <w:rsid w:val="00416205"/>
    <w:rsid w:val="0045625E"/>
    <w:rsid w:val="004563F0"/>
    <w:rsid w:val="004723A2"/>
    <w:rsid w:val="00475AA9"/>
    <w:rsid w:val="00485820"/>
    <w:rsid w:val="00485BF5"/>
    <w:rsid w:val="004878D8"/>
    <w:rsid w:val="00494661"/>
    <w:rsid w:val="004A0727"/>
    <w:rsid w:val="004B20B2"/>
    <w:rsid w:val="004D1E60"/>
    <w:rsid w:val="004E22CF"/>
    <w:rsid w:val="004E6901"/>
    <w:rsid w:val="0050214D"/>
    <w:rsid w:val="00534ACD"/>
    <w:rsid w:val="005461B5"/>
    <w:rsid w:val="0055086D"/>
    <w:rsid w:val="005532AF"/>
    <w:rsid w:val="00553891"/>
    <w:rsid w:val="00555C2B"/>
    <w:rsid w:val="00560F1A"/>
    <w:rsid w:val="005748D2"/>
    <w:rsid w:val="005808F0"/>
    <w:rsid w:val="005858B8"/>
    <w:rsid w:val="00587EAD"/>
    <w:rsid w:val="005A2EB6"/>
    <w:rsid w:val="005C2389"/>
    <w:rsid w:val="005D0182"/>
    <w:rsid w:val="005D383C"/>
    <w:rsid w:val="006073E0"/>
    <w:rsid w:val="00625F26"/>
    <w:rsid w:val="00633F70"/>
    <w:rsid w:val="006402E9"/>
    <w:rsid w:val="00644C99"/>
    <w:rsid w:val="00653276"/>
    <w:rsid w:val="00657C9E"/>
    <w:rsid w:val="00662F9E"/>
    <w:rsid w:val="00671735"/>
    <w:rsid w:val="00677458"/>
    <w:rsid w:val="0067773E"/>
    <w:rsid w:val="00692512"/>
    <w:rsid w:val="006A058D"/>
    <w:rsid w:val="006A7700"/>
    <w:rsid w:val="006B1ACD"/>
    <w:rsid w:val="006B2337"/>
    <w:rsid w:val="006C56D0"/>
    <w:rsid w:val="006D1D98"/>
    <w:rsid w:val="006E511E"/>
    <w:rsid w:val="006F09FB"/>
    <w:rsid w:val="006F29D2"/>
    <w:rsid w:val="006F6B32"/>
    <w:rsid w:val="007007C7"/>
    <w:rsid w:val="00703D53"/>
    <w:rsid w:val="00707D27"/>
    <w:rsid w:val="007218FC"/>
    <w:rsid w:val="00726393"/>
    <w:rsid w:val="0073264E"/>
    <w:rsid w:val="007369C8"/>
    <w:rsid w:val="00741B97"/>
    <w:rsid w:val="00742289"/>
    <w:rsid w:val="0074471A"/>
    <w:rsid w:val="007466C6"/>
    <w:rsid w:val="00766C84"/>
    <w:rsid w:val="00771FA0"/>
    <w:rsid w:val="007745C9"/>
    <w:rsid w:val="00774E79"/>
    <w:rsid w:val="00782042"/>
    <w:rsid w:val="00783546"/>
    <w:rsid w:val="00787BE3"/>
    <w:rsid w:val="007B6B62"/>
    <w:rsid w:val="007C0974"/>
    <w:rsid w:val="007D07E1"/>
    <w:rsid w:val="007F0C73"/>
    <w:rsid w:val="00810A9D"/>
    <w:rsid w:val="0081689C"/>
    <w:rsid w:val="00825703"/>
    <w:rsid w:val="008328A5"/>
    <w:rsid w:val="00834321"/>
    <w:rsid w:val="00843B1F"/>
    <w:rsid w:val="008602E9"/>
    <w:rsid w:val="008612D7"/>
    <w:rsid w:val="00866276"/>
    <w:rsid w:val="0086695B"/>
    <w:rsid w:val="00873551"/>
    <w:rsid w:val="00873873"/>
    <w:rsid w:val="008877D2"/>
    <w:rsid w:val="00895D27"/>
    <w:rsid w:val="00896530"/>
    <w:rsid w:val="008976D7"/>
    <w:rsid w:val="008A06EC"/>
    <w:rsid w:val="008A1163"/>
    <w:rsid w:val="008A1D85"/>
    <w:rsid w:val="008B1E61"/>
    <w:rsid w:val="008C1FC5"/>
    <w:rsid w:val="008C35AC"/>
    <w:rsid w:val="008C415E"/>
    <w:rsid w:val="008E5A01"/>
    <w:rsid w:val="008E7D0A"/>
    <w:rsid w:val="008F2F8B"/>
    <w:rsid w:val="008F3D6E"/>
    <w:rsid w:val="00907ECC"/>
    <w:rsid w:val="00910001"/>
    <w:rsid w:val="00917123"/>
    <w:rsid w:val="00933156"/>
    <w:rsid w:val="00936048"/>
    <w:rsid w:val="00947FC3"/>
    <w:rsid w:val="009622C9"/>
    <w:rsid w:val="009A38FE"/>
    <w:rsid w:val="009A49A8"/>
    <w:rsid w:val="009D1A99"/>
    <w:rsid w:val="009F231C"/>
    <w:rsid w:val="009F438B"/>
    <w:rsid w:val="00A00D87"/>
    <w:rsid w:val="00A01D74"/>
    <w:rsid w:val="00A26880"/>
    <w:rsid w:val="00A33E74"/>
    <w:rsid w:val="00A33E9D"/>
    <w:rsid w:val="00A34611"/>
    <w:rsid w:val="00A82A73"/>
    <w:rsid w:val="00A860D2"/>
    <w:rsid w:val="00AA3015"/>
    <w:rsid w:val="00AB3D5B"/>
    <w:rsid w:val="00AD39CE"/>
    <w:rsid w:val="00AD73B7"/>
    <w:rsid w:val="00AE4856"/>
    <w:rsid w:val="00B00EEA"/>
    <w:rsid w:val="00B036D5"/>
    <w:rsid w:val="00B50390"/>
    <w:rsid w:val="00B654DA"/>
    <w:rsid w:val="00B67ACB"/>
    <w:rsid w:val="00B76F04"/>
    <w:rsid w:val="00B927E8"/>
    <w:rsid w:val="00B957E2"/>
    <w:rsid w:val="00BA25F7"/>
    <w:rsid w:val="00BA41EA"/>
    <w:rsid w:val="00BB756B"/>
    <w:rsid w:val="00BC297F"/>
    <w:rsid w:val="00BD1DF2"/>
    <w:rsid w:val="00BF3975"/>
    <w:rsid w:val="00C065D3"/>
    <w:rsid w:val="00C162C4"/>
    <w:rsid w:val="00C16982"/>
    <w:rsid w:val="00C2424A"/>
    <w:rsid w:val="00C30425"/>
    <w:rsid w:val="00C525AD"/>
    <w:rsid w:val="00C57C62"/>
    <w:rsid w:val="00C81112"/>
    <w:rsid w:val="00C83EF1"/>
    <w:rsid w:val="00C8440E"/>
    <w:rsid w:val="00C948B0"/>
    <w:rsid w:val="00C95349"/>
    <w:rsid w:val="00CA60EA"/>
    <w:rsid w:val="00CB375F"/>
    <w:rsid w:val="00CB6BFB"/>
    <w:rsid w:val="00CE199E"/>
    <w:rsid w:val="00CE63E5"/>
    <w:rsid w:val="00CF2200"/>
    <w:rsid w:val="00CF575A"/>
    <w:rsid w:val="00CF7068"/>
    <w:rsid w:val="00D03824"/>
    <w:rsid w:val="00D12D23"/>
    <w:rsid w:val="00D1469C"/>
    <w:rsid w:val="00D1497E"/>
    <w:rsid w:val="00D23A96"/>
    <w:rsid w:val="00D27D31"/>
    <w:rsid w:val="00D36D51"/>
    <w:rsid w:val="00D373B4"/>
    <w:rsid w:val="00D42AFA"/>
    <w:rsid w:val="00D652B9"/>
    <w:rsid w:val="00DA1F26"/>
    <w:rsid w:val="00DA249E"/>
    <w:rsid w:val="00DA6585"/>
    <w:rsid w:val="00DC1B41"/>
    <w:rsid w:val="00DD3A16"/>
    <w:rsid w:val="00DE7E4D"/>
    <w:rsid w:val="00DF0382"/>
    <w:rsid w:val="00DF555C"/>
    <w:rsid w:val="00E16246"/>
    <w:rsid w:val="00E35E35"/>
    <w:rsid w:val="00E54473"/>
    <w:rsid w:val="00E85C04"/>
    <w:rsid w:val="00E96191"/>
    <w:rsid w:val="00EA03AE"/>
    <w:rsid w:val="00EA0C87"/>
    <w:rsid w:val="00ED2056"/>
    <w:rsid w:val="00ED53BD"/>
    <w:rsid w:val="00ED5A97"/>
    <w:rsid w:val="00EE730B"/>
    <w:rsid w:val="00EF7400"/>
    <w:rsid w:val="00F0560B"/>
    <w:rsid w:val="00F12DC5"/>
    <w:rsid w:val="00F158DA"/>
    <w:rsid w:val="00F21AFC"/>
    <w:rsid w:val="00F35225"/>
    <w:rsid w:val="00F439E6"/>
    <w:rsid w:val="00F43ECC"/>
    <w:rsid w:val="00F5722D"/>
    <w:rsid w:val="00F81336"/>
    <w:rsid w:val="00F87E2F"/>
    <w:rsid w:val="00F97227"/>
    <w:rsid w:val="00FB30A1"/>
    <w:rsid w:val="00FC09DC"/>
    <w:rsid w:val="00FC6307"/>
    <w:rsid w:val="00FD38D1"/>
    <w:rsid w:val="00FD5E4D"/>
    <w:rsid w:val="00FE4D51"/>
    <w:rsid w:val="00FE6E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397500-2544-4351-A425-5680510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E35"/>
    <w:pPr>
      <w:jc w:val="both"/>
    </w:pPr>
    <w:rPr>
      <w:rFonts w:ascii="Calibri" w:hAnsi="Calibri"/>
      <w:sz w:val="22"/>
    </w:rPr>
  </w:style>
  <w:style w:type="paragraph" w:styleId="Titre1">
    <w:name w:val="heading 1"/>
    <w:basedOn w:val="Normal"/>
    <w:next w:val="Normal"/>
    <w:link w:val="Titre1Car"/>
    <w:uiPriority w:val="9"/>
    <w:qFormat/>
    <w:rsid w:val="00250221"/>
    <w:pPr>
      <w:pBdr>
        <w:top w:val="single" w:sz="18" w:space="4" w:color="B8CCE4"/>
        <w:bottom w:val="single" w:sz="8" w:space="1" w:color="0F243E"/>
      </w:pBdr>
      <w:shd w:val="clear" w:color="auto" w:fill="1F497D"/>
      <w:spacing w:before="120" w:after="240"/>
      <w:jc w:val="left"/>
      <w:outlineLvl w:val="0"/>
    </w:pPr>
    <w:rPr>
      <w:rFonts w:ascii="Arial" w:eastAsia="Calibri" w:hAnsi="Arial" w:cs="Arial"/>
      <w:b/>
      <w:color w:val="FFFFFF"/>
      <w:sz w:val="28"/>
      <w:szCs w:val="22"/>
      <w:lang w:eastAsia="en-US"/>
    </w:rPr>
  </w:style>
  <w:style w:type="paragraph" w:styleId="Titre2">
    <w:name w:val="heading 2"/>
    <w:basedOn w:val="Normal"/>
    <w:next w:val="Normal"/>
    <w:qFormat/>
    <w:rsid w:val="00A01D74"/>
    <w:pPr>
      <w:keepNext/>
      <w:numPr>
        <w:ilvl w:val="1"/>
        <w:numId w:val="1"/>
      </w:numPr>
      <w:spacing w:before="240" w:after="240"/>
      <w:outlineLvl w:val="1"/>
    </w:pPr>
    <w:rPr>
      <w:rFonts w:ascii="Arial" w:hAnsi="Arial" w:cs="Arial"/>
      <w:b/>
      <w:bCs/>
      <w:iCs/>
      <w:color w:val="0F243E"/>
      <w:sz w:val="26"/>
      <w:szCs w:val="26"/>
      <w:u w:val="single"/>
    </w:rPr>
  </w:style>
  <w:style w:type="paragraph" w:styleId="Titre3">
    <w:name w:val="heading 3"/>
    <w:basedOn w:val="Normal"/>
    <w:next w:val="Normal"/>
    <w:autoRedefine/>
    <w:qFormat/>
    <w:rsid w:val="00A01D74"/>
    <w:pPr>
      <w:keepNext/>
      <w:numPr>
        <w:ilvl w:val="2"/>
        <w:numId w:val="1"/>
      </w:numPr>
      <w:tabs>
        <w:tab w:val="left" w:pos="1134"/>
      </w:tabs>
      <w:spacing w:before="240" w:after="120"/>
      <w:outlineLvl w:val="2"/>
    </w:pPr>
    <w:rPr>
      <w:rFonts w:ascii="Arial" w:hAnsi="Arial" w:cs="Arial"/>
      <w:b/>
      <w:bCs/>
      <w:i/>
      <w:iCs/>
      <w:color w:val="0F243E"/>
      <w:szCs w:val="26"/>
    </w:rPr>
  </w:style>
  <w:style w:type="paragraph" w:styleId="Titre4">
    <w:name w:val="heading 4"/>
    <w:basedOn w:val="Normal"/>
    <w:next w:val="Normal"/>
    <w:qFormat/>
    <w:rsid w:val="00A01D74"/>
    <w:pPr>
      <w:keepNext/>
      <w:numPr>
        <w:ilvl w:val="3"/>
        <w:numId w:val="1"/>
      </w:numPr>
      <w:spacing w:before="120" w:after="120"/>
      <w:outlineLvl w:val="3"/>
    </w:pPr>
    <w:rPr>
      <w:rFonts w:ascii="Arial" w:hAnsi="Arial" w:cs="Arial"/>
      <w:b/>
      <w:bCs/>
      <w:color w:val="0F243E"/>
      <w:sz w:val="20"/>
      <w:szCs w:val="24"/>
    </w:rPr>
  </w:style>
  <w:style w:type="paragraph" w:styleId="Titre5">
    <w:name w:val="heading 5"/>
    <w:basedOn w:val="Normal"/>
    <w:next w:val="Normal"/>
    <w:qFormat/>
    <w:rsid w:val="00A01D74"/>
    <w:pPr>
      <w:numPr>
        <w:ilvl w:val="4"/>
        <w:numId w:val="1"/>
      </w:numPr>
      <w:spacing w:before="120" w:after="60"/>
      <w:outlineLvl w:val="4"/>
    </w:pPr>
    <w:rPr>
      <w:rFonts w:cs="Arial"/>
      <w:bCs/>
      <w:i/>
      <w:iCs/>
      <w:szCs w:val="22"/>
    </w:rPr>
  </w:style>
  <w:style w:type="paragraph" w:styleId="Titre6">
    <w:name w:val="heading 6"/>
    <w:basedOn w:val="Normal"/>
    <w:next w:val="Normal"/>
    <w:qFormat/>
    <w:rsid w:val="0032792C"/>
    <w:pPr>
      <w:numPr>
        <w:ilvl w:val="5"/>
        <w:numId w:val="1"/>
      </w:num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97F94"/>
    <w:pPr>
      <w:numPr>
        <w:numId w:val="4"/>
      </w:numPr>
      <w:tabs>
        <w:tab w:val="left" w:pos="567"/>
      </w:tabs>
      <w:spacing w:after="120"/>
      <w:ind w:left="568" w:hanging="284"/>
    </w:pPr>
  </w:style>
  <w:style w:type="character" w:styleId="Lienhypertexte">
    <w:name w:val="Hyperlink"/>
    <w:uiPriority w:val="99"/>
    <w:rsid w:val="008C1FC5"/>
    <w:rPr>
      <w:color w:val="0000FF"/>
      <w:u w:val="single"/>
    </w:rPr>
  </w:style>
  <w:style w:type="character" w:styleId="lev">
    <w:name w:val="Strong"/>
    <w:uiPriority w:val="22"/>
    <w:qFormat/>
    <w:rsid w:val="00AD39CE"/>
    <w:rPr>
      <w:b/>
      <w:bCs/>
    </w:rPr>
  </w:style>
  <w:style w:type="character" w:styleId="Marquedecommentaire">
    <w:name w:val="annotation reference"/>
    <w:semiHidden/>
    <w:rsid w:val="00016B2F"/>
    <w:rPr>
      <w:sz w:val="16"/>
      <w:szCs w:val="16"/>
    </w:rPr>
  </w:style>
  <w:style w:type="paragraph" w:styleId="Commentaire">
    <w:name w:val="annotation text"/>
    <w:basedOn w:val="Normal"/>
    <w:semiHidden/>
    <w:rsid w:val="00016B2F"/>
    <w:rPr>
      <w:sz w:val="20"/>
    </w:rPr>
  </w:style>
  <w:style w:type="paragraph" w:styleId="Objetducommentaire">
    <w:name w:val="annotation subject"/>
    <w:basedOn w:val="Commentaire"/>
    <w:next w:val="Commentaire"/>
    <w:semiHidden/>
    <w:rsid w:val="00016B2F"/>
    <w:rPr>
      <w:b/>
      <w:bCs/>
    </w:rPr>
  </w:style>
  <w:style w:type="paragraph" w:styleId="Textedebulles">
    <w:name w:val="Balloon Text"/>
    <w:basedOn w:val="Normal"/>
    <w:semiHidden/>
    <w:rsid w:val="00016B2F"/>
    <w:rPr>
      <w:rFonts w:ascii="Tahoma" w:hAnsi="Tahoma" w:cs="Tahoma"/>
      <w:sz w:val="16"/>
      <w:szCs w:val="16"/>
    </w:rPr>
  </w:style>
  <w:style w:type="paragraph" w:styleId="En-tte">
    <w:name w:val="header"/>
    <w:basedOn w:val="Normal"/>
    <w:rsid w:val="00ED5A97"/>
    <w:pPr>
      <w:tabs>
        <w:tab w:val="center" w:pos="5760"/>
        <w:tab w:val="right" w:pos="9072"/>
      </w:tabs>
    </w:pPr>
    <w:rPr>
      <w:rFonts w:ascii="Arial" w:hAnsi="Arial" w:cs="Arial"/>
      <w:b/>
      <w:sz w:val="18"/>
      <w:szCs w:val="18"/>
    </w:rPr>
  </w:style>
  <w:style w:type="paragraph" w:styleId="Pieddepage">
    <w:name w:val="footer"/>
    <w:basedOn w:val="Normal"/>
    <w:rsid w:val="00ED5A97"/>
    <w:pPr>
      <w:pBdr>
        <w:top w:val="single" w:sz="4" w:space="1" w:color="auto"/>
      </w:pBdr>
      <w:tabs>
        <w:tab w:val="center" w:pos="4860"/>
        <w:tab w:val="right" w:pos="9072"/>
      </w:tabs>
    </w:pPr>
    <w:rPr>
      <w:rFonts w:ascii="Arial" w:hAnsi="Arial" w:cs="Arial"/>
      <w:b/>
      <w:sz w:val="18"/>
      <w:szCs w:val="18"/>
    </w:rPr>
  </w:style>
  <w:style w:type="paragraph" w:customStyle="1" w:styleId="Titre215pt">
    <w:name w:val="Titre 2 + 15 pt"/>
    <w:aliases w:val="Non Italique"/>
    <w:basedOn w:val="Titre2"/>
    <w:rsid w:val="002F2BD3"/>
    <w:rPr>
      <w:i/>
      <w:sz w:val="30"/>
      <w:szCs w:val="30"/>
    </w:rPr>
  </w:style>
  <w:style w:type="paragraph" w:styleId="TM1">
    <w:name w:val="toc 1"/>
    <w:basedOn w:val="Normal"/>
    <w:next w:val="Normal"/>
    <w:autoRedefine/>
    <w:uiPriority w:val="39"/>
    <w:rsid w:val="00A33E74"/>
    <w:pPr>
      <w:tabs>
        <w:tab w:val="left" w:pos="284"/>
        <w:tab w:val="right" w:leader="dot" w:pos="9072"/>
      </w:tabs>
      <w:spacing w:before="360"/>
    </w:pPr>
    <w:rPr>
      <w:rFonts w:ascii="Arial" w:hAnsi="Arial" w:cs="Arial"/>
      <w:b/>
      <w:bCs/>
      <w:caps/>
      <w:noProof/>
      <w:sz w:val="24"/>
      <w:szCs w:val="24"/>
    </w:rPr>
  </w:style>
  <w:style w:type="paragraph" w:styleId="TM2">
    <w:name w:val="toc 2"/>
    <w:basedOn w:val="Normal"/>
    <w:next w:val="Normal"/>
    <w:autoRedefine/>
    <w:uiPriority w:val="39"/>
    <w:rsid w:val="00A33E74"/>
    <w:pPr>
      <w:tabs>
        <w:tab w:val="left" w:pos="567"/>
        <w:tab w:val="right" w:pos="9072"/>
      </w:tabs>
      <w:spacing w:before="240"/>
      <w:ind w:left="142"/>
    </w:pPr>
    <w:rPr>
      <w:b/>
      <w:bCs/>
      <w:noProof/>
      <w:sz w:val="20"/>
    </w:rPr>
  </w:style>
  <w:style w:type="paragraph" w:styleId="TM3">
    <w:name w:val="toc 3"/>
    <w:basedOn w:val="Normal"/>
    <w:next w:val="Normal"/>
    <w:autoRedefine/>
    <w:uiPriority w:val="39"/>
    <w:rsid w:val="00A33E74"/>
    <w:pPr>
      <w:tabs>
        <w:tab w:val="left" w:pos="993"/>
        <w:tab w:val="right" w:leader="dot" w:pos="9072"/>
      </w:tabs>
      <w:ind w:left="426"/>
    </w:pPr>
    <w:rPr>
      <w:noProof/>
      <w:sz w:val="20"/>
    </w:rPr>
  </w:style>
  <w:style w:type="paragraph" w:styleId="TM4">
    <w:name w:val="toc 4"/>
    <w:basedOn w:val="Normal"/>
    <w:next w:val="Normal"/>
    <w:autoRedefine/>
    <w:semiHidden/>
    <w:rsid w:val="00F35225"/>
    <w:pPr>
      <w:ind w:left="440"/>
    </w:pPr>
    <w:rPr>
      <w:sz w:val="20"/>
    </w:rPr>
  </w:style>
  <w:style w:type="paragraph" w:styleId="TM5">
    <w:name w:val="toc 5"/>
    <w:basedOn w:val="Normal"/>
    <w:next w:val="Normal"/>
    <w:autoRedefine/>
    <w:semiHidden/>
    <w:rsid w:val="00F35225"/>
    <w:pPr>
      <w:ind w:left="660"/>
    </w:pPr>
    <w:rPr>
      <w:sz w:val="20"/>
    </w:rPr>
  </w:style>
  <w:style w:type="paragraph" w:styleId="TM6">
    <w:name w:val="toc 6"/>
    <w:basedOn w:val="Normal"/>
    <w:next w:val="Normal"/>
    <w:autoRedefine/>
    <w:semiHidden/>
    <w:rsid w:val="00F35225"/>
    <w:pPr>
      <w:ind w:left="880"/>
    </w:pPr>
    <w:rPr>
      <w:sz w:val="20"/>
    </w:rPr>
  </w:style>
  <w:style w:type="paragraph" w:styleId="TM7">
    <w:name w:val="toc 7"/>
    <w:basedOn w:val="Normal"/>
    <w:next w:val="Normal"/>
    <w:autoRedefine/>
    <w:semiHidden/>
    <w:rsid w:val="00F35225"/>
    <w:pPr>
      <w:ind w:left="1100"/>
    </w:pPr>
    <w:rPr>
      <w:sz w:val="20"/>
    </w:rPr>
  </w:style>
  <w:style w:type="paragraph" w:styleId="TM8">
    <w:name w:val="toc 8"/>
    <w:basedOn w:val="Normal"/>
    <w:next w:val="Normal"/>
    <w:autoRedefine/>
    <w:semiHidden/>
    <w:rsid w:val="00F35225"/>
    <w:pPr>
      <w:ind w:left="1320"/>
    </w:pPr>
    <w:rPr>
      <w:sz w:val="20"/>
    </w:rPr>
  </w:style>
  <w:style w:type="paragraph" w:styleId="TM9">
    <w:name w:val="toc 9"/>
    <w:basedOn w:val="Normal"/>
    <w:next w:val="Normal"/>
    <w:autoRedefine/>
    <w:semiHidden/>
    <w:rsid w:val="00F35225"/>
    <w:pPr>
      <w:ind w:left="1540"/>
    </w:pPr>
    <w:rPr>
      <w:sz w:val="20"/>
    </w:rPr>
  </w:style>
  <w:style w:type="numbering" w:styleId="111111">
    <w:name w:val="Outline List 2"/>
    <w:basedOn w:val="Aucuneliste"/>
    <w:rsid w:val="006E511E"/>
    <w:pPr>
      <w:numPr>
        <w:numId w:val="2"/>
      </w:numPr>
    </w:pPr>
  </w:style>
  <w:style w:type="paragraph" w:customStyle="1" w:styleId="StyleVerdana8ptAvant5ptAprs6ptInterligneAumo1">
    <w:name w:val="Style Verdana 8 pt Avant : 5 pt Après : 6 pt Interligne : Au mo...1"/>
    <w:basedOn w:val="Normal"/>
    <w:rsid w:val="006E511E"/>
    <w:pPr>
      <w:numPr>
        <w:numId w:val="3"/>
      </w:numPr>
    </w:pPr>
  </w:style>
  <w:style w:type="character" w:styleId="Lienhypertextesuivivisit">
    <w:name w:val="FollowedHyperlink"/>
    <w:rsid w:val="00AE4856"/>
    <w:rPr>
      <w:color w:val="800080"/>
      <w:u w:val="single"/>
    </w:rPr>
  </w:style>
  <w:style w:type="paragraph" w:styleId="NormalWeb">
    <w:name w:val="Normal (Web)"/>
    <w:basedOn w:val="Normal"/>
    <w:uiPriority w:val="99"/>
    <w:unhideWhenUsed/>
    <w:rsid w:val="00771FA0"/>
    <w:pPr>
      <w:spacing w:before="100" w:beforeAutospacing="1" w:after="100" w:afterAutospacing="1"/>
    </w:pPr>
    <w:rPr>
      <w:sz w:val="24"/>
      <w:szCs w:val="24"/>
    </w:rPr>
  </w:style>
  <w:style w:type="character" w:styleId="Accentuation">
    <w:name w:val="Emphasis"/>
    <w:uiPriority w:val="20"/>
    <w:qFormat/>
    <w:rsid w:val="00771FA0"/>
    <w:rPr>
      <w:i/>
      <w:iCs/>
    </w:rPr>
  </w:style>
  <w:style w:type="paragraph" w:styleId="Titre">
    <w:name w:val="Title"/>
    <w:basedOn w:val="Normal"/>
    <w:next w:val="Normal"/>
    <w:link w:val="TitreCar"/>
    <w:qFormat/>
    <w:rsid w:val="00A01D74"/>
    <w:pPr>
      <w:pBdr>
        <w:top w:val="single" w:sz="4" w:space="6" w:color="DDDDDD"/>
        <w:bottom w:val="single" w:sz="4" w:space="6" w:color="DDDDDD"/>
      </w:pBdr>
      <w:shd w:val="clear" w:color="auto" w:fill="DBE5F1"/>
      <w:spacing w:before="120" w:after="240"/>
      <w:ind w:left="1701" w:right="1701"/>
      <w:jc w:val="center"/>
    </w:pPr>
    <w:rPr>
      <w:rFonts w:ascii="Arial" w:hAnsi="Arial" w:cs="Arial"/>
      <w:b/>
      <w:sz w:val="36"/>
      <w:szCs w:val="36"/>
    </w:rPr>
  </w:style>
  <w:style w:type="character" w:customStyle="1" w:styleId="TitreCar">
    <w:name w:val="Titre Car"/>
    <w:link w:val="Titre"/>
    <w:rsid w:val="00A01D74"/>
    <w:rPr>
      <w:rFonts w:ascii="Arial" w:hAnsi="Arial" w:cs="Arial"/>
      <w:b/>
      <w:sz w:val="36"/>
      <w:szCs w:val="36"/>
      <w:shd w:val="clear" w:color="auto" w:fill="DBE5F1"/>
    </w:rPr>
  </w:style>
  <w:style w:type="paragraph" w:customStyle="1" w:styleId="liste2">
    <w:name w:val="liste2"/>
    <w:basedOn w:val="Normal"/>
    <w:link w:val="liste2Car"/>
    <w:qFormat/>
    <w:rsid w:val="00097F94"/>
    <w:pPr>
      <w:numPr>
        <w:numId w:val="5"/>
      </w:numPr>
      <w:spacing w:after="120"/>
    </w:pPr>
  </w:style>
  <w:style w:type="paragraph" w:styleId="En-ttedetabledesmatires">
    <w:name w:val="TOC Heading"/>
    <w:basedOn w:val="Titre1"/>
    <w:next w:val="Normal"/>
    <w:uiPriority w:val="39"/>
    <w:unhideWhenUsed/>
    <w:qFormat/>
    <w:rsid w:val="00A33E74"/>
    <w:pPr>
      <w:keepNext/>
      <w:keepLines/>
      <w:pBdr>
        <w:top w:val="none" w:sz="0" w:space="0" w:color="auto"/>
        <w:bottom w:val="none" w:sz="0" w:space="0" w:color="auto"/>
      </w:pBdr>
      <w:shd w:val="clear" w:color="auto" w:fill="auto"/>
      <w:spacing w:before="480" w:after="0" w:line="276" w:lineRule="auto"/>
      <w:outlineLvl w:val="9"/>
    </w:pPr>
    <w:rPr>
      <w:rFonts w:ascii="Cambria" w:eastAsia="Times New Roman" w:hAnsi="Cambria" w:cs="Times New Roman"/>
      <w:bCs/>
      <w:color w:val="365F91"/>
      <w:szCs w:val="28"/>
    </w:rPr>
  </w:style>
  <w:style w:type="character" w:customStyle="1" w:styleId="liste2Car">
    <w:name w:val="liste2 Car"/>
    <w:link w:val="liste2"/>
    <w:rsid w:val="00097F94"/>
    <w:rPr>
      <w:rFonts w:ascii="Calibri" w:hAnsi="Calibri"/>
      <w:sz w:val="22"/>
    </w:rPr>
  </w:style>
  <w:style w:type="paragraph" w:customStyle="1" w:styleId="Annexe">
    <w:name w:val="Annexe"/>
    <w:basedOn w:val="Normal"/>
    <w:link w:val="AnnexeCar"/>
    <w:qFormat/>
    <w:rsid w:val="006073E0"/>
    <w:pPr>
      <w:pBdr>
        <w:top w:val="single" w:sz="12" w:space="1" w:color="17365D"/>
      </w:pBdr>
      <w:shd w:val="clear" w:color="auto" w:fill="C6D9F1"/>
      <w:spacing w:before="120" w:after="240"/>
      <w:jc w:val="left"/>
    </w:pPr>
    <w:rPr>
      <w:rFonts w:eastAsia="Calibri"/>
      <w:b/>
      <w:color w:val="003366"/>
      <w:sz w:val="28"/>
      <w:szCs w:val="22"/>
      <w:lang w:eastAsia="en-US"/>
    </w:rPr>
  </w:style>
  <w:style w:type="character" w:customStyle="1" w:styleId="AnnexeCar">
    <w:name w:val="Annexe Car"/>
    <w:link w:val="Annexe"/>
    <w:rsid w:val="006073E0"/>
    <w:rPr>
      <w:rFonts w:ascii="Calibri" w:eastAsia="Calibri" w:hAnsi="Calibri"/>
      <w:b/>
      <w:color w:val="003366"/>
      <w:sz w:val="28"/>
      <w:szCs w:val="22"/>
      <w:shd w:val="clear" w:color="auto" w:fill="C6D9F1"/>
      <w:lang w:eastAsia="en-US"/>
    </w:rPr>
  </w:style>
  <w:style w:type="paragraph" w:styleId="Paragraphedeliste">
    <w:name w:val="List Paragraph"/>
    <w:basedOn w:val="Normal"/>
    <w:uiPriority w:val="34"/>
    <w:qFormat/>
    <w:rsid w:val="00C95349"/>
    <w:pPr>
      <w:spacing w:after="200" w:line="276" w:lineRule="auto"/>
      <w:ind w:left="720"/>
      <w:contextualSpacing/>
      <w:jc w:val="left"/>
    </w:pPr>
    <w:rPr>
      <w:rFonts w:asciiTheme="minorHAnsi" w:eastAsiaTheme="minorHAnsi" w:hAnsiTheme="minorHAnsi" w:cstheme="minorBidi"/>
      <w:szCs w:val="22"/>
      <w:lang w:eastAsia="en-US"/>
    </w:rPr>
  </w:style>
  <w:style w:type="paragraph" w:styleId="Sansinterligne">
    <w:name w:val="No Spacing"/>
    <w:uiPriority w:val="1"/>
    <w:qFormat/>
    <w:rsid w:val="00C95349"/>
    <w:rPr>
      <w:rFonts w:asciiTheme="minorHAnsi" w:eastAsiaTheme="minorHAnsi" w:hAnsiTheme="minorHAnsi" w:cstheme="minorBidi"/>
      <w:sz w:val="22"/>
      <w:szCs w:val="22"/>
      <w:lang w:eastAsia="en-US"/>
    </w:rPr>
  </w:style>
  <w:style w:type="table" w:styleId="Grilledutableau">
    <w:name w:val="Table Grid"/>
    <w:basedOn w:val="TableauNormal"/>
    <w:uiPriority w:val="59"/>
    <w:rsid w:val="00C953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D73B7"/>
    <w:rPr>
      <w:color w:val="808080"/>
      <w:shd w:val="clear" w:color="auto" w:fill="E6E6E6"/>
    </w:rPr>
  </w:style>
  <w:style w:type="character" w:customStyle="1" w:styleId="Titre1Car">
    <w:name w:val="Titre 1 Car"/>
    <w:basedOn w:val="Policepardfaut"/>
    <w:link w:val="Titre1"/>
    <w:uiPriority w:val="9"/>
    <w:rsid w:val="00782042"/>
    <w:rPr>
      <w:rFonts w:ascii="Arial" w:eastAsia="Calibri" w:hAnsi="Arial" w:cs="Arial"/>
      <w:b/>
      <w:color w:val="FFFFFF"/>
      <w:sz w:val="28"/>
      <w:szCs w:val="22"/>
      <w:shd w:val="clear" w:color="auto" w:fill="1F497D"/>
      <w:lang w:eastAsia="en-US"/>
    </w:rPr>
  </w:style>
  <w:style w:type="character" w:customStyle="1" w:styleId="highlight">
    <w:name w:val="highlight"/>
    <w:basedOn w:val="Policepardfaut"/>
    <w:rsid w:val="00372AAE"/>
  </w:style>
  <w:style w:type="paragraph" w:customStyle="1" w:styleId="DCGcorps">
    <w:name w:val="DCG corps"/>
    <w:basedOn w:val="Normal"/>
    <w:link w:val="DCGcorpsCar"/>
    <w:qFormat/>
    <w:rsid w:val="007466C6"/>
    <w:pPr>
      <w:spacing w:after="60"/>
      <w:ind w:left="567"/>
      <w:jc w:val="left"/>
    </w:pPr>
    <w:rPr>
      <w:rFonts w:asciiTheme="minorHAnsi" w:hAnsiTheme="minorHAnsi"/>
      <w:sz w:val="20"/>
    </w:rPr>
  </w:style>
  <w:style w:type="paragraph" w:customStyle="1" w:styleId="DCGtiret">
    <w:name w:val="DCG tiret"/>
    <w:basedOn w:val="Paragraphedeliste"/>
    <w:link w:val="DCGtiretCar"/>
    <w:qFormat/>
    <w:rsid w:val="007466C6"/>
    <w:pPr>
      <w:numPr>
        <w:numId w:val="34"/>
      </w:numPr>
      <w:spacing w:before="60" w:after="0" w:line="240" w:lineRule="auto"/>
      <w:ind w:left="709" w:hanging="142"/>
    </w:pPr>
    <w:rPr>
      <w:rFonts w:cs="Times New Roman"/>
      <w:sz w:val="20"/>
      <w:szCs w:val="20"/>
    </w:rPr>
  </w:style>
  <w:style w:type="character" w:customStyle="1" w:styleId="DCGcorpsCar">
    <w:name w:val="DCG corps Car"/>
    <w:basedOn w:val="Policepardfaut"/>
    <w:link w:val="DCGcorps"/>
    <w:rsid w:val="007466C6"/>
    <w:rPr>
      <w:rFonts w:asciiTheme="minorHAnsi" w:hAnsiTheme="minorHAnsi"/>
    </w:rPr>
  </w:style>
  <w:style w:type="character" w:customStyle="1" w:styleId="DCGtiretCar">
    <w:name w:val="DCG tiret Car"/>
    <w:basedOn w:val="Policepardfaut"/>
    <w:link w:val="DCGtiret"/>
    <w:rsid w:val="007466C6"/>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2003">
      <w:bodyDiv w:val="1"/>
      <w:marLeft w:val="0"/>
      <w:marRight w:val="0"/>
      <w:marTop w:val="0"/>
      <w:marBottom w:val="0"/>
      <w:divBdr>
        <w:top w:val="none" w:sz="0" w:space="0" w:color="auto"/>
        <w:left w:val="none" w:sz="0" w:space="0" w:color="auto"/>
        <w:bottom w:val="none" w:sz="0" w:space="0" w:color="auto"/>
        <w:right w:val="none" w:sz="0" w:space="0" w:color="auto"/>
      </w:divBdr>
      <w:divsChild>
        <w:div w:id="1896045041">
          <w:marLeft w:val="0"/>
          <w:marRight w:val="0"/>
          <w:marTop w:val="0"/>
          <w:marBottom w:val="0"/>
          <w:divBdr>
            <w:top w:val="none" w:sz="0" w:space="0" w:color="auto"/>
            <w:left w:val="none" w:sz="0" w:space="0" w:color="auto"/>
            <w:bottom w:val="none" w:sz="0" w:space="0" w:color="auto"/>
            <w:right w:val="none" w:sz="0" w:space="0" w:color="auto"/>
          </w:divBdr>
        </w:div>
        <w:div w:id="997342009">
          <w:marLeft w:val="0"/>
          <w:marRight w:val="0"/>
          <w:marTop w:val="0"/>
          <w:marBottom w:val="0"/>
          <w:divBdr>
            <w:top w:val="none" w:sz="0" w:space="0" w:color="auto"/>
            <w:left w:val="none" w:sz="0" w:space="0" w:color="auto"/>
            <w:bottom w:val="none" w:sz="0" w:space="0" w:color="auto"/>
            <w:right w:val="none" w:sz="0" w:space="0" w:color="auto"/>
          </w:divBdr>
        </w:div>
      </w:divsChild>
    </w:div>
    <w:div w:id="93020803">
      <w:bodyDiv w:val="1"/>
      <w:marLeft w:val="0"/>
      <w:marRight w:val="0"/>
      <w:marTop w:val="0"/>
      <w:marBottom w:val="0"/>
      <w:divBdr>
        <w:top w:val="none" w:sz="0" w:space="0" w:color="auto"/>
        <w:left w:val="none" w:sz="0" w:space="0" w:color="auto"/>
        <w:bottom w:val="none" w:sz="0" w:space="0" w:color="auto"/>
        <w:right w:val="none" w:sz="0" w:space="0" w:color="auto"/>
      </w:divBdr>
      <w:divsChild>
        <w:div w:id="208494784">
          <w:marLeft w:val="0"/>
          <w:marRight w:val="0"/>
          <w:marTop w:val="0"/>
          <w:marBottom w:val="0"/>
          <w:divBdr>
            <w:top w:val="none" w:sz="0" w:space="0" w:color="auto"/>
            <w:left w:val="none" w:sz="0" w:space="0" w:color="auto"/>
            <w:bottom w:val="none" w:sz="0" w:space="0" w:color="auto"/>
            <w:right w:val="none" w:sz="0" w:space="0" w:color="auto"/>
          </w:divBdr>
        </w:div>
        <w:div w:id="1018234941">
          <w:marLeft w:val="0"/>
          <w:marRight w:val="0"/>
          <w:marTop w:val="0"/>
          <w:marBottom w:val="0"/>
          <w:divBdr>
            <w:top w:val="none" w:sz="0" w:space="0" w:color="auto"/>
            <w:left w:val="none" w:sz="0" w:space="0" w:color="auto"/>
            <w:bottom w:val="none" w:sz="0" w:space="0" w:color="auto"/>
            <w:right w:val="none" w:sz="0" w:space="0" w:color="auto"/>
          </w:divBdr>
        </w:div>
        <w:div w:id="111022202">
          <w:marLeft w:val="0"/>
          <w:marRight w:val="0"/>
          <w:marTop w:val="0"/>
          <w:marBottom w:val="0"/>
          <w:divBdr>
            <w:top w:val="none" w:sz="0" w:space="0" w:color="auto"/>
            <w:left w:val="none" w:sz="0" w:space="0" w:color="auto"/>
            <w:bottom w:val="none" w:sz="0" w:space="0" w:color="auto"/>
            <w:right w:val="none" w:sz="0" w:space="0" w:color="auto"/>
          </w:divBdr>
        </w:div>
        <w:div w:id="795413288">
          <w:marLeft w:val="0"/>
          <w:marRight w:val="0"/>
          <w:marTop w:val="0"/>
          <w:marBottom w:val="0"/>
          <w:divBdr>
            <w:top w:val="none" w:sz="0" w:space="0" w:color="auto"/>
            <w:left w:val="none" w:sz="0" w:space="0" w:color="auto"/>
            <w:bottom w:val="none" w:sz="0" w:space="0" w:color="auto"/>
            <w:right w:val="none" w:sz="0" w:space="0" w:color="auto"/>
          </w:divBdr>
        </w:div>
        <w:div w:id="276789520">
          <w:marLeft w:val="0"/>
          <w:marRight w:val="0"/>
          <w:marTop w:val="0"/>
          <w:marBottom w:val="0"/>
          <w:divBdr>
            <w:top w:val="none" w:sz="0" w:space="0" w:color="auto"/>
            <w:left w:val="none" w:sz="0" w:space="0" w:color="auto"/>
            <w:bottom w:val="none" w:sz="0" w:space="0" w:color="auto"/>
            <w:right w:val="none" w:sz="0" w:space="0" w:color="auto"/>
          </w:divBdr>
        </w:div>
      </w:divsChild>
    </w:div>
    <w:div w:id="164127985">
      <w:bodyDiv w:val="1"/>
      <w:marLeft w:val="0"/>
      <w:marRight w:val="0"/>
      <w:marTop w:val="0"/>
      <w:marBottom w:val="0"/>
      <w:divBdr>
        <w:top w:val="none" w:sz="0" w:space="0" w:color="auto"/>
        <w:left w:val="none" w:sz="0" w:space="0" w:color="auto"/>
        <w:bottom w:val="none" w:sz="0" w:space="0" w:color="auto"/>
        <w:right w:val="none" w:sz="0" w:space="0" w:color="auto"/>
      </w:divBdr>
    </w:div>
    <w:div w:id="423767572">
      <w:bodyDiv w:val="1"/>
      <w:marLeft w:val="0"/>
      <w:marRight w:val="0"/>
      <w:marTop w:val="0"/>
      <w:marBottom w:val="0"/>
      <w:divBdr>
        <w:top w:val="none" w:sz="0" w:space="0" w:color="auto"/>
        <w:left w:val="none" w:sz="0" w:space="0" w:color="auto"/>
        <w:bottom w:val="none" w:sz="0" w:space="0" w:color="auto"/>
        <w:right w:val="none" w:sz="0" w:space="0" w:color="auto"/>
      </w:divBdr>
    </w:div>
    <w:div w:id="534587947">
      <w:bodyDiv w:val="1"/>
      <w:marLeft w:val="0"/>
      <w:marRight w:val="0"/>
      <w:marTop w:val="0"/>
      <w:marBottom w:val="0"/>
      <w:divBdr>
        <w:top w:val="none" w:sz="0" w:space="0" w:color="auto"/>
        <w:left w:val="none" w:sz="0" w:space="0" w:color="auto"/>
        <w:bottom w:val="none" w:sz="0" w:space="0" w:color="auto"/>
        <w:right w:val="none" w:sz="0" w:space="0" w:color="auto"/>
      </w:divBdr>
    </w:div>
    <w:div w:id="586423081">
      <w:bodyDiv w:val="1"/>
      <w:marLeft w:val="0"/>
      <w:marRight w:val="0"/>
      <w:marTop w:val="0"/>
      <w:marBottom w:val="0"/>
      <w:divBdr>
        <w:top w:val="none" w:sz="0" w:space="0" w:color="auto"/>
        <w:left w:val="none" w:sz="0" w:space="0" w:color="auto"/>
        <w:bottom w:val="none" w:sz="0" w:space="0" w:color="auto"/>
        <w:right w:val="none" w:sz="0" w:space="0" w:color="auto"/>
      </w:divBdr>
    </w:div>
    <w:div w:id="602231899">
      <w:bodyDiv w:val="1"/>
      <w:marLeft w:val="0"/>
      <w:marRight w:val="0"/>
      <w:marTop w:val="0"/>
      <w:marBottom w:val="0"/>
      <w:divBdr>
        <w:top w:val="none" w:sz="0" w:space="0" w:color="auto"/>
        <w:left w:val="none" w:sz="0" w:space="0" w:color="auto"/>
        <w:bottom w:val="none" w:sz="0" w:space="0" w:color="auto"/>
        <w:right w:val="none" w:sz="0" w:space="0" w:color="auto"/>
      </w:divBdr>
    </w:div>
    <w:div w:id="686565332">
      <w:bodyDiv w:val="1"/>
      <w:marLeft w:val="0"/>
      <w:marRight w:val="0"/>
      <w:marTop w:val="0"/>
      <w:marBottom w:val="0"/>
      <w:divBdr>
        <w:top w:val="none" w:sz="0" w:space="0" w:color="auto"/>
        <w:left w:val="none" w:sz="0" w:space="0" w:color="auto"/>
        <w:bottom w:val="none" w:sz="0" w:space="0" w:color="auto"/>
        <w:right w:val="none" w:sz="0" w:space="0" w:color="auto"/>
      </w:divBdr>
    </w:div>
    <w:div w:id="751701244">
      <w:bodyDiv w:val="1"/>
      <w:marLeft w:val="0"/>
      <w:marRight w:val="0"/>
      <w:marTop w:val="0"/>
      <w:marBottom w:val="0"/>
      <w:divBdr>
        <w:top w:val="none" w:sz="0" w:space="0" w:color="auto"/>
        <w:left w:val="none" w:sz="0" w:space="0" w:color="auto"/>
        <w:bottom w:val="none" w:sz="0" w:space="0" w:color="auto"/>
        <w:right w:val="none" w:sz="0" w:space="0" w:color="auto"/>
      </w:divBdr>
      <w:divsChild>
        <w:div w:id="883102699">
          <w:marLeft w:val="0"/>
          <w:marRight w:val="0"/>
          <w:marTop w:val="0"/>
          <w:marBottom w:val="0"/>
          <w:divBdr>
            <w:top w:val="none" w:sz="0" w:space="0" w:color="auto"/>
            <w:left w:val="none" w:sz="0" w:space="0" w:color="auto"/>
            <w:bottom w:val="none" w:sz="0" w:space="0" w:color="auto"/>
            <w:right w:val="none" w:sz="0" w:space="0" w:color="auto"/>
          </w:divBdr>
        </w:div>
      </w:divsChild>
    </w:div>
    <w:div w:id="843976490">
      <w:bodyDiv w:val="1"/>
      <w:marLeft w:val="0"/>
      <w:marRight w:val="0"/>
      <w:marTop w:val="0"/>
      <w:marBottom w:val="0"/>
      <w:divBdr>
        <w:top w:val="none" w:sz="0" w:space="0" w:color="auto"/>
        <w:left w:val="none" w:sz="0" w:space="0" w:color="auto"/>
        <w:bottom w:val="none" w:sz="0" w:space="0" w:color="auto"/>
        <w:right w:val="none" w:sz="0" w:space="0" w:color="auto"/>
      </w:divBdr>
    </w:div>
    <w:div w:id="871921687">
      <w:bodyDiv w:val="1"/>
      <w:marLeft w:val="0"/>
      <w:marRight w:val="0"/>
      <w:marTop w:val="0"/>
      <w:marBottom w:val="0"/>
      <w:divBdr>
        <w:top w:val="none" w:sz="0" w:space="0" w:color="auto"/>
        <w:left w:val="none" w:sz="0" w:space="0" w:color="auto"/>
        <w:bottom w:val="none" w:sz="0" w:space="0" w:color="auto"/>
        <w:right w:val="none" w:sz="0" w:space="0" w:color="auto"/>
      </w:divBdr>
      <w:divsChild>
        <w:div w:id="1069765976">
          <w:marLeft w:val="0"/>
          <w:marRight w:val="0"/>
          <w:marTop w:val="0"/>
          <w:marBottom w:val="0"/>
          <w:divBdr>
            <w:top w:val="none" w:sz="0" w:space="0" w:color="auto"/>
            <w:left w:val="none" w:sz="0" w:space="0" w:color="auto"/>
            <w:bottom w:val="none" w:sz="0" w:space="0" w:color="auto"/>
            <w:right w:val="none" w:sz="0" w:space="0" w:color="auto"/>
          </w:divBdr>
        </w:div>
      </w:divsChild>
    </w:div>
    <w:div w:id="968821812">
      <w:bodyDiv w:val="1"/>
      <w:marLeft w:val="0"/>
      <w:marRight w:val="0"/>
      <w:marTop w:val="0"/>
      <w:marBottom w:val="0"/>
      <w:divBdr>
        <w:top w:val="none" w:sz="0" w:space="0" w:color="auto"/>
        <w:left w:val="none" w:sz="0" w:space="0" w:color="auto"/>
        <w:bottom w:val="none" w:sz="0" w:space="0" w:color="auto"/>
        <w:right w:val="none" w:sz="0" w:space="0" w:color="auto"/>
      </w:divBdr>
    </w:div>
    <w:div w:id="977299035">
      <w:bodyDiv w:val="1"/>
      <w:marLeft w:val="0"/>
      <w:marRight w:val="0"/>
      <w:marTop w:val="0"/>
      <w:marBottom w:val="0"/>
      <w:divBdr>
        <w:top w:val="none" w:sz="0" w:space="0" w:color="auto"/>
        <w:left w:val="none" w:sz="0" w:space="0" w:color="auto"/>
        <w:bottom w:val="none" w:sz="0" w:space="0" w:color="auto"/>
        <w:right w:val="none" w:sz="0" w:space="0" w:color="auto"/>
      </w:divBdr>
    </w:div>
    <w:div w:id="1001658107">
      <w:bodyDiv w:val="1"/>
      <w:marLeft w:val="0"/>
      <w:marRight w:val="0"/>
      <w:marTop w:val="0"/>
      <w:marBottom w:val="0"/>
      <w:divBdr>
        <w:top w:val="none" w:sz="0" w:space="0" w:color="auto"/>
        <w:left w:val="none" w:sz="0" w:space="0" w:color="auto"/>
        <w:bottom w:val="none" w:sz="0" w:space="0" w:color="auto"/>
        <w:right w:val="none" w:sz="0" w:space="0" w:color="auto"/>
      </w:divBdr>
      <w:divsChild>
        <w:div w:id="165172391">
          <w:marLeft w:val="0"/>
          <w:marRight w:val="0"/>
          <w:marTop w:val="0"/>
          <w:marBottom w:val="0"/>
          <w:divBdr>
            <w:top w:val="none" w:sz="0" w:space="0" w:color="auto"/>
            <w:left w:val="none" w:sz="0" w:space="0" w:color="auto"/>
            <w:bottom w:val="none" w:sz="0" w:space="0" w:color="auto"/>
            <w:right w:val="none" w:sz="0" w:space="0" w:color="auto"/>
          </w:divBdr>
          <w:divsChild>
            <w:div w:id="1847204866">
              <w:marLeft w:val="-188"/>
              <w:marRight w:val="-188"/>
              <w:marTop w:val="0"/>
              <w:marBottom w:val="0"/>
              <w:divBdr>
                <w:top w:val="none" w:sz="0" w:space="0" w:color="auto"/>
                <w:left w:val="none" w:sz="0" w:space="0" w:color="auto"/>
                <w:bottom w:val="none" w:sz="0" w:space="0" w:color="auto"/>
                <w:right w:val="none" w:sz="0" w:space="0" w:color="auto"/>
              </w:divBdr>
              <w:divsChild>
                <w:div w:id="272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190801917">
          <w:marLeft w:val="0"/>
          <w:marRight w:val="0"/>
          <w:marTop w:val="0"/>
          <w:marBottom w:val="0"/>
          <w:divBdr>
            <w:top w:val="none" w:sz="0" w:space="0" w:color="auto"/>
            <w:left w:val="none" w:sz="0" w:space="0" w:color="auto"/>
            <w:bottom w:val="none" w:sz="0" w:space="0" w:color="auto"/>
            <w:right w:val="none" w:sz="0" w:space="0" w:color="auto"/>
          </w:divBdr>
          <w:divsChild>
            <w:div w:id="377509602">
              <w:marLeft w:val="0"/>
              <w:marRight w:val="0"/>
              <w:marTop w:val="0"/>
              <w:marBottom w:val="0"/>
              <w:divBdr>
                <w:top w:val="none" w:sz="0" w:space="0" w:color="auto"/>
                <w:left w:val="none" w:sz="0" w:space="0" w:color="auto"/>
                <w:bottom w:val="none" w:sz="0" w:space="0" w:color="auto"/>
                <w:right w:val="none" w:sz="0" w:space="0" w:color="auto"/>
              </w:divBdr>
            </w:div>
            <w:div w:id="862015919">
              <w:marLeft w:val="0"/>
              <w:marRight w:val="0"/>
              <w:marTop w:val="0"/>
              <w:marBottom w:val="0"/>
              <w:divBdr>
                <w:top w:val="none" w:sz="0" w:space="0" w:color="auto"/>
                <w:left w:val="none" w:sz="0" w:space="0" w:color="auto"/>
                <w:bottom w:val="none" w:sz="0" w:space="0" w:color="auto"/>
                <w:right w:val="none" w:sz="0" w:space="0" w:color="auto"/>
              </w:divBdr>
            </w:div>
            <w:div w:id="14690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6073">
      <w:bodyDiv w:val="1"/>
      <w:marLeft w:val="0"/>
      <w:marRight w:val="0"/>
      <w:marTop w:val="0"/>
      <w:marBottom w:val="0"/>
      <w:divBdr>
        <w:top w:val="none" w:sz="0" w:space="0" w:color="auto"/>
        <w:left w:val="none" w:sz="0" w:space="0" w:color="auto"/>
        <w:bottom w:val="none" w:sz="0" w:space="0" w:color="auto"/>
        <w:right w:val="none" w:sz="0" w:space="0" w:color="auto"/>
      </w:divBdr>
    </w:div>
    <w:div w:id="1369911585">
      <w:bodyDiv w:val="1"/>
      <w:marLeft w:val="0"/>
      <w:marRight w:val="0"/>
      <w:marTop w:val="0"/>
      <w:marBottom w:val="0"/>
      <w:divBdr>
        <w:top w:val="none" w:sz="0" w:space="0" w:color="auto"/>
        <w:left w:val="none" w:sz="0" w:space="0" w:color="auto"/>
        <w:bottom w:val="none" w:sz="0" w:space="0" w:color="auto"/>
        <w:right w:val="none" w:sz="0" w:space="0" w:color="auto"/>
      </w:divBdr>
      <w:divsChild>
        <w:div w:id="1207139651">
          <w:marLeft w:val="0"/>
          <w:marRight w:val="0"/>
          <w:marTop w:val="94"/>
          <w:marBottom w:val="0"/>
          <w:divBdr>
            <w:top w:val="none" w:sz="0" w:space="0" w:color="auto"/>
            <w:left w:val="single" w:sz="24" w:space="0" w:color="FFE600"/>
            <w:bottom w:val="none" w:sz="0" w:space="0" w:color="auto"/>
            <w:right w:val="none" w:sz="0" w:space="0" w:color="auto"/>
          </w:divBdr>
        </w:div>
        <w:div w:id="270431468">
          <w:marLeft w:val="0"/>
          <w:marRight w:val="29"/>
          <w:marTop w:val="0"/>
          <w:marBottom w:val="0"/>
          <w:divBdr>
            <w:top w:val="none" w:sz="0" w:space="0" w:color="auto"/>
            <w:left w:val="none" w:sz="0" w:space="0" w:color="auto"/>
            <w:bottom w:val="none" w:sz="0" w:space="0" w:color="auto"/>
            <w:right w:val="none" w:sz="0" w:space="0" w:color="auto"/>
          </w:divBdr>
        </w:div>
        <w:div w:id="630668312">
          <w:marLeft w:val="0"/>
          <w:marRight w:val="29"/>
          <w:marTop w:val="0"/>
          <w:marBottom w:val="0"/>
          <w:divBdr>
            <w:top w:val="none" w:sz="0" w:space="0" w:color="auto"/>
            <w:left w:val="none" w:sz="0" w:space="0" w:color="auto"/>
            <w:bottom w:val="none" w:sz="0" w:space="0" w:color="auto"/>
            <w:right w:val="none" w:sz="0" w:space="0" w:color="auto"/>
          </w:divBdr>
        </w:div>
        <w:div w:id="1925842179">
          <w:marLeft w:val="0"/>
          <w:marRight w:val="29"/>
          <w:marTop w:val="0"/>
          <w:marBottom w:val="0"/>
          <w:divBdr>
            <w:top w:val="none" w:sz="0" w:space="0" w:color="auto"/>
            <w:left w:val="none" w:sz="0" w:space="0" w:color="auto"/>
            <w:bottom w:val="none" w:sz="0" w:space="0" w:color="auto"/>
            <w:right w:val="none" w:sz="0" w:space="0" w:color="auto"/>
          </w:divBdr>
        </w:div>
        <w:div w:id="1007248253">
          <w:marLeft w:val="0"/>
          <w:marRight w:val="0"/>
          <w:marTop w:val="94"/>
          <w:marBottom w:val="0"/>
          <w:divBdr>
            <w:top w:val="none" w:sz="0" w:space="0" w:color="auto"/>
            <w:left w:val="single" w:sz="24" w:space="0" w:color="FFE600"/>
            <w:bottom w:val="none" w:sz="0" w:space="0" w:color="auto"/>
            <w:right w:val="none" w:sz="0" w:space="0" w:color="auto"/>
          </w:divBdr>
        </w:div>
      </w:divsChild>
    </w:div>
    <w:div w:id="1425153645">
      <w:bodyDiv w:val="1"/>
      <w:marLeft w:val="0"/>
      <w:marRight w:val="0"/>
      <w:marTop w:val="0"/>
      <w:marBottom w:val="0"/>
      <w:divBdr>
        <w:top w:val="none" w:sz="0" w:space="0" w:color="auto"/>
        <w:left w:val="none" w:sz="0" w:space="0" w:color="auto"/>
        <w:bottom w:val="none" w:sz="0" w:space="0" w:color="auto"/>
        <w:right w:val="none" w:sz="0" w:space="0" w:color="auto"/>
      </w:divBdr>
    </w:div>
    <w:div w:id="1444883072">
      <w:bodyDiv w:val="1"/>
      <w:marLeft w:val="0"/>
      <w:marRight w:val="0"/>
      <w:marTop w:val="0"/>
      <w:marBottom w:val="0"/>
      <w:divBdr>
        <w:top w:val="none" w:sz="0" w:space="0" w:color="auto"/>
        <w:left w:val="none" w:sz="0" w:space="0" w:color="auto"/>
        <w:bottom w:val="none" w:sz="0" w:space="0" w:color="auto"/>
        <w:right w:val="none" w:sz="0" w:space="0" w:color="auto"/>
      </w:divBdr>
    </w:div>
    <w:div w:id="1836409051">
      <w:bodyDiv w:val="1"/>
      <w:marLeft w:val="0"/>
      <w:marRight w:val="0"/>
      <w:marTop w:val="0"/>
      <w:marBottom w:val="0"/>
      <w:divBdr>
        <w:top w:val="none" w:sz="0" w:space="0" w:color="auto"/>
        <w:left w:val="none" w:sz="0" w:space="0" w:color="auto"/>
        <w:bottom w:val="none" w:sz="0" w:space="0" w:color="auto"/>
        <w:right w:val="none" w:sz="0" w:space="0" w:color="auto"/>
      </w:divBdr>
    </w:div>
    <w:div w:id="1845583069">
      <w:bodyDiv w:val="1"/>
      <w:marLeft w:val="0"/>
      <w:marRight w:val="0"/>
      <w:marTop w:val="0"/>
      <w:marBottom w:val="0"/>
      <w:divBdr>
        <w:top w:val="none" w:sz="0" w:space="0" w:color="auto"/>
        <w:left w:val="none" w:sz="0" w:space="0" w:color="auto"/>
        <w:bottom w:val="none" w:sz="0" w:space="0" w:color="auto"/>
        <w:right w:val="none" w:sz="0" w:space="0" w:color="auto"/>
      </w:divBdr>
    </w:div>
    <w:div w:id="1848861216">
      <w:bodyDiv w:val="1"/>
      <w:marLeft w:val="0"/>
      <w:marRight w:val="0"/>
      <w:marTop w:val="0"/>
      <w:marBottom w:val="0"/>
      <w:divBdr>
        <w:top w:val="none" w:sz="0" w:space="0" w:color="auto"/>
        <w:left w:val="none" w:sz="0" w:space="0" w:color="auto"/>
        <w:bottom w:val="none" w:sz="0" w:space="0" w:color="auto"/>
        <w:right w:val="none" w:sz="0" w:space="0" w:color="auto"/>
      </w:divBdr>
    </w:div>
    <w:div w:id="1918972606">
      <w:bodyDiv w:val="1"/>
      <w:marLeft w:val="0"/>
      <w:marRight w:val="0"/>
      <w:marTop w:val="0"/>
      <w:marBottom w:val="0"/>
      <w:divBdr>
        <w:top w:val="none" w:sz="0" w:space="0" w:color="auto"/>
        <w:left w:val="none" w:sz="0" w:space="0" w:color="auto"/>
        <w:bottom w:val="none" w:sz="0" w:space="0" w:color="auto"/>
        <w:right w:val="none" w:sz="0" w:space="0" w:color="auto"/>
      </w:divBdr>
    </w:div>
    <w:div w:id="1943413694">
      <w:bodyDiv w:val="1"/>
      <w:marLeft w:val="0"/>
      <w:marRight w:val="0"/>
      <w:marTop w:val="0"/>
      <w:marBottom w:val="0"/>
      <w:divBdr>
        <w:top w:val="none" w:sz="0" w:space="0" w:color="auto"/>
        <w:left w:val="none" w:sz="0" w:space="0" w:color="auto"/>
        <w:bottom w:val="none" w:sz="0" w:space="0" w:color="auto"/>
        <w:right w:val="none" w:sz="0" w:space="0" w:color="auto"/>
      </w:divBdr>
    </w:div>
    <w:div w:id="2036226433">
      <w:bodyDiv w:val="1"/>
      <w:marLeft w:val="0"/>
      <w:marRight w:val="0"/>
      <w:marTop w:val="0"/>
      <w:marBottom w:val="0"/>
      <w:divBdr>
        <w:top w:val="none" w:sz="0" w:space="0" w:color="auto"/>
        <w:left w:val="none" w:sz="0" w:space="0" w:color="auto"/>
        <w:bottom w:val="none" w:sz="0" w:space="0" w:color="auto"/>
        <w:right w:val="none" w:sz="0" w:space="0" w:color="auto"/>
      </w:divBdr>
    </w:div>
    <w:div w:id="2044866172">
      <w:bodyDiv w:val="1"/>
      <w:marLeft w:val="0"/>
      <w:marRight w:val="0"/>
      <w:marTop w:val="0"/>
      <w:marBottom w:val="0"/>
      <w:divBdr>
        <w:top w:val="none" w:sz="0" w:space="0" w:color="auto"/>
        <w:left w:val="none" w:sz="0" w:space="0" w:color="auto"/>
        <w:bottom w:val="none" w:sz="0" w:space="0" w:color="auto"/>
        <w:right w:val="none" w:sz="0" w:space="0" w:color="auto"/>
      </w:divBdr>
    </w:div>
    <w:div w:id="2050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R/TXT/PDF/?uri=OJ:L:2017:291:FULL&amp;fro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cusifrs.com/content/download/10539/56213/version/1/file/R%C3%A8glement+IFRS+16.pdf" TargetMode="External"/><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9CD5-6FB7-4031-911B-FAEB4D72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1596</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&lt;Intitulé du document saisi dans Fichier, Propriétés&gt;</vt:lpstr>
    </vt:vector>
  </TitlesOfParts>
  <Company>CRCF EN</Company>
  <LinksUpToDate>false</LinksUpToDate>
  <CharactersWithSpaces>10360</CharactersWithSpaces>
  <SharedDoc>false</SharedDoc>
  <HLinks>
    <vt:vector size="78" baseType="variant">
      <vt:variant>
        <vt:i4>1966133</vt:i4>
      </vt:variant>
      <vt:variant>
        <vt:i4>53</vt:i4>
      </vt:variant>
      <vt:variant>
        <vt:i4>0</vt:i4>
      </vt:variant>
      <vt:variant>
        <vt:i4>5</vt:i4>
      </vt:variant>
      <vt:variant>
        <vt:lpwstr/>
      </vt:variant>
      <vt:variant>
        <vt:lpwstr>_Toc337805170</vt:lpwstr>
      </vt:variant>
      <vt:variant>
        <vt:i4>2031669</vt:i4>
      </vt:variant>
      <vt:variant>
        <vt:i4>47</vt:i4>
      </vt:variant>
      <vt:variant>
        <vt:i4>0</vt:i4>
      </vt:variant>
      <vt:variant>
        <vt:i4>5</vt:i4>
      </vt:variant>
      <vt:variant>
        <vt:lpwstr/>
      </vt:variant>
      <vt:variant>
        <vt:lpwstr>_Toc337805169</vt:lpwstr>
      </vt:variant>
      <vt:variant>
        <vt:i4>2031669</vt:i4>
      </vt:variant>
      <vt:variant>
        <vt:i4>41</vt:i4>
      </vt:variant>
      <vt:variant>
        <vt:i4>0</vt:i4>
      </vt:variant>
      <vt:variant>
        <vt:i4>5</vt:i4>
      </vt:variant>
      <vt:variant>
        <vt:lpwstr/>
      </vt:variant>
      <vt:variant>
        <vt:lpwstr>_Toc337805168</vt:lpwstr>
      </vt:variant>
      <vt:variant>
        <vt:i4>2031669</vt:i4>
      </vt:variant>
      <vt:variant>
        <vt:i4>35</vt:i4>
      </vt:variant>
      <vt:variant>
        <vt:i4>0</vt:i4>
      </vt:variant>
      <vt:variant>
        <vt:i4>5</vt:i4>
      </vt:variant>
      <vt:variant>
        <vt:lpwstr/>
      </vt:variant>
      <vt:variant>
        <vt:lpwstr>_Toc337805167</vt:lpwstr>
      </vt:variant>
      <vt:variant>
        <vt:i4>2031669</vt:i4>
      </vt:variant>
      <vt:variant>
        <vt:i4>29</vt:i4>
      </vt:variant>
      <vt:variant>
        <vt:i4>0</vt:i4>
      </vt:variant>
      <vt:variant>
        <vt:i4>5</vt:i4>
      </vt:variant>
      <vt:variant>
        <vt:lpwstr/>
      </vt:variant>
      <vt:variant>
        <vt:lpwstr>_Toc337805166</vt:lpwstr>
      </vt:variant>
      <vt:variant>
        <vt:i4>2031669</vt:i4>
      </vt:variant>
      <vt:variant>
        <vt:i4>23</vt:i4>
      </vt:variant>
      <vt:variant>
        <vt:i4>0</vt:i4>
      </vt:variant>
      <vt:variant>
        <vt:i4>5</vt:i4>
      </vt:variant>
      <vt:variant>
        <vt:lpwstr/>
      </vt:variant>
      <vt:variant>
        <vt:lpwstr>_Toc337805165</vt:lpwstr>
      </vt:variant>
      <vt:variant>
        <vt:i4>2031669</vt:i4>
      </vt:variant>
      <vt:variant>
        <vt:i4>17</vt:i4>
      </vt:variant>
      <vt:variant>
        <vt:i4>0</vt:i4>
      </vt:variant>
      <vt:variant>
        <vt:i4>5</vt:i4>
      </vt:variant>
      <vt:variant>
        <vt:lpwstr/>
      </vt:variant>
      <vt:variant>
        <vt:lpwstr>_Toc337805164</vt:lpwstr>
      </vt:variant>
      <vt:variant>
        <vt:i4>2031669</vt:i4>
      </vt:variant>
      <vt:variant>
        <vt:i4>11</vt:i4>
      </vt:variant>
      <vt:variant>
        <vt:i4>0</vt:i4>
      </vt:variant>
      <vt:variant>
        <vt:i4>5</vt:i4>
      </vt:variant>
      <vt:variant>
        <vt:lpwstr/>
      </vt:variant>
      <vt:variant>
        <vt:lpwstr>_Toc337805163</vt:lpwstr>
      </vt:variant>
      <vt:variant>
        <vt:i4>2031669</vt:i4>
      </vt:variant>
      <vt:variant>
        <vt:i4>5</vt:i4>
      </vt:variant>
      <vt:variant>
        <vt:i4>0</vt:i4>
      </vt:variant>
      <vt:variant>
        <vt:i4>5</vt:i4>
      </vt:variant>
      <vt:variant>
        <vt:lpwstr/>
      </vt:variant>
      <vt:variant>
        <vt:lpwstr>_Toc337805162</vt:lpwstr>
      </vt:variant>
      <vt:variant>
        <vt:i4>3866668</vt:i4>
      </vt:variant>
      <vt:variant>
        <vt:i4>0</vt:i4>
      </vt:variant>
      <vt:variant>
        <vt:i4>0</vt:i4>
      </vt:variant>
      <vt:variant>
        <vt:i4>5</vt:i4>
      </vt:variant>
      <vt:variant>
        <vt:lpwstr>http://crcf.ac-grenoble.fr/</vt:lpwstr>
      </vt:variant>
      <vt:variant>
        <vt:lpwstr/>
      </vt:variant>
      <vt:variant>
        <vt:i4>2883629</vt:i4>
      </vt:variant>
      <vt:variant>
        <vt:i4>33</vt:i4>
      </vt:variant>
      <vt:variant>
        <vt:i4>0</vt:i4>
      </vt:variant>
      <vt:variant>
        <vt:i4>5</vt:i4>
      </vt:variant>
      <vt:variant>
        <vt:lpwstr>http://crtg.ac-grenoble.fr/</vt:lpwstr>
      </vt:variant>
      <vt:variant>
        <vt:lpwstr/>
      </vt:variant>
      <vt:variant>
        <vt:i4>2883629</vt:i4>
      </vt:variant>
      <vt:variant>
        <vt:i4>21</vt:i4>
      </vt:variant>
      <vt:variant>
        <vt:i4>0</vt:i4>
      </vt:variant>
      <vt:variant>
        <vt:i4>5</vt:i4>
      </vt:variant>
      <vt:variant>
        <vt:lpwstr>http://crtg.ac-grenoble.fr/</vt:lpwstr>
      </vt:variant>
      <vt:variant>
        <vt:lpwstr/>
      </vt:variant>
      <vt:variant>
        <vt:i4>917510</vt:i4>
      </vt:variant>
      <vt:variant>
        <vt:i4>15</vt:i4>
      </vt:variant>
      <vt:variant>
        <vt:i4>0</vt:i4>
      </vt:variant>
      <vt:variant>
        <vt:i4>5</vt:i4>
      </vt:variant>
      <vt:variant>
        <vt:lpwstr>http://creativecommons.org/licenses/by-nc-sa/2.0/fr/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&lt;Intitulé du document saisi dans Fichier, Propriétés&gt;</dc:title>
  <dc:subject>&lt;catégorie, thème&gt; Ex: Crcf Privé, Fonctionnement...</dc:subject>
  <dc:creator>svial</dc:creator>
  <cp:keywords>Charte graphique Document type (séparateur=espace)</cp:keywords>
  <dc:description>Version 1.3, 23/10/2009, format Word 2000-2003</dc:description>
  <cp:lastModifiedBy>Audrey</cp:lastModifiedBy>
  <cp:revision>4</cp:revision>
  <cp:lastPrinted>2019-05-26T12:13:00Z</cp:lastPrinted>
  <dcterms:created xsi:type="dcterms:W3CDTF">2019-05-26T12:25:00Z</dcterms:created>
  <dcterms:modified xsi:type="dcterms:W3CDTF">2019-05-26T14:05:00Z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