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3275" w:rsidRPr="00FE0954" w:rsidRDefault="00FD3275" w:rsidP="00FD3275">
      <w:pPr>
        <w:jc w:val="both"/>
        <w:rPr>
          <w:rFonts w:ascii="Arial" w:hAnsi="Arial" w:cs="Arial"/>
          <w:i/>
          <w:sz w:val="18"/>
          <w:szCs w:val="18"/>
        </w:rPr>
      </w:pPr>
      <w:r w:rsidRPr="008D1B9D">
        <w:rPr>
          <w:rFonts w:ascii="Arial" w:hAnsi="Arial" w:cs="Arial"/>
          <w:b/>
        </w:rPr>
        <w:t>Le calcul des coûts doit permettre de répondre à certaines questions pour faciliter la prise de décision</w:t>
      </w:r>
      <w:r>
        <w:rPr>
          <w:rFonts w:ascii="Arial" w:hAnsi="Arial" w:cs="Arial"/>
        </w:rPr>
        <w:t xml:space="preserve">. </w:t>
      </w:r>
      <w:r w:rsidRPr="008D1B9D">
        <w:rPr>
          <w:rFonts w:ascii="Arial" w:hAnsi="Arial" w:cs="Arial"/>
          <w:i/>
          <w:sz w:val="18"/>
          <w:szCs w:val="18"/>
        </w:rPr>
        <w:t>Par exemple, le gestionnaire doit pouvoir évaluer à partir de quel montant de Chiffre d’affaires l’entreprise commencera à dégager des bénéfices (activité de service). Il doit pouvoir déterminer combien d’unités doivent être produites et vendues pour être rentable</w:t>
      </w:r>
      <w:r w:rsidR="008D1B9D" w:rsidRPr="008D1B9D">
        <w:rPr>
          <w:rFonts w:ascii="Arial" w:hAnsi="Arial" w:cs="Arial"/>
          <w:i/>
          <w:sz w:val="18"/>
          <w:szCs w:val="18"/>
        </w:rPr>
        <w:t xml:space="preserve"> (activité de production)</w:t>
      </w:r>
      <w:r w:rsidRPr="008D1B9D">
        <w:rPr>
          <w:rFonts w:ascii="Arial" w:hAnsi="Arial" w:cs="Arial"/>
          <w:i/>
          <w:sz w:val="18"/>
          <w:szCs w:val="18"/>
        </w:rPr>
        <w:t xml:space="preserve"> ou à quel moment de l’année son activité deviendra rentable.</w:t>
      </w:r>
    </w:p>
    <w:p w:rsidR="006D7F7A" w:rsidRDefault="006D7F7A" w:rsidP="00FD3275">
      <w:pPr>
        <w:jc w:val="both"/>
        <w:rPr>
          <w:rFonts w:ascii="Arial" w:hAnsi="Arial" w:cs="Arial"/>
        </w:rPr>
      </w:pPr>
    </w:p>
    <w:p w:rsidR="00FE0954" w:rsidRDefault="00FE0954" w:rsidP="00FD3275">
      <w:pPr>
        <w:jc w:val="both"/>
        <w:rPr>
          <w:rFonts w:ascii="Arial" w:hAnsi="Arial" w:cs="Arial"/>
        </w:rPr>
      </w:pPr>
    </w:p>
    <w:p w:rsidR="008D1B9D" w:rsidRPr="006C113A" w:rsidRDefault="008D1B9D" w:rsidP="008D1B9D">
      <w:pPr>
        <w:pStyle w:val="Paragraphedeliste"/>
        <w:numPr>
          <w:ilvl w:val="0"/>
          <w:numId w:val="2"/>
        </w:numPr>
        <w:jc w:val="both"/>
        <w:rPr>
          <w:rFonts w:ascii="Arial" w:hAnsi="Arial" w:cs="Arial"/>
          <w:b/>
          <w:highlight w:val="yellow"/>
          <w:u w:val="single"/>
        </w:rPr>
      </w:pPr>
      <w:r w:rsidRPr="006C113A">
        <w:rPr>
          <w:rFonts w:ascii="Arial" w:hAnsi="Arial" w:cs="Arial"/>
          <w:b/>
          <w:highlight w:val="yellow"/>
          <w:u w:val="single"/>
        </w:rPr>
        <w:t>L’ANALYSE DES CHARGES</w:t>
      </w:r>
    </w:p>
    <w:p w:rsidR="008D1B9D" w:rsidRDefault="008D1B9D" w:rsidP="008D1B9D">
      <w:pPr>
        <w:jc w:val="both"/>
        <w:rPr>
          <w:rFonts w:ascii="Arial" w:hAnsi="Arial" w:cs="Arial"/>
        </w:rPr>
      </w:pPr>
    </w:p>
    <w:p w:rsidR="00BD251A" w:rsidRDefault="008D1B9D" w:rsidP="008D1B9D">
      <w:pPr>
        <w:jc w:val="both"/>
        <w:rPr>
          <w:rFonts w:ascii="Arial" w:hAnsi="Arial" w:cs="Arial"/>
          <w:i/>
          <w:sz w:val="18"/>
          <w:szCs w:val="18"/>
        </w:rPr>
      </w:pPr>
      <w:r w:rsidRPr="008D1B9D">
        <w:rPr>
          <w:rFonts w:ascii="Arial" w:hAnsi="Arial" w:cs="Arial"/>
          <w:b/>
          <w:u w:val="single"/>
        </w:rPr>
        <w:t>Les charges fixes ou de structure</w:t>
      </w:r>
      <w:r>
        <w:rPr>
          <w:rFonts w:ascii="Arial" w:hAnsi="Arial" w:cs="Arial"/>
          <w:b/>
        </w:rPr>
        <w:t> :</w:t>
      </w:r>
      <w:r w:rsidRPr="008D1B9D">
        <w:rPr>
          <w:rFonts w:ascii="Arial" w:hAnsi="Arial" w:cs="Arial"/>
        </w:rPr>
        <w:t xml:space="preserve"> le</w:t>
      </w:r>
      <w:r>
        <w:rPr>
          <w:rFonts w:ascii="Arial" w:hAnsi="Arial" w:cs="Arial"/>
        </w:rPr>
        <w:t>ur</w:t>
      </w:r>
      <w:r w:rsidRPr="008D1B9D">
        <w:rPr>
          <w:rFonts w:ascii="Arial" w:hAnsi="Arial" w:cs="Arial"/>
        </w:rPr>
        <w:t xml:space="preserve"> montant est indépendant du niveau d’activité</w:t>
      </w:r>
      <w:r>
        <w:rPr>
          <w:rFonts w:ascii="Arial" w:hAnsi="Arial" w:cs="Arial"/>
        </w:rPr>
        <w:t xml:space="preserve"> de l’organisation</w:t>
      </w:r>
      <w:r w:rsidRPr="008D1B9D">
        <w:rPr>
          <w:rFonts w:ascii="Arial" w:hAnsi="Arial" w:cs="Arial"/>
        </w:rPr>
        <w:t>. Elles existent</w:t>
      </w:r>
      <w:r>
        <w:rPr>
          <w:rFonts w:ascii="Arial" w:hAnsi="Arial" w:cs="Arial"/>
        </w:rPr>
        <w:t xml:space="preserve"> donc même en l’absence d’activité </w:t>
      </w:r>
      <w:r w:rsidRPr="008D1B9D">
        <w:rPr>
          <w:rFonts w:ascii="Arial" w:hAnsi="Arial" w:cs="Arial"/>
          <w:i/>
          <w:sz w:val="18"/>
          <w:szCs w:val="18"/>
        </w:rPr>
        <w:t>(le loyer, les assurances, les salaires du personnel administratif,…)</w:t>
      </w:r>
      <w:r w:rsidR="00BD251A">
        <w:rPr>
          <w:rFonts w:ascii="Arial" w:hAnsi="Arial" w:cs="Arial"/>
          <w:i/>
          <w:sz w:val="18"/>
          <w:szCs w:val="18"/>
        </w:rPr>
        <w:t>.</w:t>
      </w:r>
    </w:p>
    <w:p w:rsidR="006D7F7A" w:rsidRDefault="006D7F7A" w:rsidP="008D1B9D">
      <w:pPr>
        <w:jc w:val="both"/>
        <w:rPr>
          <w:rFonts w:ascii="Arial" w:hAnsi="Arial" w:cs="Arial"/>
          <w:i/>
          <w:sz w:val="18"/>
          <w:szCs w:val="18"/>
        </w:rPr>
      </w:pPr>
    </w:p>
    <w:p w:rsidR="00FE0954" w:rsidRPr="00BD251A" w:rsidRDefault="00FE0954" w:rsidP="008D1B9D">
      <w:pPr>
        <w:jc w:val="both"/>
        <w:rPr>
          <w:rFonts w:ascii="Arial" w:hAnsi="Arial" w:cs="Arial"/>
          <w:i/>
          <w:sz w:val="18"/>
          <w:szCs w:val="18"/>
        </w:rPr>
      </w:pPr>
    </w:p>
    <w:p w:rsidR="006D7F7A" w:rsidRPr="00FE0954" w:rsidRDefault="008D1B9D" w:rsidP="008D1B9D">
      <w:pPr>
        <w:jc w:val="both"/>
        <w:rPr>
          <w:rFonts w:ascii="Arial" w:hAnsi="Arial" w:cs="Arial"/>
          <w:i/>
          <w:sz w:val="18"/>
          <w:szCs w:val="18"/>
        </w:rPr>
      </w:pPr>
      <w:r w:rsidRPr="00BD251A">
        <w:rPr>
          <w:rFonts w:ascii="Arial" w:hAnsi="Arial" w:cs="Arial"/>
          <w:b/>
          <w:u w:val="single"/>
        </w:rPr>
        <w:t xml:space="preserve">Les charges </w:t>
      </w:r>
      <w:r w:rsidRPr="006C113A">
        <w:rPr>
          <w:rFonts w:ascii="Arial" w:hAnsi="Arial" w:cs="Arial"/>
          <w:b/>
          <w:u w:val="single"/>
        </w:rPr>
        <w:t>variables </w:t>
      </w:r>
      <w:r w:rsidR="006C113A" w:rsidRPr="006C113A">
        <w:rPr>
          <w:rFonts w:ascii="Arial" w:hAnsi="Arial" w:cs="Arial"/>
          <w:b/>
          <w:u w:val="single"/>
        </w:rPr>
        <w:t>ou proportionnelles</w:t>
      </w:r>
      <w:r w:rsidR="006C113A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: </w:t>
      </w:r>
      <w:r w:rsidRPr="008D1B9D">
        <w:rPr>
          <w:rFonts w:ascii="Arial" w:hAnsi="Arial" w:cs="Arial"/>
        </w:rPr>
        <w:t>le</w:t>
      </w:r>
      <w:r>
        <w:rPr>
          <w:rFonts w:ascii="Arial" w:hAnsi="Arial" w:cs="Arial"/>
        </w:rPr>
        <w:t xml:space="preserve">ur </w:t>
      </w:r>
      <w:r w:rsidRPr="008D1B9D">
        <w:rPr>
          <w:rFonts w:ascii="Arial" w:hAnsi="Arial" w:cs="Arial"/>
        </w:rPr>
        <w:t xml:space="preserve"> montant varie en fonction de l’activité</w:t>
      </w:r>
      <w:r>
        <w:rPr>
          <w:rFonts w:ascii="Arial" w:hAnsi="Arial" w:cs="Arial"/>
        </w:rPr>
        <w:t xml:space="preserve"> de l’organisation</w:t>
      </w:r>
      <w:r w:rsidR="00BD251A">
        <w:rPr>
          <w:rFonts w:ascii="Arial" w:hAnsi="Arial" w:cs="Arial"/>
        </w:rPr>
        <w:t xml:space="preserve"> et </w:t>
      </w:r>
      <w:r w:rsidRPr="008D1B9D">
        <w:rPr>
          <w:rFonts w:ascii="Arial" w:hAnsi="Arial" w:cs="Arial"/>
        </w:rPr>
        <w:t xml:space="preserve">sont </w:t>
      </w:r>
      <w:r w:rsidR="00BD251A">
        <w:rPr>
          <w:rFonts w:ascii="Arial" w:hAnsi="Arial" w:cs="Arial"/>
        </w:rPr>
        <w:t xml:space="preserve">donc proportionnelles à son niveau d’activité </w:t>
      </w:r>
      <w:r w:rsidR="00BD251A" w:rsidRPr="00BD251A">
        <w:rPr>
          <w:rFonts w:ascii="Arial" w:hAnsi="Arial" w:cs="Arial"/>
          <w:i/>
          <w:sz w:val="18"/>
          <w:szCs w:val="18"/>
        </w:rPr>
        <w:t>(la consommation de matières premières, les commissions versées sur les ventes aux représentants,…).</w:t>
      </w:r>
    </w:p>
    <w:p w:rsidR="006D7F7A" w:rsidRDefault="006D7F7A" w:rsidP="008D1B9D">
      <w:pPr>
        <w:jc w:val="both"/>
        <w:rPr>
          <w:rFonts w:ascii="Arial" w:hAnsi="Arial" w:cs="Arial"/>
          <w:b/>
        </w:rPr>
      </w:pPr>
    </w:p>
    <w:p w:rsidR="00FE0954" w:rsidRDefault="00FE0954" w:rsidP="008D1B9D">
      <w:pPr>
        <w:jc w:val="both"/>
        <w:rPr>
          <w:rFonts w:ascii="Arial" w:hAnsi="Arial" w:cs="Arial"/>
          <w:b/>
        </w:rPr>
      </w:pPr>
    </w:p>
    <w:p w:rsidR="00FE0954" w:rsidRPr="006C113A" w:rsidRDefault="00FE0954" w:rsidP="008D1B9D">
      <w:pPr>
        <w:jc w:val="both"/>
        <w:rPr>
          <w:rFonts w:ascii="Arial" w:hAnsi="Arial" w:cs="Arial"/>
          <w:b/>
        </w:rPr>
      </w:pPr>
    </w:p>
    <w:p w:rsidR="008D1B9D" w:rsidRDefault="008D1B9D" w:rsidP="008D1B9D">
      <w:pPr>
        <w:pStyle w:val="Paragraphedeliste"/>
        <w:numPr>
          <w:ilvl w:val="0"/>
          <w:numId w:val="2"/>
        </w:numPr>
        <w:jc w:val="both"/>
        <w:rPr>
          <w:rFonts w:ascii="Arial" w:hAnsi="Arial" w:cs="Arial"/>
          <w:b/>
          <w:highlight w:val="yellow"/>
          <w:u w:val="single"/>
        </w:rPr>
      </w:pPr>
      <w:r w:rsidRPr="006C113A">
        <w:rPr>
          <w:rFonts w:ascii="Arial" w:hAnsi="Arial" w:cs="Arial"/>
          <w:b/>
          <w:highlight w:val="yellow"/>
          <w:u w:val="single"/>
        </w:rPr>
        <w:t>LA MARGE SUR COUT VARIABLE</w:t>
      </w:r>
    </w:p>
    <w:p w:rsidR="006C113A" w:rsidRDefault="006C113A" w:rsidP="006C113A">
      <w:pPr>
        <w:pStyle w:val="Paragraphedeliste"/>
        <w:jc w:val="both"/>
        <w:rPr>
          <w:rFonts w:ascii="Arial" w:hAnsi="Arial" w:cs="Arial"/>
          <w:b/>
          <w:highlight w:val="yellow"/>
          <w:u w:val="single"/>
        </w:rPr>
      </w:pPr>
    </w:p>
    <w:p w:rsidR="006C113A" w:rsidRDefault="006C113A" w:rsidP="006C113A">
      <w:pPr>
        <w:jc w:val="both"/>
        <w:rPr>
          <w:rFonts w:ascii="Arial" w:hAnsi="Arial" w:cs="Arial"/>
          <w:b/>
        </w:rPr>
      </w:pPr>
      <w:r w:rsidRPr="006C113A">
        <w:rPr>
          <w:rFonts w:ascii="Arial" w:hAnsi="Arial" w:cs="Arial"/>
        </w:rPr>
        <w:t>Une marge est une diff</w:t>
      </w:r>
      <w:r>
        <w:rPr>
          <w:rFonts w:ascii="Arial" w:hAnsi="Arial" w:cs="Arial"/>
        </w:rPr>
        <w:t>érence entre le Chiffre d’affaires</w:t>
      </w:r>
      <w:r w:rsidRPr="006C113A">
        <w:rPr>
          <w:rFonts w:ascii="Arial" w:hAnsi="Arial" w:cs="Arial"/>
        </w:rPr>
        <w:t xml:space="preserve"> et un coût.</w:t>
      </w:r>
      <w:r>
        <w:rPr>
          <w:rFonts w:ascii="Arial" w:hAnsi="Arial" w:cs="Arial"/>
        </w:rPr>
        <w:t xml:space="preserve"> </w:t>
      </w:r>
      <w:r w:rsidRPr="006C113A">
        <w:rPr>
          <w:rFonts w:ascii="Arial" w:hAnsi="Arial" w:cs="Arial"/>
          <w:b/>
        </w:rPr>
        <w:t xml:space="preserve">La marge sur coût variable </w:t>
      </w:r>
      <w:r w:rsidR="001E0B03">
        <w:rPr>
          <w:rFonts w:ascii="Arial" w:hAnsi="Arial" w:cs="Arial"/>
          <w:b/>
        </w:rPr>
        <w:t xml:space="preserve">(MCV) </w:t>
      </w:r>
      <w:r w:rsidRPr="006C113A">
        <w:rPr>
          <w:rFonts w:ascii="Arial" w:hAnsi="Arial" w:cs="Arial"/>
          <w:b/>
        </w:rPr>
        <w:t>est la différence entre le  chiffre d’affaires et les charges variables</w:t>
      </w:r>
      <w:r>
        <w:rPr>
          <w:rFonts w:ascii="Arial" w:hAnsi="Arial" w:cs="Arial"/>
          <w:b/>
        </w:rPr>
        <w:t>.</w:t>
      </w:r>
    </w:p>
    <w:p w:rsidR="006C113A" w:rsidRDefault="001E0B03" w:rsidP="006C113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La MCV peut être calculée à l’aide d’un tableau différentiel ou compte de résultat différentiel qui fait apparaître la MCV et sa décomposition entre charges fixes et résultat. Il se présente comme suit :</w:t>
      </w:r>
    </w:p>
    <w:p w:rsidR="001E0B03" w:rsidRDefault="007C078E" w:rsidP="001E0B03">
      <w:pPr>
        <w:rPr>
          <w:sz w:val="24"/>
        </w:rPr>
      </w:pPr>
      <w:r>
        <w:rPr>
          <w:noProof/>
          <w:sz w:val="24"/>
        </w:rPr>
        <w:pict>
          <v:rect id="Rectangle 23" o:spid="_x0000_s1026" style="position:absolute;margin-left:29.95pt;margin-top:11.15pt;width:114.6pt;height:83.4pt;z-index:-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" o:allowincell="f">
            <v:fill opacity="32896f"/>
          </v:rect>
        </w:pict>
      </w:r>
      <w:r w:rsidR="001E0B03">
        <w:rPr>
          <w:sz w:val="24"/>
        </w:rPr>
        <w:t xml:space="preserve"> </w:t>
      </w:r>
    </w:p>
    <w:p w:rsidR="001E0B03" w:rsidRPr="001E0B03" w:rsidRDefault="007C078E" w:rsidP="001E0B03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Zone de texte 2" o:spid="_x0000_s1030" type="#_x0000_t202" style="position:absolute;margin-left:161.35pt;margin-top:.35pt;width:171pt;height:72.6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">
            <v:textbox style="mso-next-textbox:#Zone de texte 2">
              <w:txbxContent>
                <w:p w:rsidR="006D7F7A" w:rsidRDefault="001E0B03">
                  <w:pPr>
                    <w:rPr>
                      <w:sz w:val="18"/>
                      <w:szCs w:val="18"/>
                    </w:rPr>
                  </w:pPr>
                  <w:r w:rsidRPr="006D7F7A">
                    <w:rPr>
                      <w:sz w:val="18"/>
                      <w:szCs w:val="18"/>
                    </w:rPr>
                    <w:t xml:space="preserve"> </w:t>
                  </w:r>
                </w:p>
                <w:p w:rsidR="006D7F7A" w:rsidRDefault="001E0B03">
                  <w:pPr>
                    <w:rPr>
                      <w:sz w:val="18"/>
                      <w:szCs w:val="18"/>
                    </w:rPr>
                  </w:pPr>
                  <w:r w:rsidRPr="006D7F7A">
                    <w:rPr>
                      <w:sz w:val="18"/>
                      <w:szCs w:val="18"/>
                    </w:rPr>
                    <w:t>Il est également possible de calculer</w:t>
                  </w:r>
                  <w:r w:rsidR="006D7F7A">
                    <w:rPr>
                      <w:sz w:val="18"/>
                      <w:szCs w:val="18"/>
                    </w:rPr>
                    <w:t xml:space="preserve">   </w:t>
                  </w:r>
                  <w:r w:rsidRPr="006D7F7A">
                    <w:rPr>
                      <w:sz w:val="18"/>
                      <w:szCs w:val="18"/>
                    </w:rPr>
                    <w:t xml:space="preserve">le </w:t>
                  </w:r>
                </w:p>
                <w:p w:rsidR="006D7F7A" w:rsidRPr="006D7F7A" w:rsidRDefault="006D7F7A">
                  <w:pPr>
                    <w:rPr>
                      <w:sz w:val="18"/>
                      <w:szCs w:val="18"/>
                    </w:rPr>
                  </w:pPr>
                </w:p>
                <w:p w:rsidR="001E0B03" w:rsidRDefault="001E0B03">
                  <w:r>
                    <w:t xml:space="preserve">Taux de MCV = </w:t>
                  </w:r>
                  <w:r w:rsidR="006D7F7A">
                    <w:t>(</w:t>
                  </w:r>
                  <w:r>
                    <w:t>MCV / C.A.</w:t>
                  </w:r>
                  <w:r w:rsidR="006D7F7A">
                    <w:t>) * 100</w:t>
                  </w:r>
                </w:p>
              </w:txbxContent>
            </v:textbox>
          </v:shape>
        </w:pict>
      </w:r>
      <w:r w:rsidR="001E0B03">
        <w:rPr>
          <w:sz w:val="24"/>
        </w:rPr>
        <w:tab/>
      </w:r>
      <w:r w:rsidR="001E0B03" w:rsidRPr="001E0B03">
        <w:t>Chiffre d’affaires</w:t>
      </w:r>
    </w:p>
    <w:p w:rsidR="001E0B03" w:rsidRPr="001E0B03" w:rsidRDefault="001E0B03" w:rsidP="001E0B03">
      <w:pPr>
        <w:numPr>
          <w:ilvl w:val="0"/>
          <w:numId w:val="1"/>
        </w:numPr>
      </w:pPr>
      <w:r w:rsidRPr="001E0B03">
        <w:t>Charges variables</w:t>
      </w:r>
    </w:p>
    <w:p w:rsidR="001E0B03" w:rsidRPr="001E0B03" w:rsidRDefault="007C078E" w:rsidP="001E0B03">
      <w:r>
        <w:rPr>
          <w:noProof/>
        </w:rPr>
        <w:pict>
          <v:line id="Connecteur droit 22" o:spid="_x0000_s1029" style="position:absolute;z-index:251660288;visibility:visible" from="37.1pt,5.35pt" to="137.9pt,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" o:allowincell="f"/>
        </w:pict>
      </w:r>
    </w:p>
    <w:p w:rsidR="001E0B03" w:rsidRPr="001E0B03" w:rsidRDefault="001E0B03" w:rsidP="001E0B03">
      <w:pPr>
        <w:ind w:left="705"/>
      </w:pPr>
      <w:r w:rsidRPr="001E0B03">
        <w:t>=Marge sur coût variable</w:t>
      </w:r>
    </w:p>
    <w:p w:rsidR="001E0B03" w:rsidRPr="001E0B03" w:rsidRDefault="001E0B03" w:rsidP="001E0B03">
      <w:pPr>
        <w:numPr>
          <w:ilvl w:val="0"/>
          <w:numId w:val="1"/>
        </w:numPr>
      </w:pPr>
      <w:r w:rsidRPr="001E0B03">
        <w:t>Charges fixes</w:t>
      </w:r>
    </w:p>
    <w:p w:rsidR="001E0B03" w:rsidRPr="001E0B03" w:rsidRDefault="007C078E" w:rsidP="001E0B03">
      <w:r>
        <w:rPr>
          <w:noProof/>
        </w:rPr>
        <w:pict>
          <v:line id="Connecteur droit 21" o:spid="_x0000_s1028" style="position:absolute;z-index:251661312;visibility:visible" from="37.1pt,7.15pt" to="137.9pt,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" o:allowincell="f"/>
        </w:pict>
      </w:r>
    </w:p>
    <w:p w:rsidR="001E0B03" w:rsidRPr="001E0B03" w:rsidRDefault="001E0B03" w:rsidP="001E0B03">
      <w:pPr>
        <w:ind w:left="705"/>
      </w:pPr>
      <w:r w:rsidRPr="001E0B03">
        <w:t>= Résultat</w:t>
      </w:r>
    </w:p>
    <w:p w:rsidR="006C113A" w:rsidRDefault="006C113A" w:rsidP="006C113A">
      <w:pPr>
        <w:jc w:val="both"/>
        <w:rPr>
          <w:rFonts w:ascii="Arial" w:hAnsi="Arial" w:cs="Arial"/>
          <w:b/>
          <w:highlight w:val="yellow"/>
          <w:u w:val="single"/>
        </w:rPr>
      </w:pPr>
    </w:p>
    <w:p w:rsidR="003C44A3" w:rsidRDefault="003C44A3" w:rsidP="006C113A">
      <w:pPr>
        <w:jc w:val="both"/>
        <w:rPr>
          <w:rFonts w:ascii="Arial" w:hAnsi="Arial" w:cs="Arial"/>
          <w:b/>
          <w:highlight w:val="yellow"/>
          <w:u w:val="single"/>
        </w:rPr>
      </w:pPr>
    </w:p>
    <w:p w:rsidR="003C44A3" w:rsidRPr="006C113A" w:rsidRDefault="003C44A3" w:rsidP="006C113A">
      <w:pPr>
        <w:jc w:val="both"/>
        <w:rPr>
          <w:rFonts w:ascii="Arial" w:hAnsi="Arial" w:cs="Arial"/>
          <w:b/>
          <w:highlight w:val="yellow"/>
          <w:u w:val="single"/>
        </w:rPr>
      </w:pPr>
    </w:p>
    <w:p w:rsidR="00276C66" w:rsidRDefault="008D1B9D" w:rsidP="006D7F7A">
      <w:pPr>
        <w:pStyle w:val="Paragraphedeliste"/>
        <w:numPr>
          <w:ilvl w:val="0"/>
          <w:numId w:val="2"/>
        </w:numPr>
        <w:jc w:val="both"/>
        <w:rPr>
          <w:rFonts w:ascii="Arial" w:hAnsi="Arial" w:cs="Arial"/>
          <w:b/>
          <w:highlight w:val="yellow"/>
          <w:u w:val="single"/>
        </w:rPr>
      </w:pPr>
      <w:r w:rsidRPr="00170395">
        <w:rPr>
          <w:rFonts w:ascii="Arial" w:hAnsi="Arial" w:cs="Arial"/>
          <w:b/>
          <w:highlight w:val="yellow"/>
          <w:u w:val="single"/>
        </w:rPr>
        <w:lastRenderedPageBreak/>
        <w:t>LE SEUIL DE RENTABILITE</w:t>
      </w:r>
    </w:p>
    <w:p w:rsidR="00276C66" w:rsidRPr="00276C66" w:rsidRDefault="00276C66" w:rsidP="00276C66">
      <w:pPr>
        <w:pStyle w:val="Paragraphedeliste"/>
        <w:jc w:val="both"/>
        <w:rPr>
          <w:rFonts w:ascii="Arial" w:hAnsi="Arial" w:cs="Arial"/>
          <w:b/>
          <w:highlight w:val="yellow"/>
          <w:u w:val="single"/>
        </w:rPr>
      </w:pPr>
    </w:p>
    <w:p w:rsidR="00276C66" w:rsidRDefault="00276C66" w:rsidP="00276C66">
      <w:pPr>
        <w:jc w:val="both"/>
        <w:rPr>
          <w:b/>
          <w:u w:val="single"/>
        </w:rPr>
      </w:pPr>
      <w:r w:rsidRPr="00170395">
        <w:rPr>
          <w:b/>
          <w:u w:val="single"/>
        </w:rPr>
        <w:t>Détermi</w:t>
      </w:r>
      <w:r>
        <w:rPr>
          <w:b/>
          <w:u w:val="single"/>
        </w:rPr>
        <w:t>nation du seuil de rentabilité par le calcul</w:t>
      </w:r>
    </w:p>
    <w:p w:rsidR="00276C66" w:rsidRPr="00FE0954" w:rsidRDefault="006D7F7A" w:rsidP="006D7F7A">
      <w:pPr>
        <w:jc w:val="both"/>
        <w:rPr>
          <w:b/>
        </w:rPr>
      </w:pPr>
      <w:r w:rsidRPr="00FE0954">
        <w:rPr>
          <w:b/>
        </w:rPr>
        <w:t>Le seuil de rentabilité</w:t>
      </w:r>
      <w:r w:rsidRPr="00FE0954">
        <w:t xml:space="preserve"> est le </w:t>
      </w:r>
      <w:r w:rsidRPr="00FE0954">
        <w:rPr>
          <w:b/>
          <w:bCs/>
        </w:rPr>
        <w:t>chiffre d’affaires</w:t>
      </w:r>
      <w:r w:rsidRPr="00FE0954">
        <w:t xml:space="preserve"> pour lequel l’entreprise ne dégage ni perte ni bénéfice. Il s’agit du chiffre d’affaires pour lequel la totalité des charges est couverte sans perte ni bénéfice</w:t>
      </w:r>
      <w:r w:rsidRPr="00FE0954">
        <w:rPr>
          <w:b/>
        </w:rPr>
        <w:t xml:space="preserve">. </w:t>
      </w:r>
    </w:p>
    <w:p w:rsidR="00B96DC8" w:rsidRPr="00FE0954" w:rsidRDefault="006D7F7A" w:rsidP="006D7F7A">
      <w:pPr>
        <w:jc w:val="both"/>
        <w:rPr>
          <w:b/>
          <w:sz w:val="18"/>
          <w:szCs w:val="18"/>
        </w:rPr>
      </w:pPr>
      <w:r w:rsidRPr="00FE0954">
        <w:rPr>
          <w:b/>
        </w:rPr>
        <w:t>Dans cette situation le résultat est égal à zéro et donc la MCV est égale aux charges fixes</w:t>
      </w:r>
      <w:r w:rsidRPr="00FE0954">
        <w:rPr>
          <w:b/>
          <w:sz w:val="18"/>
          <w:szCs w:val="18"/>
        </w:rPr>
        <w:t>.</w:t>
      </w:r>
    </w:p>
    <w:p w:rsidR="006D7F7A" w:rsidRPr="00792F0F" w:rsidRDefault="006D7F7A" w:rsidP="00276C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18"/>
        </w:rPr>
      </w:pPr>
      <w:r w:rsidRPr="00792F0F">
        <w:rPr>
          <w:sz w:val="18"/>
        </w:rPr>
        <w:t xml:space="preserve"> La formule de calcul du Seuil de Rentabilité (SR) est alors :</w:t>
      </w:r>
    </w:p>
    <w:p w:rsidR="006D7F7A" w:rsidRPr="00792F0F" w:rsidRDefault="00B96DC8" w:rsidP="00276C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18"/>
        </w:rPr>
      </w:pPr>
      <w:r w:rsidRPr="00792F0F">
        <w:rPr>
          <w:sz w:val="18"/>
        </w:rPr>
        <w:t xml:space="preserve">  </w:t>
      </w:r>
      <w:r w:rsidR="006D7F7A" w:rsidRPr="00792F0F">
        <w:rPr>
          <w:b/>
          <w:sz w:val="18"/>
        </w:rPr>
        <w:t>S</w:t>
      </w:r>
      <w:r w:rsidRPr="00792F0F">
        <w:rPr>
          <w:b/>
          <w:sz w:val="18"/>
        </w:rPr>
        <w:t xml:space="preserve">euil de </w:t>
      </w:r>
      <w:r w:rsidR="006D7F7A" w:rsidRPr="00792F0F">
        <w:rPr>
          <w:b/>
          <w:sz w:val="18"/>
        </w:rPr>
        <w:t>R</w:t>
      </w:r>
      <w:r w:rsidRPr="00792F0F">
        <w:rPr>
          <w:b/>
          <w:sz w:val="18"/>
        </w:rPr>
        <w:t xml:space="preserve">entabilité </w:t>
      </w:r>
      <w:r w:rsidR="006D7F7A" w:rsidRPr="00792F0F">
        <w:rPr>
          <w:b/>
          <w:sz w:val="18"/>
        </w:rPr>
        <w:t>= Charges fixes</w:t>
      </w:r>
      <w:r w:rsidR="00477F48">
        <w:rPr>
          <w:b/>
          <w:sz w:val="18"/>
        </w:rPr>
        <w:t xml:space="preserve"> /</w:t>
      </w:r>
      <w:bookmarkStart w:id="0" w:name="_GoBack"/>
      <w:bookmarkEnd w:id="0"/>
      <w:r w:rsidRPr="00792F0F">
        <w:rPr>
          <w:b/>
          <w:sz w:val="18"/>
        </w:rPr>
        <w:t xml:space="preserve"> Taux de marge sur coût variable</w:t>
      </w:r>
    </w:p>
    <w:p w:rsidR="00276C66" w:rsidRDefault="00276C66" w:rsidP="00276C66">
      <w:pPr>
        <w:jc w:val="both"/>
        <w:rPr>
          <w:b/>
          <w:u w:val="single"/>
        </w:rPr>
      </w:pPr>
    </w:p>
    <w:p w:rsidR="00276C66" w:rsidRDefault="00276C66" w:rsidP="00276C66">
      <w:pPr>
        <w:jc w:val="both"/>
        <w:rPr>
          <w:b/>
          <w:u w:val="single"/>
        </w:rPr>
      </w:pPr>
      <w:r w:rsidRPr="00170395">
        <w:rPr>
          <w:b/>
          <w:u w:val="single"/>
        </w:rPr>
        <w:t>Détermination d</w:t>
      </w:r>
      <w:r>
        <w:rPr>
          <w:b/>
          <w:u w:val="single"/>
        </w:rPr>
        <w:t xml:space="preserve">u </w:t>
      </w:r>
      <w:r w:rsidR="003C44A3">
        <w:rPr>
          <w:b/>
          <w:u w:val="single"/>
        </w:rPr>
        <w:t>s</w:t>
      </w:r>
      <w:r>
        <w:rPr>
          <w:b/>
          <w:u w:val="single"/>
        </w:rPr>
        <w:t>euil de rentabilité par le graphique</w:t>
      </w:r>
    </w:p>
    <w:p w:rsidR="00F5326B" w:rsidRPr="00FE0954" w:rsidRDefault="00276C66" w:rsidP="00276C66">
      <w:pPr>
        <w:jc w:val="both"/>
      </w:pPr>
      <w:r w:rsidRPr="00276C66">
        <w:t xml:space="preserve">    </w:t>
      </w:r>
      <w:r w:rsidRPr="00FE0954">
        <w:t>En abscisse (axe des X) on représente le chiffre d’affaires et en ordonnée  la MCV  et les charges fixes. A l’intersection de ces 2 droites se trouve le Seuil de Rentabilité.</w:t>
      </w:r>
    </w:p>
    <w:p w:rsidR="00276C66" w:rsidRDefault="00276C66" w:rsidP="00276C66">
      <w:pPr>
        <w:jc w:val="both"/>
      </w:pPr>
      <w:r w:rsidRPr="00276C66">
        <w:t>Sur le graphique</w:t>
      </w:r>
      <w:r>
        <w:t xml:space="preserve"> </w:t>
      </w:r>
      <w:r w:rsidR="00F5326B">
        <w:t xml:space="preserve">on peut alors distinguer </w:t>
      </w:r>
      <w:r w:rsidR="00F5326B" w:rsidRPr="00F5326B">
        <w:rPr>
          <w:b/>
        </w:rPr>
        <w:t>2 zones</w:t>
      </w:r>
      <w:r w:rsidR="00F5326B">
        <w:t xml:space="preserve"> </w:t>
      </w:r>
      <w:r w:rsidRPr="00276C66">
        <w:t>:</w:t>
      </w:r>
    </w:p>
    <w:p w:rsidR="00792F0F" w:rsidRPr="00276C66" w:rsidRDefault="00792F0F" w:rsidP="00276C66">
      <w:pPr>
        <w:jc w:val="both"/>
      </w:pPr>
    </w:p>
    <w:p w:rsidR="00276C66" w:rsidRPr="00276C66" w:rsidRDefault="007C078E" w:rsidP="00792F0F">
      <w:pPr>
        <w:numPr>
          <w:ilvl w:val="0"/>
          <w:numId w:val="4"/>
        </w:numPr>
        <w:ind w:left="426"/>
        <w:jc w:val="both"/>
      </w:pPr>
      <w:r>
        <w:rPr>
          <w:noProof/>
        </w:rPr>
        <w:pict>
          <v:group id="_x0000_s1081" style="position:absolute;left:0;text-align:left;margin-left:141.8pt;margin-top:1.3pt;width:236.8pt;height:126.75pt;z-index:-251627520" coordorigin="11609,5144" coordsize="4736,2535">
            <v:shape id="_x0000_s1065" style="position:absolute;left:13265;top:5420;width:2339;height:1112;flip:x y" coordsize="2016,1008" path="m,l2016,,,1008,,xe" fillcolor="silver" stroked="f">
              <v:fill r:id="rId9" o:title="Diagonales larges vers le bas" type="pattern"/>
              <v:path arrowok="t"/>
            </v:shape>
            <v:shape id="_x0000_s1066" style="position:absolute;left:11665;top:6569;width:1439;height:663" coordsize="2016,1008" path="m,l2016,,,1008,,xe" fillcolor="silver" stroked="f">
              <v:fill r:id="rId10" o:title="Diagonales larges vers le haut" type="pattern"/>
              <v:path arrowok="t"/>
            </v:shape>
            <v:group id="_x0000_s1067" style="position:absolute;left:11639;top:5307;width:4585;height:1958" coordsize="17895,20000">
              <v:line id="_x0000_s1068" style="position:absolute" from="0,1052" to="3,20000" strokeweight=".5pt">
                <v:stroke startarrow="block" startarrowwidth="wide" endarrowwidth="wide"/>
              </v:line>
              <v:line id="_x0000_s1069" style="position:absolute" from="0,19985" to="17895,19993" strokeweight=".5pt">
                <v:stroke startarrowwidth="wide" endarrow="block" endarrowwidth="wide"/>
              </v:line>
              <v:line id="_x0000_s1070" style="position:absolute" from="0,12627" to="15765,12634" strokeweight=".5pt">
                <v:stroke startarrowwidth="wide" endarrowwidth="wide"/>
              </v:line>
              <v:line id="_x0000_s1071" style="position:absolute;flip:y" from="0,0" to="16191,20000" strokeweight=".5pt">
                <v:stroke startarrowwidth="wide" endarrowwidth="wide"/>
              </v:line>
              <v:line id="_x0000_s1072" style="position:absolute" from="5964,12627" to="5967,20000" strokeweight=".5pt">
                <v:stroke dashstyle="1 1" startarrowwidth="wide" endarrow="block" endarrowwidth="wide"/>
              </v:line>
            </v:group>
            <v:shape id="_x0000_s1073" type="#_x0000_t202" style="position:absolute;left:14815;top:5157;width:864;height:227" filled="f" stroked="f">
              <v:textbox style="mso-next-textbox:#_x0000_s1073" inset="0,0,0,0">
                <w:txbxContent>
                  <w:p w:rsidR="003C44A3" w:rsidRPr="00792F0F" w:rsidRDefault="003C44A3" w:rsidP="003C44A3">
                    <w:pPr>
                      <w:rPr>
                        <w:sz w:val="14"/>
                      </w:rPr>
                    </w:pPr>
                    <w:r w:rsidRPr="00792F0F">
                      <w:rPr>
                        <w:sz w:val="14"/>
                      </w:rPr>
                      <w:t xml:space="preserve">M/CV  y = </w:t>
                    </w:r>
                    <w:proofErr w:type="spellStart"/>
                    <w:r w:rsidRPr="00792F0F">
                      <w:rPr>
                        <w:sz w:val="14"/>
                      </w:rPr>
                      <w:t>ax</w:t>
                    </w:r>
                    <w:proofErr w:type="spellEnd"/>
                  </w:p>
                </w:txbxContent>
              </v:textbox>
            </v:shape>
            <v:shape id="_x0000_s1074" type="#_x0000_t202" style="position:absolute;left:14296;top:6151;width:664;height:209" filled="f" stroked="f">
              <v:textbox style="mso-next-textbox:#_x0000_s1074" inset="0,0,0,0">
                <w:txbxContent>
                  <w:p w:rsidR="003C44A3" w:rsidRPr="00792F0F" w:rsidRDefault="003C44A3" w:rsidP="003C44A3">
                    <w:pPr>
                      <w:pStyle w:val="Titre6"/>
                      <w:rPr>
                        <w:sz w:val="16"/>
                      </w:rPr>
                    </w:pPr>
                    <w:r w:rsidRPr="00792F0F">
                      <w:rPr>
                        <w:sz w:val="16"/>
                      </w:rPr>
                      <w:t>Bénéfice</w:t>
                    </w:r>
                  </w:p>
                </w:txbxContent>
              </v:textbox>
            </v:shape>
            <v:shape id="_x0000_s1075" type="#_x0000_t202" style="position:absolute;left:15288;top:6555;width:828;height:227" filled="f" stroked="f">
              <v:textbox style="mso-next-textbox:#_x0000_s1075" inset="0,0,0,0">
                <w:txbxContent>
                  <w:p w:rsidR="003C44A3" w:rsidRPr="00792F0F" w:rsidRDefault="003C44A3" w:rsidP="003C44A3">
                    <w:pPr>
                      <w:rPr>
                        <w:sz w:val="14"/>
                      </w:rPr>
                    </w:pPr>
                    <w:r w:rsidRPr="00792F0F">
                      <w:rPr>
                        <w:sz w:val="14"/>
                      </w:rPr>
                      <w:t>Ch. fixes y =b</w:t>
                    </w:r>
                  </w:p>
                </w:txbxContent>
              </v:textbox>
            </v:shape>
            <v:shape id="_x0000_s1076" type="#_x0000_t202" style="position:absolute;left:11971;top:6674;width:443;height:209" filled="f" stroked="f">
              <v:textbox style="mso-next-textbox:#_x0000_s1076" inset="0,0,0,0">
                <w:txbxContent>
                  <w:p w:rsidR="003C44A3" w:rsidRPr="00792F0F" w:rsidRDefault="003C44A3" w:rsidP="003C44A3">
                    <w:pPr>
                      <w:pStyle w:val="Titre6"/>
                      <w:rPr>
                        <w:sz w:val="18"/>
                      </w:rPr>
                    </w:pPr>
                    <w:r w:rsidRPr="00792F0F">
                      <w:rPr>
                        <w:sz w:val="18"/>
                      </w:rPr>
                      <w:t>Perte</w:t>
                    </w:r>
                  </w:p>
                </w:txbxContent>
              </v:textbox>
            </v:shape>
            <v:shape id="_x0000_s1077" type="#_x0000_t202" style="position:absolute;left:15292;top:7300;width:1053;height:379" filled="f" stroked="f">
              <v:textbox style="mso-next-textbox:#_x0000_s1077" inset="0,0,0,0">
                <w:txbxContent>
                  <w:p w:rsidR="003C44A3" w:rsidRPr="00792F0F" w:rsidRDefault="003C44A3" w:rsidP="003C44A3">
                    <w:pPr>
                      <w:jc w:val="center"/>
                      <w:rPr>
                        <w:sz w:val="14"/>
                      </w:rPr>
                    </w:pPr>
                    <w:r w:rsidRPr="00792F0F">
                      <w:rPr>
                        <w:sz w:val="14"/>
                      </w:rPr>
                      <w:t>Chiffre d’affaires ou quantités</w:t>
                    </w:r>
                  </w:p>
                </w:txbxContent>
              </v:textbox>
            </v:shape>
            <v:shape id="_x0000_s1078" type="#_x0000_t202" style="position:absolute;left:13222;top:6790;width:1660;height:404" filled="f" stroked="f">
              <v:textbox style="mso-next-textbox:#_x0000_s1078" inset="0,0,0,0">
                <w:txbxContent>
                  <w:p w:rsidR="003C44A3" w:rsidRPr="00792F0F" w:rsidRDefault="003C44A3" w:rsidP="003C44A3">
                    <w:pPr>
                      <w:pStyle w:val="Titre7"/>
                      <w:rPr>
                        <w:sz w:val="16"/>
                      </w:rPr>
                    </w:pPr>
                    <w:r w:rsidRPr="00792F0F">
                      <w:rPr>
                        <w:sz w:val="16"/>
                      </w:rPr>
                      <w:t>Seuil de rentabilité</w:t>
                    </w:r>
                    <w:r w:rsidR="00792F0F">
                      <w:rPr>
                        <w:sz w:val="16"/>
                      </w:rPr>
                      <w:t xml:space="preserve"> ou CA Critique</w:t>
                    </w:r>
                  </w:p>
                </w:txbxContent>
              </v:textbox>
            </v:shape>
            <v:shape id="_x0000_s1079" type="#_x0000_t202" style="position:absolute;left:11609;top:5144;width:875;height:183" filled="f" stroked="f">
              <v:textbox style="mso-next-textbox:#_x0000_s1079" inset="0,0,0,0">
                <w:txbxContent>
                  <w:p w:rsidR="003C44A3" w:rsidRDefault="003C44A3" w:rsidP="003C44A3">
                    <w:proofErr w:type="gramStart"/>
                    <w:r>
                      <w:t>montants</w:t>
                    </w:r>
                    <w:proofErr w:type="gramEnd"/>
                  </w:p>
                </w:txbxContent>
              </v:textbox>
            </v:shape>
            <w10:wrap type="square"/>
          </v:group>
        </w:pict>
      </w:r>
      <w:r w:rsidR="00276C66" w:rsidRPr="00F5326B">
        <w:rPr>
          <w:b/>
        </w:rPr>
        <w:t>une zone de perte</w:t>
      </w:r>
      <w:r w:rsidR="00F5326B" w:rsidRPr="00F5326B">
        <w:rPr>
          <w:b/>
        </w:rPr>
        <w:t xml:space="preserve"> avant le SR</w:t>
      </w:r>
      <w:r w:rsidR="00F5326B">
        <w:t> : la M</w:t>
      </w:r>
      <w:r w:rsidR="00276C66" w:rsidRPr="00276C66">
        <w:t>CV ne couvre pas intégralement les charges fixes ;</w:t>
      </w:r>
    </w:p>
    <w:p w:rsidR="00276C66" w:rsidRPr="00FE0954" w:rsidRDefault="00276C66" w:rsidP="00792F0F">
      <w:pPr>
        <w:numPr>
          <w:ilvl w:val="0"/>
          <w:numId w:val="4"/>
        </w:numPr>
        <w:ind w:left="426"/>
        <w:jc w:val="both"/>
        <w:rPr>
          <w:b/>
          <w:u w:val="single"/>
        </w:rPr>
      </w:pPr>
      <w:r w:rsidRPr="00F5326B">
        <w:rPr>
          <w:b/>
        </w:rPr>
        <w:t>une zone de bénéfice</w:t>
      </w:r>
      <w:r w:rsidR="00F5326B" w:rsidRPr="00F5326B">
        <w:rPr>
          <w:b/>
        </w:rPr>
        <w:t xml:space="preserve"> après le SR</w:t>
      </w:r>
      <w:r w:rsidR="00F5326B" w:rsidRPr="00276C66">
        <w:t> :</w:t>
      </w:r>
      <w:r w:rsidR="00F5326B">
        <w:t xml:space="preserve"> la M</w:t>
      </w:r>
      <w:r w:rsidRPr="00276C66">
        <w:t xml:space="preserve">CV est </w:t>
      </w:r>
      <w:r w:rsidR="00F5326B">
        <w:t xml:space="preserve">alors </w:t>
      </w:r>
      <w:r w:rsidRPr="00276C66">
        <w:t>supérieure aux charges fixes.</w:t>
      </w:r>
    </w:p>
    <w:p w:rsidR="00276C66" w:rsidRPr="006D7F7A" w:rsidRDefault="006D7F7A" w:rsidP="006D7F7A">
      <w:pPr>
        <w:jc w:val="both"/>
      </w:pPr>
      <w:r w:rsidRPr="006D7F7A">
        <w:tab/>
      </w:r>
      <w:r w:rsidR="00B96DC8">
        <w:t xml:space="preserve"> </w:t>
      </w:r>
      <w:r w:rsidRPr="006D7F7A">
        <w:t>.</w:t>
      </w:r>
    </w:p>
    <w:p w:rsidR="00792F0F" w:rsidRDefault="00792F0F" w:rsidP="00170395">
      <w:pPr>
        <w:jc w:val="both"/>
        <w:rPr>
          <w:b/>
          <w:u w:val="single"/>
        </w:rPr>
      </w:pPr>
    </w:p>
    <w:p w:rsidR="00276C66" w:rsidRPr="00170395" w:rsidRDefault="00170395" w:rsidP="00170395">
      <w:pPr>
        <w:jc w:val="both"/>
        <w:rPr>
          <w:b/>
          <w:u w:val="single"/>
        </w:rPr>
      </w:pPr>
      <w:r w:rsidRPr="00170395">
        <w:rPr>
          <w:b/>
          <w:u w:val="single"/>
        </w:rPr>
        <w:t>Détermination du point mort</w:t>
      </w:r>
    </w:p>
    <w:p w:rsidR="00276C66" w:rsidRDefault="00170395" w:rsidP="00170395">
      <w:pPr>
        <w:jc w:val="both"/>
      </w:pPr>
      <w:r w:rsidRPr="00FE0954">
        <w:t xml:space="preserve">Le point mort est </w:t>
      </w:r>
      <w:r w:rsidRPr="00FE0954">
        <w:rPr>
          <w:b/>
        </w:rPr>
        <w:t>la date à laquelle le seuil de rentabilité est atteint</w:t>
      </w:r>
      <w:r w:rsidRPr="00FE0954">
        <w:t xml:space="preserve">. </w:t>
      </w:r>
    </w:p>
    <w:p w:rsidR="00276C66" w:rsidRPr="00FE0954" w:rsidRDefault="00276C66" w:rsidP="00276C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18"/>
          <w:szCs w:val="18"/>
        </w:rPr>
      </w:pPr>
      <w:r w:rsidRPr="00FE0954">
        <w:rPr>
          <w:sz w:val="18"/>
          <w:szCs w:val="18"/>
        </w:rPr>
        <w:t>Le calcul peut se réaliser ainsi :</w:t>
      </w:r>
    </w:p>
    <w:p w:rsidR="00276C66" w:rsidRPr="00FE0954" w:rsidRDefault="00792F0F" w:rsidP="00792F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253"/>
        </w:tabs>
        <w:ind w:firstLine="708"/>
        <w:jc w:val="both"/>
        <w:rPr>
          <w:sz w:val="18"/>
          <w:szCs w:val="18"/>
        </w:rPr>
      </w:pPr>
      <w:r>
        <w:rPr>
          <w:sz w:val="18"/>
          <w:szCs w:val="18"/>
        </w:rPr>
        <w:tab/>
      </w:r>
      <w:r w:rsidR="00276C66" w:rsidRPr="00FE0954">
        <w:rPr>
          <w:sz w:val="18"/>
          <w:szCs w:val="18"/>
        </w:rPr>
        <w:t>Seuil de rentabilité X 360</w:t>
      </w:r>
    </w:p>
    <w:p w:rsidR="00792F0F" w:rsidRDefault="007C078E" w:rsidP="00276C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18"/>
          <w:szCs w:val="18"/>
        </w:rPr>
      </w:pPr>
      <w:r>
        <w:rPr>
          <w:sz w:val="18"/>
          <w:szCs w:val="18"/>
        </w:rPr>
        <w:pict>
          <v:line id="Connecteur droit 25" o:spid="_x0000_s1027" style="position:absolute;left:0;text-align:left;z-index:251665408;visibility:visible" from="147.7pt,5.4pt" to="279.1pt,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"/>
        </w:pict>
      </w:r>
      <w:proofErr w:type="gramStart"/>
      <w:r w:rsidR="00A27684">
        <w:rPr>
          <w:sz w:val="18"/>
          <w:szCs w:val="18"/>
        </w:rPr>
        <w:t>point</w:t>
      </w:r>
      <w:proofErr w:type="gramEnd"/>
      <w:r w:rsidR="00A27684">
        <w:rPr>
          <w:sz w:val="18"/>
          <w:szCs w:val="18"/>
        </w:rPr>
        <w:t xml:space="preserve"> mort = n</w:t>
      </w:r>
      <w:r w:rsidR="00276C66" w:rsidRPr="00FE0954">
        <w:rPr>
          <w:sz w:val="18"/>
          <w:szCs w:val="18"/>
        </w:rPr>
        <w:t xml:space="preserve">ombre de jours de </w:t>
      </w:r>
      <w:r w:rsidR="00A27684">
        <w:rPr>
          <w:sz w:val="18"/>
          <w:szCs w:val="18"/>
        </w:rPr>
        <w:t>vente</w:t>
      </w:r>
      <w:r w:rsidR="00276C66" w:rsidRPr="00FE0954">
        <w:rPr>
          <w:sz w:val="18"/>
          <w:szCs w:val="18"/>
        </w:rPr>
        <w:t xml:space="preserve"> = </w:t>
      </w:r>
      <w:r w:rsidR="00792F0F">
        <w:rPr>
          <w:sz w:val="18"/>
          <w:szCs w:val="18"/>
        </w:rPr>
        <w:t xml:space="preserve"> </w:t>
      </w:r>
    </w:p>
    <w:p w:rsidR="00276C66" w:rsidRPr="00FE0954" w:rsidRDefault="00792F0F" w:rsidP="00792F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111"/>
        </w:tabs>
        <w:jc w:val="both"/>
        <w:rPr>
          <w:sz w:val="18"/>
          <w:szCs w:val="18"/>
        </w:rPr>
      </w:pPr>
      <w:r>
        <w:rPr>
          <w:sz w:val="18"/>
          <w:szCs w:val="18"/>
        </w:rPr>
        <w:tab/>
      </w:r>
      <w:r w:rsidR="00276C66" w:rsidRPr="00FE0954">
        <w:rPr>
          <w:sz w:val="18"/>
          <w:szCs w:val="18"/>
        </w:rPr>
        <w:t>Chiffre d’affaires de la période</w:t>
      </w:r>
    </w:p>
    <w:p w:rsidR="00FE0954" w:rsidRDefault="00FE0954" w:rsidP="00FE0954">
      <w:pPr>
        <w:jc w:val="both"/>
      </w:pPr>
      <w:r>
        <w:t xml:space="preserve"> </w:t>
      </w:r>
    </w:p>
    <w:p w:rsidR="00A27684" w:rsidRPr="00A27684" w:rsidRDefault="00A27684" w:rsidP="00A27684">
      <w:pPr>
        <w:jc w:val="both"/>
        <w:rPr>
          <w:b/>
          <w:u w:val="single"/>
        </w:rPr>
      </w:pPr>
      <w:r w:rsidRPr="00A27684">
        <w:rPr>
          <w:b/>
          <w:u w:val="single"/>
        </w:rPr>
        <w:t>Seuil et risque</w:t>
      </w:r>
    </w:p>
    <w:p w:rsidR="00A27684" w:rsidRPr="00A27684" w:rsidRDefault="00A27684" w:rsidP="00A27684">
      <w:pPr>
        <w:numPr>
          <w:ilvl w:val="0"/>
          <w:numId w:val="4"/>
        </w:numPr>
        <w:ind w:left="426"/>
        <w:jc w:val="both"/>
      </w:pPr>
      <w:r w:rsidRPr="00A27684">
        <w:t>Plus le seuil est élevé, plus le risque est grand pour l'organisation.</w:t>
      </w:r>
    </w:p>
    <w:p w:rsidR="00A27684" w:rsidRPr="00A27684" w:rsidRDefault="00A27684" w:rsidP="00A27684">
      <w:pPr>
        <w:numPr>
          <w:ilvl w:val="0"/>
          <w:numId w:val="4"/>
        </w:numPr>
        <w:ind w:left="426"/>
        <w:jc w:val="both"/>
      </w:pPr>
      <w:r w:rsidRPr="00A27684">
        <w:t>De même plus le point mort est éloigné dans le temps, plus le risque est fort.</w:t>
      </w:r>
    </w:p>
    <w:p w:rsidR="00A27684" w:rsidRDefault="00A27684" w:rsidP="00A27684">
      <w:pPr>
        <w:numPr>
          <w:ilvl w:val="0"/>
          <w:numId w:val="4"/>
        </w:numPr>
        <w:ind w:left="426"/>
        <w:jc w:val="both"/>
      </w:pPr>
      <w:r w:rsidRPr="00A27684">
        <w:t>Enfin, on peut mesure le risque (ou à l'inverse la sécurité) par la marge de sécurité</w:t>
      </w:r>
      <w:r>
        <w:t xml:space="preserve"> :</w:t>
      </w:r>
    </w:p>
    <w:p w:rsidR="00FE0954" w:rsidRPr="00FE0954" w:rsidRDefault="00FE0954" w:rsidP="0030198B">
      <w:pPr>
        <w:jc w:val="center"/>
      </w:pPr>
      <w:r w:rsidRPr="00100D16">
        <w:rPr>
          <w:bdr w:val="single" w:sz="4" w:space="0" w:color="auto"/>
        </w:rPr>
        <w:t xml:space="preserve">Indice de sécurité = [(CA de l’exercice </w:t>
      </w:r>
      <w:r w:rsidR="00100D16">
        <w:rPr>
          <w:bdr w:val="single" w:sz="4" w:space="0" w:color="auto"/>
        </w:rPr>
        <w:t xml:space="preserve"> </w:t>
      </w:r>
      <w:r w:rsidRPr="00100D16">
        <w:rPr>
          <w:bdr w:val="single" w:sz="4" w:space="0" w:color="auto"/>
        </w:rPr>
        <w:t xml:space="preserve">– </w:t>
      </w:r>
      <w:r w:rsidR="00100D16">
        <w:rPr>
          <w:bdr w:val="single" w:sz="4" w:space="0" w:color="auto"/>
        </w:rPr>
        <w:t xml:space="preserve"> </w:t>
      </w:r>
      <w:proofErr w:type="gramStart"/>
      <w:r w:rsidRPr="00100D16">
        <w:rPr>
          <w:bdr w:val="single" w:sz="4" w:space="0" w:color="auto"/>
        </w:rPr>
        <w:t>SR</w:t>
      </w:r>
      <w:r w:rsidR="00100D16">
        <w:rPr>
          <w:bdr w:val="single" w:sz="4" w:space="0" w:color="auto"/>
        </w:rPr>
        <w:t xml:space="preserve"> </w:t>
      </w:r>
      <w:r w:rsidRPr="00100D16">
        <w:rPr>
          <w:bdr w:val="single" w:sz="4" w:space="0" w:color="auto"/>
        </w:rPr>
        <w:t>)</w:t>
      </w:r>
      <w:proofErr w:type="gramEnd"/>
      <w:r w:rsidRPr="00100D16">
        <w:rPr>
          <w:bdr w:val="single" w:sz="4" w:space="0" w:color="auto"/>
        </w:rPr>
        <w:t xml:space="preserve"> / </w:t>
      </w:r>
      <w:r w:rsidR="00100D16">
        <w:rPr>
          <w:bdr w:val="single" w:sz="4" w:space="0" w:color="auto"/>
        </w:rPr>
        <w:t xml:space="preserve"> </w:t>
      </w:r>
      <w:r w:rsidRPr="00100D16">
        <w:rPr>
          <w:bdr w:val="single" w:sz="4" w:space="0" w:color="auto"/>
        </w:rPr>
        <w:t xml:space="preserve">CA de l’exercice] </w:t>
      </w:r>
      <w:r w:rsidR="0030198B">
        <w:rPr>
          <w:bdr w:val="single" w:sz="4" w:space="0" w:color="auto"/>
        </w:rPr>
        <w:t xml:space="preserve"> </w:t>
      </w:r>
      <w:r w:rsidR="00100D16">
        <w:rPr>
          <w:bdr w:val="single" w:sz="4" w:space="0" w:color="auto"/>
        </w:rPr>
        <w:t xml:space="preserve"> </w:t>
      </w:r>
      <w:r w:rsidRPr="00100D16">
        <w:rPr>
          <w:bdr w:val="single" w:sz="4" w:space="0" w:color="auto"/>
        </w:rPr>
        <w:t xml:space="preserve">* </w:t>
      </w:r>
      <w:r w:rsidR="0030198B">
        <w:rPr>
          <w:bdr w:val="single" w:sz="4" w:space="0" w:color="auto"/>
        </w:rPr>
        <w:t xml:space="preserve">  </w:t>
      </w:r>
      <w:r w:rsidRPr="00100D16">
        <w:rPr>
          <w:bdr w:val="single" w:sz="4" w:space="0" w:color="auto"/>
        </w:rPr>
        <w:t>100</w:t>
      </w:r>
    </w:p>
    <w:p w:rsidR="00A27684" w:rsidRDefault="00A27684" w:rsidP="006D7F7A">
      <w:pPr>
        <w:jc w:val="both"/>
      </w:pPr>
    </w:p>
    <w:sectPr w:rsidR="00A27684" w:rsidSect="003C44A3">
      <w:headerReference w:type="default" r:id="rId11"/>
      <w:footerReference w:type="default" r:id="rId12"/>
      <w:pgSz w:w="16838" w:h="11906" w:orient="landscape"/>
      <w:pgMar w:top="1134" w:right="851" w:bottom="1134" w:left="851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078E" w:rsidRDefault="007C078E" w:rsidP="00FD3275">
      <w:r>
        <w:separator/>
      </w:r>
    </w:p>
  </w:endnote>
  <w:endnote w:type="continuationSeparator" w:id="0">
    <w:p w:rsidR="007C078E" w:rsidRDefault="007C078E" w:rsidP="00FD32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198B" w:rsidRDefault="0030198B" w:rsidP="0030198B">
    <w:pPr>
      <w:pStyle w:val="Pieddepage"/>
      <w:jc w:val="center"/>
    </w:pPr>
    <w:r w:rsidRPr="0030198B">
      <w:t xml:space="preserve">© Réseau CRCF - Ministère de l'Éducation nationale - </w:t>
    </w:r>
    <w:hyperlink r:id="rId1" w:history="1">
      <w:r w:rsidRPr="0030198B">
        <w:rPr>
          <w:rStyle w:val="Lienhypertexte"/>
        </w:rPr>
        <w:t>http://crcf.ac-grenoble.fr</w:t>
      </w:r>
    </w:hyperlink>
  </w:p>
  <w:p w:rsidR="0030198B" w:rsidRDefault="0030198B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078E" w:rsidRDefault="007C078E" w:rsidP="00FD3275">
      <w:r>
        <w:separator/>
      </w:r>
    </w:p>
  </w:footnote>
  <w:footnote w:type="continuationSeparator" w:id="0">
    <w:p w:rsidR="007C078E" w:rsidRDefault="007C078E" w:rsidP="00FD32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32"/>
        <w:szCs w:val="32"/>
      </w:rPr>
      <w:alias w:val="Titre"/>
      <w:id w:val="397566105"/>
      <w:placeholder>
        <w:docPart w:val="DB109DEDE2DA4D20BCC04B78DDB2272D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FD3275" w:rsidRDefault="00FD3275">
        <w:pPr>
          <w:pStyle w:val="En-tte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>Notion : Le seuil de rentabilité</w:t>
        </w:r>
      </w:p>
    </w:sdtContent>
  </w:sdt>
  <w:p w:rsidR="00FD3275" w:rsidRDefault="00FD3275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315E5014"/>
    <w:lvl w:ilvl="0">
      <w:numFmt w:val="decimal"/>
      <w:lvlText w:val="*"/>
      <w:lvlJc w:val="left"/>
    </w:lvl>
  </w:abstractNum>
  <w:abstractNum w:abstractNumId="1">
    <w:nsid w:val="34BF493C"/>
    <w:multiLevelType w:val="hybridMultilevel"/>
    <w:tmpl w:val="96B64B96"/>
    <w:lvl w:ilvl="0" w:tplc="3692EEF2">
      <w:start w:val="1"/>
      <w:numFmt w:val="bullet"/>
      <w:lvlText w:val=""/>
      <w:lvlJc w:val="left"/>
      <w:pPr>
        <w:ind w:left="607" w:hanging="283"/>
      </w:pPr>
      <w:rPr>
        <w:rFonts w:ascii="Wingdings" w:hAnsi="Wingdings" w:hint="default"/>
        <w:b w:val="0"/>
        <w:i w:val="0"/>
        <w:sz w:val="24"/>
        <w:u w:val="no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B221C0"/>
    <w:multiLevelType w:val="hybridMultilevel"/>
    <w:tmpl w:val="F484FBE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703414"/>
    <w:multiLevelType w:val="singleLevel"/>
    <w:tmpl w:val="1E68ECEC"/>
    <w:lvl w:ilvl="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0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607" w:hanging="283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D3275"/>
    <w:rsid w:val="00100D16"/>
    <w:rsid w:val="00132AF7"/>
    <w:rsid w:val="00170395"/>
    <w:rsid w:val="001E0B03"/>
    <w:rsid w:val="00276C66"/>
    <w:rsid w:val="0030198B"/>
    <w:rsid w:val="003C44A3"/>
    <w:rsid w:val="00470400"/>
    <w:rsid w:val="00477F48"/>
    <w:rsid w:val="005937B9"/>
    <w:rsid w:val="006C113A"/>
    <w:rsid w:val="006D7F7A"/>
    <w:rsid w:val="00792F0F"/>
    <w:rsid w:val="007C078E"/>
    <w:rsid w:val="008D1B9D"/>
    <w:rsid w:val="00A27684"/>
    <w:rsid w:val="00B41D3A"/>
    <w:rsid w:val="00B96DC8"/>
    <w:rsid w:val="00BD251A"/>
    <w:rsid w:val="00DB6463"/>
    <w:rsid w:val="00E55DE7"/>
    <w:rsid w:val="00F5326B"/>
    <w:rsid w:val="00FD3275"/>
    <w:rsid w:val="00FD3A17"/>
    <w:rsid w:val="00FE0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32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itre6">
    <w:name w:val="heading 6"/>
    <w:basedOn w:val="Normal"/>
    <w:next w:val="Normal"/>
    <w:link w:val="Titre6Car"/>
    <w:qFormat/>
    <w:rsid w:val="003C44A3"/>
    <w:pPr>
      <w:keepNext/>
      <w:jc w:val="both"/>
      <w:outlineLvl w:val="5"/>
    </w:pPr>
    <w:rPr>
      <w:rFonts w:ascii="Century Schoolbook" w:hAnsi="Century Schoolbook"/>
      <w:i/>
      <w:sz w:val="24"/>
    </w:rPr>
  </w:style>
  <w:style w:type="paragraph" w:styleId="Titre7">
    <w:name w:val="heading 7"/>
    <w:basedOn w:val="Normal"/>
    <w:next w:val="Normal"/>
    <w:link w:val="Titre7Car"/>
    <w:qFormat/>
    <w:rsid w:val="003C44A3"/>
    <w:pPr>
      <w:keepNext/>
      <w:jc w:val="both"/>
      <w:outlineLvl w:val="6"/>
    </w:pPr>
    <w:rPr>
      <w:rFonts w:ascii="Century Schoolbook" w:hAnsi="Century Schoolbook"/>
      <w:b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FD3275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FD3275"/>
  </w:style>
  <w:style w:type="paragraph" w:styleId="Pieddepage">
    <w:name w:val="footer"/>
    <w:basedOn w:val="Normal"/>
    <w:link w:val="PieddepageCar"/>
    <w:uiPriority w:val="99"/>
    <w:unhideWhenUsed/>
    <w:rsid w:val="00FD3275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FD3275"/>
  </w:style>
  <w:style w:type="paragraph" w:styleId="Textedebulles">
    <w:name w:val="Balloon Text"/>
    <w:basedOn w:val="Normal"/>
    <w:link w:val="TextedebullesCar"/>
    <w:uiPriority w:val="99"/>
    <w:semiHidden/>
    <w:unhideWhenUsed/>
    <w:rsid w:val="00FD3275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D3275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8D1B9D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30198B"/>
    <w:rPr>
      <w:color w:val="0000FF" w:themeColor="hyperlink"/>
      <w:u w:val="single"/>
    </w:rPr>
  </w:style>
  <w:style w:type="character" w:customStyle="1" w:styleId="Titre6Car">
    <w:name w:val="Titre 6 Car"/>
    <w:basedOn w:val="Policepardfaut"/>
    <w:link w:val="Titre6"/>
    <w:rsid w:val="003C44A3"/>
    <w:rPr>
      <w:rFonts w:ascii="Century Schoolbook" w:eastAsia="Times New Roman" w:hAnsi="Century Schoolbook" w:cs="Times New Roman"/>
      <w:i/>
      <w:sz w:val="24"/>
      <w:szCs w:val="20"/>
      <w:lang w:eastAsia="fr-FR"/>
    </w:rPr>
  </w:style>
  <w:style w:type="character" w:customStyle="1" w:styleId="Titre7Car">
    <w:name w:val="Titre 7 Car"/>
    <w:basedOn w:val="Policepardfaut"/>
    <w:link w:val="Titre7"/>
    <w:rsid w:val="003C44A3"/>
    <w:rPr>
      <w:rFonts w:ascii="Century Schoolbook" w:eastAsia="Times New Roman" w:hAnsi="Century Schoolbook" w:cs="Times New Roman"/>
      <w:b/>
      <w:sz w:val="24"/>
      <w:szCs w:val="20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32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FD3275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FD3275"/>
  </w:style>
  <w:style w:type="paragraph" w:styleId="Pieddepage">
    <w:name w:val="footer"/>
    <w:basedOn w:val="Normal"/>
    <w:link w:val="PieddepageCar"/>
    <w:uiPriority w:val="99"/>
    <w:unhideWhenUsed/>
    <w:rsid w:val="00FD3275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FD3275"/>
  </w:style>
  <w:style w:type="paragraph" w:styleId="Textedebulles">
    <w:name w:val="Balloon Text"/>
    <w:basedOn w:val="Normal"/>
    <w:link w:val="TextedebullesCar"/>
    <w:uiPriority w:val="99"/>
    <w:semiHidden/>
    <w:unhideWhenUsed/>
    <w:rsid w:val="00FD3275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D3275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8D1B9D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30198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gif"/><Relationship Id="rId4" Type="http://schemas.microsoft.com/office/2007/relationships/stylesWithEffects" Target="stylesWithEffects.xml"/><Relationship Id="rId9" Type="http://schemas.openxmlformats.org/officeDocument/2006/relationships/image" Target="media/image1.gif"/><Relationship Id="rId14" Type="http://schemas.openxmlformats.org/officeDocument/2006/relationships/glossaryDocument" Target="glossary/document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crtg.ac-grenoble.fr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B109DEDE2DA4D20BCC04B78DDB2272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6685691-FBAD-4B05-983B-4FCE7D1BDBE8}"/>
      </w:docPartPr>
      <w:docPartBody>
        <w:p w:rsidR="00E87583" w:rsidRDefault="005A1C9A" w:rsidP="005A1C9A">
          <w:pPr>
            <w:pStyle w:val="DB109DEDE2DA4D20BCC04B78DDB2272D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[Titre du document]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5A1C9A"/>
    <w:rsid w:val="00142214"/>
    <w:rsid w:val="005A1C9A"/>
    <w:rsid w:val="00A95498"/>
    <w:rsid w:val="00E87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758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B109DEDE2DA4D20BCC04B78DDB2272D">
    <w:name w:val="DB109DEDE2DA4D20BCC04B78DDB2272D"/>
    <w:rsid w:val="005A1C9A"/>
  </w:style>
  <w:style w:type="paragraph" w:customStyle="1" w:styleId="FF5C7EC934E14A30A7FD4999A246B954">
    <w:name w:val="FF5C7EC934E14A30A7FD4999A246B954"/>
    <w:rsid w:val="005A1C9A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6FDA69-D76E-4D6F-9B51-7BAEBC0F9A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468</Words>
  <Characters>2575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Notion : Le seuil de rentabilité</vt:lpstr>
    </vt:vector>
  </TitlesOfParts>
  <Company>CRCF EN</Company>
  <LinksUpToDate>false</LinksUpToDate>
  <CharactersWithSpaces>3037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Notion : Le seuil de rentabilité</dc:title>
  <dc:creator>ADMIN</dc:creator>
  <cp:lastModifiedBy>ADMIN</cp:lastModifiedBy>
  <cp:revision>4</cp:revision>
  <dcterms:created xsi:type="dcterms:W3CDTF">2012-02-29T09:45:00Z</dcterms:created>
  <dcterms:modified xsi:type="dcterms:W3CDTF">2012-03-14T14:42:00Z</dcterms:modified>
</cp:coreProperties>
</file>