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E3C" w:rsidRPr="0012744F" w:rsidRDefault="00F34E3C" w:rsidP="0012744F">
      <w:pPr>
        <w:widowControl/>
        <w:suppressAutoHyphens/>
        <w:autoSpaceDE/>
        <w:autoSpaceDN/>
        <w:adjustRightInd/>
        <w:jc w:val="center"/>
        <w:rPr>
          <w:b/>
          <w:lang w:eastAsia="ar-SA"/>
        </w:rPr>
      </w:pPr>
      <w:r>
        <w:rPr>
          <w:b/>
          <w:lang w:eastAsia="ar-SA"/>
        </w:rPr>
        <w:t>BACCALAURÉAT TECHNOLOGIQUE</w:t>
      </w:r>
    </w:p>
    <w:p w:rsidR="00F34E3C" w:rsidRPr="0012744F" w:rsidRDefault="00F34E3C" w:rsidP="0012744F">
      <w:pPr>
        <w:widowControl/>
        <w:suppressAutoHyphens/>
        <w:autoSpaceDE/>
        <w:autoSpaceDN/>
        <w:adjustRightInd/>
        <w:jc w:val="center"/>
        <w:rPr>
          <w:b/>
          <w:sz w:val="22"/>
          <w:lang w:eastAsia="ar-SA"/>
        </w:rPr>
      </w:pPr>
    </w:p>
    <w:p w:rsidR="00F34E3C" w:rsidRPr="0012744F" w:rsidRDefault="00F34E3C" w:rsidP="0012744F">
      <w:pPr>
        <w:widowControl/>
        <w:suppressAutoHyphens/>
        <w:autoSpaceDE/>
        <w:autoSpaceDN/>
        <w:adjustRightInd/>
        <w:jc w:val="center"/>
        <w:rPr>
          <w:b/>
          <w:lang w:eastAsia="ar-SA"/>
        </w:rPr>
      </w:pPr>
      <w:r w:rsidRPr="0012744F">
        <w:rPr>
          <w:b/>
          <w:lang w:eastAsia="ar-SA"/>
        </w:rPr>
        <w:t>SCIENCES ET TECHNOLOGIES DU MANAGEMENT ET DE LA GESTION</w:t>
      </w:r>
    </w:p>
    <w:p w:rsidR="00F34E3C" w:rsidRPr="0012744F" w:rsidRDefault="00F34E3C" w:rsidP="0012744F">
      <w:pPr>
        <w:widowControl/>
        <w:suppressAutoHyphens/>
        <w:autoSpaceDE/>
        <w:autoSpaceDN/>
        <w:adjustRightInd/>
        <w:jc w:val="center"/>
        <w:rPr>
          <w:b/>
          <w:sz w:val="22"/>
          <w:lang w:eastAsia="ar-SA"/>
        </w:rPr>
      </w:pPr>
    </w:p>
    <w:p w:rsidR="00F34E3C" w:rsidRPr="0012744F" w:rsidRDefault="00F34E3C" w:rsidP="0012744F">
      <w:pPr>
        <w:widowControl/>
        <w:suppressAutoHyphens/>
        <w:autoSpaceDE/>
        <w:autoSpaceDN/>
        <w:adjustRightInd/>
        <w:jc w:val="center"/>
        <w:rPr>
          <w:b/>
          <w:lang w:eastAsia="ar-SA"/>
        </w:rPr>
      </w:pPr>
      <w:r>
        <w:rPr>
          <w:b/>
          <w:lang w:eastAsia="ar-SA"/>
        </w:rPr>
        <w:t>SECOND GROUPE D’ÉPREUVES</w:t>
      </w:r>
    </w:p>
    <w:p w:rsidR="00F34E3C" w:rsidRPr="0012744F" w:rsidRDefault="00F34E3C" w:rsidP="0012744F">
      <w:pPr>
        <w:widowControl/>
        <w:suppressAutoHyphens/>
        <w:autoSpaceDE/>
        <w:autoSpaceDN/>
        <w:adjustRightInd/>
        <w:jc w:val="center"/>
        <w:rPr>
          <w:b/>
          <w:sz w:val="22"/>
          <w:lang w:eastAsia="ar-SA"/>
        </w:rPr>
      </w:pPr>
    </w:p>
    <w:p w:rsidR="00F34E3C" w:rsidRPr="0012744F" w:rsidRDefault="00F34E3C" w:rsidP="0012744F">
      <w:pPr>
        <w:widowControl/>
        <w:suppressAutoHyphens/>
        <w:autoSpaceDE/>
        <w:autoSpaceDN/>
        <w:adjustRightInd/>
        <w:jc w:val="center"/>
        <w:rPr>
          <w:b/>
          <w:lang w:eastAsia="ar-SA"/>
        </w:rPr>
      </w:pPr>
      <w:r>
        <w:rPr>
          <w:b/>
          <w:lang w:eastAsia="ar-SA"/>
        </w:rPr>
        <w:t>Session 2014</w:t>
      </w:r>
    </w:p>
    <w:p w:rsidR="00F34E3C" w:rsidRPr="0012744F" w:rsidRDefault="00F34E3C" w:rsidP="0012744F">
      <w:pPr>
        <w:widowControl/>
        <w:suppressAutoHyphens/>
        <w:autoSpaceDE/>
        <w:autoSpaceDN/>
        <w:adjustRightInd/>
        <w:jc w:val="center"/>
        <w:rPr>
          <w:b/>
          <w:sz w:val="22"/>
          <w:lang w:eastAsia="ar-SA"/>
        </w:rPr>
      </w:pPr>
    </w:p>
    <w:p w:rsidR="00F34E3C" w:rsidRPr="0012744F" w:rsidRDefault="00F34E3C" w:rsidP="0012744F">
      <w:pPr>
        <w:widowControl/>
        <w:suppressAutoHyphens/>
        <w:autoSpaceDE/>
        <w:autoSpaceDN/>
        <w:adjustRightInd/>
        <w:jc w:val="center"/>
        <w:rPr>
          <w:b/>
          <w:lang w:eastAsia="ar-SA"/>
        </w:rPr>
      </w:pPr>
      <w:r w:rsidRPr="0012744F">
        <w:rPr>
          <w:b/>
          <w:lang w:eastAsia="ar-SA"/>
        </w:rPr>
        <w:t>SPÉCIALITÉ : GESTION ET FINANCE</w:t>
      </w:r>
    </w:p>
    <w:p w:rsidR="00F34E3C" w:rsidRPr="0012744F" w:rsidRDefault="00F34E3C" w:rsidP="0012744F">
      <w:pPr>
        <w:widowControl/>
        <w:suppressAutoHyphens/>
        <w:autoSpaceDE/>
        <w:autoSpaceDN/>
        <w:adjustRightInd/>
        <w:jc w:val="center"/>
        <w:rPr>
          <w:b/>
          <w:lang w:eastAsia="ar-SA"/>
        </w:rPr>
      </w:pPr>
      <w:r w:rsidRPr="0012744F">
        <w:rPr>
          <w:b/>
          <w:lang w:eastAsia="ar-SA"/>
        </w:rPr>
        <w:t>ÉPREUVE ORALE DE</w:t>
      </w:r>
      <w:r w:rsidRPr="0012744F">
        <w:rPr>
          <w:b/>
          <w:sz w:val="22"/>
          <w:szCs w:val="22"/>
          <w:lang w:eastAsia="ar-SA"/>
        </w:rPr>
        <w:t xml:space="preserve"> </w:t>
      </w:r>
      <w:r w:rsidRPr="0012744F">
        <w:rPr>
          <w:b/>
          <w:lang w:eastAsia="ar-SA"/>
        </w:rPr>
        <w:t>CONTRÔLE</w:t>
      </w:r>
    </w:p>
    <w:p w:rsidR="00F34E3C" w:rsidRPr="0012744F" w:rsidRDefault="00F34E3C" w:rsidP="0012744F">
      <w:pPr>
        <w:widowControl/>
        <w:suppressAutoHyphens/>
        <w:autoSpaceDE/>
        <w:autoSpaceDN/>
        <w:adjustRightInd/>
        <w:jc w:val="center"/>
        <w:rPr>
          <w:lang w:eastAsia="ar-SA"/>
        </w:rPr>
      </w:pPr>
    </w:p>
    <w:p w:rsidR="00F34E3C" w:rsidRPr="0012744F" w:rsidRDefault="00F34E3C" w:rsidP="0012744F">
      <w:pPr>
        <w:widowControl/>
        <w:suppressAutoHyphens/>
        <w:autoSpaceDE/>
        <w:autoSpaceDN/>
        <w:adjustRightInd/>
        <w:rPr>
          <w:lang w:eastAsia="ar-SA"/>
        </w:rPr>
      </w:pPr>
      <w:r w:rsidRPr="0012744F">
        <w:rPr>
          <w:lang w:eastAsia="ar-SA"/>
        </w:rPr>
        <w:t>Temps de préparation : 40 minutes</w:t>
      </w:r>
    </w:p>
    <w:p w:rsidR="00F34E3C" w:rsidRPr="0012744F" w:rsidRDefault="00F34E3C" w:rsidP="0012744F">
      <w:pPr>
        <w:widowControl/>
        <w:suppressAutoHyphens/>
        <w:autoSpaceDE/>
        <w:autoSpaceDN/>
        <w:adjustRightInd/>
        <w:spacing w:before="120"/>
        <w:rPr>
          <w:lang w:eastAsia="ar-SA"/>
        </w:rPr>
      </w:pPr>
      <w:r w:rsidRPr="0012744F">
        <w:rPr>
          <w:lang w:eastAsia="ar-SA"/>
        </w:rPr>
        <w:t>Durée de l’épreuve : 20 minutes</w:t>
      </w:r>
    </w:p>
    <w:p w:rsidR="00F34E3C" w:rsidRPr="0012744F" w:rsidRDefault="00F34E3C" w:rsidP="0012744F">
      <w:pPr>
        <w:widowControl/>
        <w:suppressAutoHyphens/>
        <w:autoSpaceDE/>
        <w:autoSpaceDN/>
        <w:adjustRightInd/>
        <w:spacing w:before="120"/>
        <w:jc w:val="both"/>
        <w:rPr>
          <w:lang w:eastAsia="ar-SA"/>
        </w:rPr>
      </w:pPr>
      <w:r w:rsidRPr="0012744F">
        <w:rPr>
          <w:b/>
          <w:lang w:eastAsia="ar-SA"/>
        </w:rPr>
        <w:t>Documents et matériels autorisés</w:t>
      </w:r>
      <w:r w:rsidRPr="0012744F">
        <w:rPr>
          <w:lang w:eastAsia="ar-SA"/>
        </w:rPr>
        <w:t> : calculatrice de poche à fonctionnement autonome et liste des comptes du Plan Comptable Général.</w:t>
      </w:r>
    </w:p>
    <w:p w:rsidR="00F34E3C" w:rsidRDefault="00F34E3C" w:rsidP="00F03F62"/>
    <w:p w:rsidR="00F34E3C" w:rsidRPr="006C5D46" w:rsidRDefault="00F34E3C" w:rsidP="00F03F62">
      <w:pPr>
        <w:pBdr>
          <w:top w:val="single" w:sz="8" w:space="1" w:color="auto"/>
          <w:bottom w:val="single" w:sz="8" w:space="1" w:color="auto"/>
        </w:pBdr>
        <w:tabs>
          <w:tab w:val="left" w:pos="5529"/>
        </w:tabs>
        <w:jc w:val="center"/>
        <w:rPr>
          <w:b/>
          <w:sz w:val="16"/>
          <w:szCs w:val="16"/>
        </w:rPr>
      </w:pPr>
    </w:p>
    <w:p w:rsidR="00F34E3C" w:rsidRDefault="00F34E3C" w:rsidP="00F03F62">
      <w:pPr>
        <w:pBdr>
          <w:top w:val="single" w:sz="8" w:space="1" w:color="auto"/>
          <w:bottom w:val="single" w:sz="8" w:space="1" w:color="auto"/>
        </w:pBdr>
        <w:jc w:val="center"/>
        <w:rPr>
          <w:color w:val="FF0000"/>
        </w:rPr>
      </w:pPr>
      <w:r w:rsidRPr="00F011EE">
        <w:rPr>
          <w:b/>
        </w:rPr>
        <w:t>Sujet n°</w:t>
      </w:r>
      <w:r>
        <w:t xml:space="preserve"> 14GF00B</w:t>
      </w:r>
    </w:p>
    <w:p w:rsidR="00F34E3C" w:rsidRPr="006C5D46" w:rsidRDefault="00F34E3C" w:rsidP="00F03F62">
      <w:pPr>
        <w:pBdr>
          <w:top w:val="single" w:sz="8" w:space="1" w:color="auto"/>
          <w:bottom w:val="single" w:sz="8" w:space="1" w:color="auto"/>
        </w:pBdr>
        <w:jc w:val="center"/>
        <w:rPr>
          <w:color w:val="FF0000"/>
          <w:sz w:val="16"/>
          <w:szCs w:val="16"/>
        </w:rPr>
      </w:pPr>
    </w:p>
    <w:p w:rsidR="00F34E3C" w:rsidRPr="009F5ADA" w:rsidRDefault="00F34E3C" w:rsidP="00FE2C20">
      <w:pPr>
        <w:pStyle w:val="NoSpacing"/>
        <w:jc w:val="both"/>
        <w:rPr>
          <w:rStyle w:val="FontStyle18"/>
          <w:b w:val="0"/>
          <w:bCs/>
          <w:szCs w:val="20"/>
        </w:rPr>
      </w:pPr>
    </w:p>
    <w:p w:rsidR="00F34E3C" w:rsidRPr="00094346" w:rsidRDefault="00F34E3C" w:rsidP="00FE2C20">
      <w:pPr>
        <w:pStyle w:val="NoSpacing"/>
        <w:jc w:val="both"/>
        <w:rPr>
          <w:sz w:val="20"/>
          <w:lang w:eastAsia="ar-SA"/>
        </w:rPr>
      </w:pPr>
      <w:r>
        <w:rPr>
          <w:rStyle w:val="FontStyle18"/>
          <w:b w:val="0"/>
          <w:bCs/>
          <w:sz w:val="24"/>
        </w:rPr>
        <w:t>La SARL VELIMAX est spécialisée dans la production de vélos électriques. Elle détermine ses coûts selon la méthode du coût partiel en distinguant les charges fixes et les charges variables. Le seuil de rentabilité en volume pour l’exercice 2013 est de 930 vélos vendus. Le taux de profitabilité de 2013 était de 5 %. Le gérant, Monsieur LARCHER, souhaite améliorer la rentabilité en investissant dans une machine plus performante. Cette machine serait acquise et mise en service le 1</w:t>
      </w:r>
      <w:r w:rsidRPr="0049135A">
        <w:rPr>
          <w:rStyle w:val="FontStyle18"/>
          <w:b w:val="0"/>
          <w:bCs/>
          <w:sz w:val="24"/>
          <w:vertAlign w:val="superscript"/>
        </w:rPr>
        <w:t>er</w:t>
      </w:r>
      <w:r>
        <w:rPr>
          <w:rStyle w:val="FontStyle18"/>
          <w:b w:val="0"/>
          <w:bCs/>
          <w:sz w:val="24"/>
        </w:rPr>
        <w:t xml:space="preserve"> janvier 2014 pour un coût d'acquisition  de  75 000 € HT, TVA à 20 %. L’amortissement pratiqué serait le mode linéaire sur 5 ans. Monsieur LARCHER souhaite également connaître l’impact de cet investissement sur le seuil de rentabilité prévisionnel 2014.</w:t>
      </w:r>
    </w:p>
    <w:p w:rsidR="00F34E3C" w:rsidRPr="0012744F" w:rsidRDefault="00F34E3C" w:rsidP="0012744F">
      <w:pPr>
        <w:widowControl/>
        <w:suppressAutoHyphens/>
        <w:autoSpaceDE/>
        <w:autoSpaceDN/>
        <w:adjustRightInd/>
        <w:rPr>
          <w:sz w:val="20"/>
          <w:lang w:eastAsia="ar-SA"/>
        </w:rPr>
      </w:pPr>
    </w:p>
    <w:p w:rsidR="00F34E3C" w:rsidRPr="0012744F" w:rsidRDefault="00F34E3C" w:rsidP="0012744F">
      <w:pPr>
        <w:widowControl/>
        <w:suppressAutoHyphens/>
        <w:autoSpaceDE/>
        <w:autoSpaceDN/>
        <w:adjustRightInd/>
        <w:rPr>
          <w:b/>
          <w:bCs/>
          <w:u w:val="single"/>
          <w:lang w:eastAsia="ar-SA"/>
        </w:rPr>
      </w:pPr>
      <w:r w:rsidRPr="0012744F">
        <w:rPr>
          <w:b/>
          <w:bCs/>
          <w:u w:val="single"/>
          <w:lang w:eastAsia="ar-SA"/>
        </w:rPr>
        <w:t>Première partie (16 points)</w:t>
      </w:r>
    </w:p>
    <w:p w:rsidR="00F34E3C" w:rsidRDefault="00F34E3C" w:rsidP="00FA428E">
      <w:pPr>
        <w:pStyle w:val="NoSpacing"/>
        <w:numPr>
          <w:ilvl w:val="0"/>
          <w:numId w:val="7"/>
        </w:numPr>
        <w:spacing w:before="120"/>
        <w:ind w:left="641" w:hanging="357"/>
        <w:jc w:val="both"/>
        <w:rPr>
          <w:rStyle w:val="FontStyle18"/>
          <w:bCs/>
          <w:sz w:val="24"/>
        </w:rPr>
      </w:pPr>
      <w:r>
        <w:rPr>
          <w:rStyle w:val="FontStyle18"/>
          <w:bCs/>
          <w:sz w:val="24"/>
        </w:rPr>
        <w:t>Préciser comment est déterminé le coût d’acquisition d’une immobilisation.</w:t>
      </w:r>
    </w:p>
    <w:p w:rsidR="00F34E3C" w:rsidRPr="00C7301A" w:rsidRDefault="00F34E3C" w:rsidP="00FA428E">
      <w:pPr>
        <w:pStyle w:val="NoSpacing"/>
        <w:numPr>
          <w:ilvl w:val="0"/>
          <w:numId w:val="7"/>
        </w:numPr>
        <w:spacing w:before="80"/>
        <w:ind w:left="641" w:hanging="357"/>
        <w:jc w:val="both"/>
        <w:rPr>
          <w:rStyle w:val="FontStyle18"/>
          <w:bCs/>
          <w:sz w:val="24"/>
        </w:rPr>
      </w:pPr>
      <w:r>
        <w:rPr>
          <w:rStyle w:val="FontStyle18"/>
          <w:bCs/>
          <w:sz w:val="24"/>
        </w:rPr>
        <w:t>Calculer le montant de la dotation aux amortissements à prendre en compte en 2014 pour ce nouveau matériel.</w:t>
      </w:r>
    </w:p>
    <w:p w:rsidR="00F34E3C" w:rsidRPr="0014737D" w:rsidRDefault="00F34E3C" w:rsidP="00FA428E">
      <w:pPr>
        <w:pStyle w:val="NoSpacing"/>
        <w:numPr>
          <w:ilvl w:val="0"/>
          <w:numId w:val="7"/>
        </w:numPr>
        <w:spacing w:before="80"/>
        <w:ind w:left="641" w:hanging="357"/>
        <w:jc w:val="both"/>
        <w:rPr>
          <w:rStyle w:val="FontStyle18"/>
          <w:bCs/>
          <w:sz w:val="24"/>
        </w:rPr>
      </w:pPr>
      <w:r>
        <w:rPr>
          <w:rStyle w:val="FontStyle18"/>
          <w:bCs/>
          <w:sz w:val="24"/>
        </w:rPr>
        <w:t>Déterminer s'il s'agit d'une charge variable ou d'une charge fixe. Justifier votre réponse.</w:t>
      </w:r>
    </w:p>
    <w:p w:rsidR="00F34E3C" w:rsidRDefault="00F34E3C" w:rsidP="00FA428E">
      <w:pPr>
        <w:pStyle w:val="NoSpacing"/>
        <w:numPr>
          <w:ilvl w:val="0"/>
          <w:numId w:val="7"/>
        </w:numPr>
        <w:spacing w:before="80"/>
        <w:ind w:left="641" w:hanging="357"/>
        <w:jc w:val="both"/>
        <w:rPr>
          <w:rStyle w:val="FontStyle18"/>
          <w:bCs/>
          <w:sz w:val="24"/>
        </w:rPr>
      </w:pPr>
      <w:r>
        <w:rPr>
          <w:rStyle w:val="FontStyle18"/>
          <w:bCs/>
          <w:sz w:val="24"/>
        </w:rPr>
        <w:t>À partir des informations de l'annexe 1 et du calcul précédent, compléter le compte de résultat par variabilité prévisionnel 2014 en annexe A.</w:t>
      </w:r>
    </w:p>
    <w:p w:rsidR="00F34E3C" w:rsidRDefault="00F34E3C" w:rsidP="00FA428E">
      <w:pPr>
        <w:pStyle w:val="NoSpacing"/>
        <w:numPr>
          <w:ilvl w:val="0"/>
          <w:numId w:val="7"/>
        </w:numPr>
        <w:spacing w:before="80"/>
        <w:ind w:left="641" w:hanging="357"/>
        <w:jc w:val="both"/>
        <w:rPr>
          <w:rStyle w:val="FontStyle18"/>
          <w:bCs/>
          <w:sz w:val="24"/>
        </w:rPr>
      </w:pPr>
      <w:r>
        <w:rPr>
          <w:rStyle w:val="FontStyle18"/>
          <w:bCs/>
          <w:sz w:val="24"/>
        </w:rPr>
        <w:t xml:space="preserve">Calculer le seuil de rentabilité prévisionnel 2014 en </w:t>
      </w:r>
      <w:r w:rsidRPr="002807A1">
        <w:rPr>
          <w:rStyle w:val="FontStyle18"/>
          <w:bCs/>
          <w:sz w:val="24"/>
        </w:rPr>
        <w:t xml:space="preserve">valeur puis en </w:t>
      </w:r>
      <w:r>
        <w:rPr>
          <w:rStyle w:val="FontStyle18"/>
          <w:bCs/>
          <w:sz w:val="24"/>
        </w:rPr>
        <w:t>nombre de vélos.</w:t>
      </w:r>
    </w:p>
    <w:p w:rsidR="00F34E3C" w:rsidRPr="00F56DF8" w:rsidRDefault="00F34E3C" w:rsidP="00FA428E">
      <w:pPr>
        <w:pStyle w:val="NoSpacing"/>
        <w:numPr>
          <w:ilvl w:val="0"/>
          <w:numId w:val="7"/>
        </w:numPr>
        <w:spacing w:before="80"/>
        <w:ind w:left="641" w:hanging="357"/>
        <w:jc w:val="both"/>
        <w:rPr>
          <w:rStyle w:val="FontStyle18"/>
          <w:bCs/>
          <w:sz w:val="24"/>
        </w:rPr>
      </w:pPr>
      <w:r>
        <w:rPr>
          <w:rStyle w:val="FontStyle18"/>
          <w:bCs/>
          <w:sz w:val="24"/>
        </w:rPr>
        <w:t>À partir de l’annexe 2, calculer le taux de profitabilité prévisionnel pour 2014.</w:t>
      </w:r>
    </w:p>
    <w:p w:rsidR="00F34E3C" w:rsidRDefault="00F34E3C" w:rsidP="00FA428E">
      <w:pPr>
        <w:pStyle w:val="NoSpacing"/>
        <w:numPr>
          <w:ilvl w:val="0"/>
          <w:numId w:val="7"/>
        </w:numPr>
        <w:spacing w:before="80"/>
        <w:ind w:left="641" w:hanging="357"/>
        <w:jc w:val="both"/>
        <w:rPr>
          <w:rStyle w:val="FontStyle18"/>
          <w:bCs/>
          <w:sz w:val="24"/>
        </w:rPr>
      </w:pPr>
      <w:r>
        <w:rPr>
          <w:rStyle w:val="FontStyle18"/>
          <w:bCs/>
          <w:sz w:val="24"/>
        </w:rPr>
        <w:t>Commenter les résultats obtenus.</w:t>
      </w:r>
    </w:p>
    <w:p w:rsidR="00F34E3C" w:rsidRPr="000C7D8C" w:rsidRDefault="00F34E3C" w:rsidP="000C7D8C">
      <w:pPr>
        <w:widowControl/>
        <w:suppressAutoHyphens/>
        <w:autoSpaceDE/>
        <w:autoSpaceDN/>
        <w:adjustRightInd/>
        <w:rPr>
          <w:b/>
          <w:bCs/>
          <w:sz w:val="20"/>
          <w:lang w:eastAsia="ar-SA"/>
        </w:rPr>
      </w:pPr>
    </w:p>
    <w:p w:rsidR="00F34E3C" w:rsidRPr="00EC7645" w:rsidRDefault="00F34E3C" w:rsidP="00FF2741">
      <w:pPr>
        <w:pStyle w:val="NoSpacing"/>
        <w:jc w:val="both"/>
        <w:rPr>
          <w:rStyle w:val="FontStyle18"/>
          <w:b w:val="0"/>
          <w:bCs/>
          <w:sz w:val="24"/>
        </w:rPr>
      </w:pPr>
      <w:r>
        <w:rPr>
          <w:rStyle w:val="FontStyle18"/>
          <w:b w:val="0"/>
          <w:bCs/>
          <w:sz w:val="24"/>
        </w:rPr>
        <w:t xml:space="preserve">Au début de l’année 2014, l’entreprise a réellement acquis </w:t>
      </w:r>
      <w:r w:rsidRPr="00EC7645">
        <w:rPr>
          <w:rStyle w:val="FontStyle18"/>
          <w:b w:val="0"/>
          <w:bCs/>
          <w:sz w:val="24"/>
        </w:rPr>
        <w:t xml:space="preserve">cette immobilisation (voir </w:t>
      </w:r>
      <w:r>
        <w:rPr>
          <w:rStyle w:val="FontStyle18"/>
          <w:b w:val="0"/>
          <w:bCs/>
          <w:sz w:val="24"/>
        </w:rPr>
        <w:t>annexe 3</w:t>
      </w:r>
      <w:r w:rsidRPr="00EC7645">
        <w:rPr>
          <w:rStyle w:val="FontStyle18"/>
          <w:b w:val="0"/>
          <w:bCs/>
          <w:sz w:val="24"/>
        </w:rPr>
        <w:t>).</w:t>
      </w:r>
    </w:p>
    <w:p w:rsidR="00F34E3C" w:rsidRDefault="00F34E3C" w:rsidP="00FA428E">
      <w:pPr>
        <w:pStyle w:val="NoSpacing"/>
        <w:numPr>
          <w:ilvl w:val="0"/>
          <w:numId w:val="7"/>
        </w:numPr>
        <w:spacing w:before="120"/>
        <w:ind w:left="641" w:hanging="357"/>
        <w:jc w:val="both"/>
        <w:rPr>
          <w:rStyle w:val="FontStyle18"/>
          <w:bCs/>
          <w:sz w:val="24"/>
        </w:rPr>
      </w:pPr>
      <w:r>
        <w:rPr>
          <w:rStyle w:val="FontStyle18"/>
          <w:bCs/>
          <w:sz w:val="24"/>
        </w:rPr>
        <w:t>Enregistrer l’écriture d’acquisition au journal de l’entreprise au 1</w:t>
      </w:r>
      <w:r w:rsidRPr="00FE6A6E">
        <w:rPr>
          <w:rStyle w:val="FontStyle18"/>
          <w:bCs/>
          <w:sz w:val="24"/>
          <w:vertAlign w:val="superscript"/>
        </w:rPr>
        <w:t>er</w:t>
      </w:r>
      <w:r>
        <w:rPr>
          <w:rStyle w:val="FontStyle18"/>
          <w:bCs/>
          <w:sz w:val="24"/>
        </w:rPr>
        <w:t xml:space="preserve"> janvier 2014.</w:t>
      </w:r>
    </w:p>
    <w:p w:rsidR="00F34E3C" w:rsidRDefault="00F34E3C" w:rsidP="00FA428E">
      <w:pPr>
        <w:pStyle w:val="NoSpacing"/>
        <w:numPr>
          <w:ilvl w:val="0"/>
          <w:numId w:val="7"/>
        </w:numPr>
        <w:spacing w:before="80"/>
        <w:ind w:left="641" w:hanging="357"/>
        <w:jc w:val="both"/>
        <w:rPr>
          <w:rStyle w:val="FontStyle18"/>
          <w:bCs/>
          <w:sz w:val="24"/>
        </w:rPr>
      </w:pPr>
      <w:r>
        <w:rPr>
          <w:rStyle w:val="FontStyle18"/>
          <w:bCs/>
          <w:sz w:val="24"/>
        </w:rPr>
        <w:t>Quel est l’impact de cette écriture sur les documents de synthèse ?</w:t>
      </w:r>
    </w:p>
    <w:p w:rsidR="00F34E3C" w:rsidRPr="000C7D8C" w:rsidRDefault="00F34E3C" w:rsidP="000C7D8C">
      <w:pPr>
        <w:widowControl/>
        <w:suppressAutoHyphens/>
        <w:autoSpaceDE/>
        <w:autoSpaceDN/>
        <w:adjustRightInd/>
        <w:rPr>
          <w:b/>
          <w:bCs/>
          <w:sz w:val="20"/>
          <w:lang w:eastAsia="ar-SA"/>
        </w:rPr>
      </w:pPr>
    </w:p>
    <w:p w:rsidR="00F34E3C" w:rsidRPr="00EF5711" w:rsidRDefault="00F34E3C" w:rsidP="00FF2741">
      <w:pPr>
        <w:rPr>
          <w:b/>
          <w:u w:val="single"/>
        </w:rPr>
      </w:pPr>
      <w:r w:rsidRPr="00EF5711">
        <w:rPr>
          <w:b/>
          <w:u w:val="single"/>
        </w:rPr>
        <w:t>Deuxième partie</w:t>
      </w:r>
      <w:r>
        <w:rPr>
          <w:b/>
          <w:u w:val="single"/>
        </w:rPr>
        <w:t xml:space="preserve"> (4 points)</w:t>
      </w:r>
    </w:p>
    <w:p w:rsidR="00F34E3C" w:rsidRDefault="00F34E3C" w:rsidP="00FA428E">
      <w:pPr>
        <w:pStyle w:val="NoSpacing"/>
        <w:spacing w:before="120"/>
        <w:jc w:val="both"/>
        <w:rPr>
          <w:rStyle w:val="FontStyle18"/>
          <w:sz w:val="24"/>
        </w:rPr>
      </w:pPr>
      <w:r>
        <w:rPr>
          <w:rStyle w:val="FontStyle18"/>
          <w:sz w:val="24"/>
        </w:rPr>
        <w:t>À partir de vos travaux effectués et à l’aide de vos connaissances, traiter la question suivante :</w:t>
      </w:r>
    </w:p>
    <w:p w:rsidR="00F34E3C" w:rsidRPr="000C7D8C" w:rsidRDefault="00F34E3C" w:rsidP="000C7D8C">
      <w:pPr>
        <w:widowControl/>
        <w:suppressAutoHyphens/>
        <w:autoSpaceDE/>
        <w:autoSpaceDN/>
        <w:adjustRightInd/>
        <w:rPr>
          <w:b/>
          <w:sz w:val="20"/>
          <w:lang w:eastAsia="ar-SA"/>
        </w:rPr>
      </w:pPr>
    </w:p>
    <w:p w:rsidR="00F34E3C" w:rsidRPr="0049135A" w:rsidRDefault="00F34E3C" w:rsidP="000C7D8C">
      <w:pPr>
        <w:pStyle w:val="NoSpacing"/>
        <w:widowControl/>
        <w:numPr>
          <w:ilvl w:val="0"/>
          <w:numId w:val="7"/>
        </w:numPr>
        <w:suppressAutoHyphens/>
        <w:autoSpaceDE/>
        <w:autoSpaceDN/>
        <w:adjustRightInd/>
        <w:jc w:val="both"/>
        <w:rPr>
          <w:b/>
          <w:bCs/>
          <w:sz w:val="20"/>
          <w:lang w:eastAsia="ar-SA"/>
        </w:rPr>
      </w:pPr>
      <w:r w:rsidRPr="0049135A">
        <w:rPr>
          <w:rStyle w:val="FontStyle18"/>
          <w:bCs/>
          <w:sz w:val="24"/>
        </w:rPr>
        <w:t xml:space="preserve">Qu'apporte la méthode du coût </w:t>
      </w:r>
      <w:r>
        <w:rPr>
          <w:rStyle w:val="FontStyle18"/>
          <w:bCs/>
          <w:sz w:val="24"/>
        </w:rPr>
        <w:t>partiel</w:t>
      </w:r>
      <w:r w:rsidRPr="0049135A">
        <w:rPr>
          <w:rStyle w:val="FontStyle18"/>
          <w:bCs/>
          <w:sz w:val="24"/>
        </w:rPr>
        <w:t xml:space="preserve"> à la prise de décision ?</w:t>
      </w:r>
    </w:p>
    <w:p w:rsidR="00F34E3C" w:rsidRPr="002807A1" w:rsidRDefault="00F34E3C" w:rsidP="00FA428E">
      <w:pPr>
        <w:pStyle w:val="NoSpacing"/>
        <w:jc w:val="center"/>
        <w:rPr>
          <w:rStyle w:val="FontStyle18"/>
          <w:bCs/>
          <w:sz w:val="24"/>
        </w:rPr>
      </w:pPr>
      <w:r>
        <w:rPr>
          <w:rStyle w:val="FontStyle18"/>
          <w:bCs/>
          <w:sz w:val="24"/>
        </w:rPr>
        <w:br w:type="page"/>
      </w:r>
      <w:r w:rsidRPr="002807A1">
        <w:rPr>
          <w:rStyle w:val="FontStyle18"/>
          <w:bCs/>
          <w:sz w:val="24"/>
        </w:rPr>
        <w:t>Annexe 1 : Données prévisionnelles 2014 après investissement</w:t>
      </w:r>
    </w:p>
    <w:p w:rsidR="00F34E3C" w:rsidRPr="00C81FEC" w:rsidRDefault="00F34E3C" w:rsidP="00FA428E">
      <w:pPr>
        <w:pStyle w:val="NoSpacing"/>
        <w:rPr>
          <w:rStyle w:val="FontStyle18"/>
          <w:b w:val="0"/>
          <w:bCs/>
          <w:szCs w:val="20"/>
        </w:rPr>
      </w:pPr>
    </w:p>
    <w:p w:rsidR="00F34E3C" w:rsidRDefault="00F34E3C" w:rsidP="00FA428E">
      <w:pPr>
        <w:pStyle w:val="NoSpacing"/>
        <w:rPr>
          <w:rStyle w:val="FontStyle18"/>
          <w:b w:val="0"/>
          <w:bCs/>
          <w:sz w:val="24"/>
        </w:rPr>
      </w:pPr>
      <w:r>
        <w:rPr>
          <w:rStyle w:val="FontStyle18"/>
          <w:b w:val="0"/>
          <w:bCs/>
          <w:sz w:val="24"/>
        </w:rPr>
        <w:t>Ventes : 2 000 vélos à 1 080 € l'unité</w:t>
      </w:r>
    </w:p>
    <w:p w:rsidR="00F34E3C" w:rsidRDefault="00F34E3C" w:rsidP="00FA428E">
      <w:pPr>
        <w:pStyle w:val="NoSpacing"/>
        <w:spacing w:before="80"/>
        <w:rPr>
          <w:rStyle w:val="FontStyle18"/>
          <w:b w:val="0"/>
          <w:bCs/>
          <w:sz w:val="24"/>
        </w:rPr>
      </w:pPr>
      <w:r>
        <w:rPr>
          <w:rStyle w:val="FontStyle18"/>
          <w:b w:val="0"/>
          <w:bCs/>
          <w:sz w:val="24"/>
        </w:rPr>
        <w:t>Charges variables de fabrication : 756 € par vélo</w:t>
      </w:r>
    </w:p>
    <w:p w:rsidR="00F34E3C" w:rsidRDefault="00F34E3C" w:rsidP="00FA428E">
      <w:pPr>
        <w:pStyle w:val="NoSpacing"/>
        <w:spacing w:before="80"/>
        <w:rPr>
          <w:rStyle w:val="FontStyle18"/>
          <w:b w:val="0"/>
          <w:bCs/>
          <w:sz w:val="24"/>
        </w:rPr>
      </w:pPr>
      <w:r>
        <w:rPr>
          <w:rStyle w:val="FontStyle18"/>
          <w:b w:val="0"/>
          <w:bCs/>
          <w:sz w:val="24"/>
        </w:rPr>
        <w:t>Charges fixes décaissables : 471 000 €</w:t>
      </w:r>
    </w:p>
    <w:p w:rsidR="00F34E3C" w:rsidRDefault="00F34E3C" w:rsidP="00FA428E">
      <w:pPr>
        <w:pStyle w:val="NoSpacing"/>
        <w:jc w:val="center"/>
        <w:rPr>
          <w:rStyle w:val="FontStyle18"/>
          <w:bCs/>
          <w:sz w:val="24"/>
        </w:rPr>
      </w:pPr>
    </w:p>
    <w:p w:rsidR="00F34E3C" w:rsidRPr="002807A1" w:rsidRDefault="00F34E3C" w:rsidP="00FA428E">
      <w:pPr>
        <w:pStyle w:val="NoSpacing"/>
        <w:jc w:val="center"/>
        <w:rPr>
          <w:rStyle w:val="FontStyle18"/>
          <w:bCs/>
          <w:sz w:val="24"/>
        </w:rPr>
      </w:pPr>
      <w:r w:rsidRPr="002807A1">
        <w:rPr>
          <w:rStyle w:val="FontStyle18"/>
          <w:bCs/>
          <w:sz w:val="24"/>
        </w:rPr>
        <w:t>Annexe 2 : Taux de profitabilité</w:t>
      </w:r>
    </w:p>
    <w:p w:rsidR="00F34E3C" w:rsidRPr="00C81FEC" w:rsidRDefault="00F34E3C" w:rsidP="00FA428E">
      <w:pPr>
        <w:pStyle w:val="NoSpacing"/>
        <w:rPr>
          <w:rStyle w:val="FontStyle18"/>
          <w:bCs/>
          <w:szCs w:val="20"/>
          <w:u w:val="single"/>
        </w:rPr>
      </w:pPr>
    </w:p>
    <w:p w:rsidR="00F34E3C" w:rsidRPr="00F56DF8" w:rsidRDefault="00F34E3C" w:rsidP="00F56DF8">
      <w:pPr>
        <w:pStyle w:val="NoSpacing"/>
        <w:rPr>
          <w:rStyle w:val="FontStyle18"/>
          <w:b w:val="0"/>
          <w:bCs/>
          <w:sz w:val="24"/>
        </w:rPr>
      </w:pPr>
      <w:r>
        <w:rPr>
          <w:rStyle w:val="FontStyle18"/>
          <w:b w:val="0"/>
          <w:bCs/>
          <w:sz w:val="24"/>
        </w:rPr>
        <w:t>Taux de profitabilité = Résultat de l’exercice / C</w:t>
      </w:r>
      <w:r w:rsidRPr="00F56DF8">
        <w:rPr>
          <w:rStyle w:val="FontStyle18"/>
          <w:b w:val="0"/>
          <w:bCs/>
          <w:sz w:val="24"/>
        </w:rPr>
        <w:t>hiffre d’affaires</w:t>
      </w:r>
    </w:p>
    <w:p w:rsidR="00F34E3C" w:rsidRDefault="00F34E3C" w:rsidP="0012744F">
      <w:pPr>
        <w:pStyle w:val="NoSpacing"/>
        <w:rPr>
          <w:rStyle w:val="FontStyle18"/>
          <w:b w:val="0"/>
          <w:bCs/>
        </w:rPr>
      </w:pPr>
    </w:p>
    <w:p w:rsidR="00F34E3C" w:rsidRPr="00F91EB9" w:rsidRDefault="00F34E3C" w:rsidP="0012744F">
      <w:pPr>
        <w:pStyle w:val="NoSpacing"/>
        <w:rPr>
          <w:rStyle w:val="FontStyle18"/>
          <w:b w:val="0"/>
          <w:bCs/>
        </w:rPr>
      </w:pPr>
    </w:p>
    <w:p w:rsidR="00F34E3C" w:rsidRPr="002807A1" w:rsidRDefault="00F34E3C" w:rsidP="00FA428E">
      <w:pPr>
        <w:pStyle w:val="NoSpacing"/>
        <w:jc w:val="center"/>
        <w:rPr>
          <w:rStyle w:val="FontStyle18"/>
          <w:bCs/>
          <w:sz w:val="24"/>
        </w:rPr>
      </w:pPr>
      <w:r w:rsidRPr="002807A1">
        <w:rPr>
          <w:rStyle w:val="FontStyle18"/>
          <w:bCs/>
          <w:sz w:val="24"/>
        </w:rPr>
        <w:t>Annexe 3 : Facture d’acquisition d’immobilisation</w:t>
      </w:r>
    </w:p>
    <w:p w:rsidR="00F34E3C" w:rsidRPr="00C81FEC" w:rsidRDefault="00F34E3C" w:rsidP="00EC7645">
      <w:pPr>
        <w:pStyle w:val="NoSpacing"/>
        <w:jc w:val="center"/>
        <w:rPr>
          <w:rStyle w:val="FontStyle18"/>
          <w:bCs/>
          <w:szCs w:val="20"/>
        </w:rPr>
      </w:pPr>
    </w:p>
    <w:tbl>
      <w:tblPr>
        <w:tblW w:w="10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850"/>
        <w:gridCol w:w="142"/>
        <w:gridCol w:w="1276"/>
        <w:gridCol w:w="425"/>
        <w:gridCol w:w="1276"/>
        <w:gridCol w:w="142"/>
        <w:gridCol w:w="1134"/>
        <w:gridCol w:w="142"/>
        <w:gridCol w:w="425"/>
        <w:gridCol w:w="425"/>
        <w:gridCol w:w="1276"/>
        <w:gridCol w:w="482"/>
        <w:gridCol w:w="85"/>
        <w:gridCol w:w="999"/>
        <w:gridCol w:w="951"/>
      </w:tblGrid>
      <w:tr w:rsidR="00F34E3C" w:rsidTr="00706D1F">
        <w:tc>
          <w:tcPr>
            <w:tcW w:w="5637" w:type="dxa"/>
            <w:gridSpan w:val="8"/>
            <w:tcBorders>
              <w:top w:val="single" w:sz="4" w:space="0" w:color="auto"/>
              <w:bottom w:val="nil"/>
              <w:right w:val="nil"/>
            </w:tcBorders>
          </w:tcPr>
          <w:p w:rsidR="00F34E3C" w:rsidRPr="00C81FEC" w:rsidRDefault="00F34E3C" w:rsidP="00706D1F">
            <w:pPr>
              <w:spacing w:before="80"/>
              <w:ind w:left="709"/>
            </w:pPr>
            <w:r w:rsidRPr="00C81FEC">
              <w:t>MAC2000</w:t>
            </w:r>
          </w:p>
          <w:p w:rsidR="00F34E3C" w:rsidRDefault="00F34E3C" w:rsidP="00706D1F">
            <w:pPr>
              <w:spacing w:after="60"/>
              <w:ind w:left="709"/>
            </w:pPr>
            <w:r>
              <w:t>1 rue des Lilas</w:t>
            </w:r>
          </w:p>
          <w:p w:rsidR="00F34E3C" w:rsidRDefault="00F34E3C" w:rsidP="00706D1F">
            <w:pPr>
              <w:spacing w:after="60"/>
              <w:ind w:left="709"/>
            </w:pPr>
            <w:r>
              <w:t>34000 MONTPELLIER</w:t>
            </w:r>
          </w:p>
        </w:tc>
        <w:tc>
          <w:tcPr>
            <w:tcW w:w="4785" w:type="dxa"/>
            <w:gridSpan w:val="8"/>
            <w:tcBorders>
              <w:top w:val="single" w:sz="4" w:space="0" w:color="auto"/>
              <w:left w:val="nil"/>
              <w:bottom w:val="single" w:sz="4" w:space="0" w:color="auto"/>
            </w:tcBorders>
          </w:tcPr>
          <w:p w:rsidR="00F34E3C" w:rsidRDefault="00F34E3C" w:rsidP="00706D1F">
            <w:pPr>
              <w:spacing w:after="60"/>
              <w:jc w:val="center"/>
            </w:pPr>
          </w:p>
        </w:tc>
      </w:tr>
      <w:tr w:rsidR="00F34E3C" w:rsidTr="00706D1F">
        <w:tc>
          <w:tcPr>
            <w:tcW w:w="5637" w:type="dxa"/>
            <w:gridSpan w:val="8"/>
            <w:tcBorders>
              <w:top w:val="nil"/>
              <w:bottom w:val="nil"/>
              <w:right w:val="single" w:sz="4" w:space="0" w:color="auto"/>
            </w:tcBorders>
            <w:vAlign w:val="center"/>
          </w:tcPr>
          <w:p w:rsidR="00F34E3C" w:rsidRDefault="00F34E3C" w:rsidP="00542608">
            <w:pPr>
              <w:spacing w:after="60"/>
              <w:jc w:val="right"/>
            </w:pPr>
            <w:r>
              <w:rPr>
                <w:b/>
              </w:rPr>
              <w:t>FACTURE DE</w:t>
            </w:r>
            <w:r w:rsidRPr="00706D1F">
              <w:rPr>
                <w:b/>
              </w:rPr>
              <w:t xml:space="preserve"> DOIT : </w:t>
            </w:r>
          </w:p>
        </w:tc>
        <w:tc>
          <w:tcPr>
            <w:tcW w:w="4785" w:type="dxa"/>
            <w:gridSpan w:val="8"/>
            <w:tcBorders>
              <w:top w:val="single" w:sz="4" w:space="0" w:color="auto"/>
              <w:left w:val="single" w:sz="4" w:space="0" w:color="auto"/>
              <w:bottom w:val="single" w:sz="4" w:space="0" w:color="auto"/>
              <w:right w:val="single" w:sz="4" w:space="0" w:color="auto"/>
            </w:tcBorders>
          </w:tcPr>
          <w:p w:rsidR="00F34E3C" w:rsidRDefault="00F34E3C" w:rsidP="00706D1F">
            <w:pPr>
              <w:spacing w:after="60"/>
            </w:pPr>
            <w:r>
              <w:t>Entreprise VELIMAX</w:t>
            </w:r>
          </w:p>
          <w:p w:rsidR="00F34E3C" w:rsidRDefault="00F34E3C" w:rsidP="00706D1F">
            <w:pPr>
              <w:spacing w:after="60"/>
            </w:pPr>
            <w:r>
              <w:t>125 avenue de Belfort</w:t>
            </w:r>
          </w:p>
          <w:p w:rsidR="00F34E3C" w:rsidRDefault="00F34E3C" w:rsidP="00706D1F">
            <w:pPr>
              <w:spacing w:after="60"/>
            </w:pPr>
            <w:r>
              <w:t>66140 CANET EN ROUSSILLON</w:t>
            </w:r>
          </w:p>
        </w:tc>
      </w:tr>
      <w:tr w:rsidR="00F34E3C" w:rsidTr="00706D1F">
        <w:tc>
          <w:tcPr>
            <w:tcW w:w="10422" w:type="dxa"/>
            <w:gridSpan w:val="16"/>
            <w:tcBorders>
              <w:top w:val="nil"/>
              <w:left w:val="single" w:sz="4" w:space="0" w:color="auto"/>
              <w:bottom w:val="nil"/>
              <w:right w:val="single" w:sz="4" w:space="0" w:color="auto"/>
            </w:tcBorders>
            <w:shd w:val="clear" w:color="auto" w:fill="FFFFFF"/>
            <w:vAlign w:val="center"/>
          </w:tcPr>
          <w:p w:rsidR="00F34E3C" w:rsidRPr="001A0148" w:rsidRDefault="00F34E3C" w:rsidP="00706D1F">
            <w:pPr>
              <w:spacing w:after="60"/>
              <w:jc w:val="center"/>
            </w:pPr>
          </w:p>
        </w:tc>
      </w:tr>
      <w:tr w:rsidR="00F34E3C" w:rsidTr="00706D1F">
        <w:tc>
          <w:tcPr>
            <w:tcW w:w="138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1A0148" w:rsidRDefault="00F34E3C" w:rsidP="00706D1F">
            <w:pPr>
              <w:spacing w:after="60"/>
              <w:jc w:val="center"/>
            </w:pPr>
            <w:r w:rsidRPr="001A0148">
              <w:t>Numéro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1A0148" w:rsidRDefault="00F34E3C" w:rsidP="00706D1F">
            <w:pPr>
              <w:spacing w:after="60"/>
              <w:jc w:val="center"/>
            </w:pPr>
            <w:r w:rsidRPr="001A0148">
              <w:t>Date</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1A0148" w:rsidRDefault="00F34E3C" w:rsidP="00706D1F">
            <w:pPr>
              <w:spacing w:after="60"/>
              <w:jc w:val="center"/>
            </w:pPr>
            <w:r w:rsidRPr="001A0148">
              <w:t>Code client</w:t>
            </w:r>
          </w:p>
        </w:tc>
        <w:tc>
          <w:tcPr>
            <w:tcW w:w="226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1A0148" w:rsidRDefault="00F34E3C" w:rsidP="00706D1F">
            <w:pPr>
              <w:spacing w:after="60"/>
              <w:jc w:val="center"/>
            </w:pPr>
            <w:r>
              <w:t xml:space="preserve">N° de TVA </w:t>
            </w:r>
            <w:r w:rsidRPr="001A0148">
              <w:t>intracom</w:t>
            </w:r>
            <w:r>
              <w:t>.</w:t>
            </w:r>
          </w:p>
        </w:tc>
        <w:tc>
          <w:tcPr>
            <w:tcW w:w="1758" w:type="dxa"/>
            <w:gridSpan w:val="2"/>
            <w:tcBorders>
              <w:top w:val="nil"/>
              <w:left w:val="single" w:sz="4" w:space="0" w:color="auto"/>
              <w:bottom w:val="nil"/>
              <w:right w:val="nil"/>
            </w:tcBorders>
            <w:shd w:val="clear" w:color="auto" w:fill="FFFFFF"/>
            <w:vAlign w:val="center"/>
          </w:tcPr>
          <w:p w:rsidR="00F34E3C" w:rsidRPr="001A0148" w:rsidRDefault="00F34E3C" w:rsidP="00706D1F">
            <w:pPr>
              <w:spacing w:after="60"/>
              <w:jc w:val="center"/>
            </w:pPr>
          </w:p>
        </w:tc>
        <w:tc>
          <w:tcPr>
            <w:tcW w:w="2035" w:type="dxa"/>
            <w:gridSpan w:val="3"/>
            <w:tcBorders>
              <w:top w:val="nil"/>
              <w:left w:val="nil"/>
              <w:bottom w:val="nil"/>
              <w:right w:val="single" w:sz="4" w:space="0" w:color="auto"/>
            </w:tcBorders>
            <w:shd w:val="clear" w:color="auto" w:fill="FFFFFF"/>
            <w:vAlign w:val="center"/>
          </w:tcPr>
          <w:p w:rsidR="00F34E3C" w:rsidRPr="001A0148" w:rsidRDefault="00F34E3C" w:rsidP="00706D1F">
            <w:pPr>
              <w:spacing w:after="60"/>
              <w:jc w:val="center"/>
            </w:pPr>
          </w:p>
        </w:tc>
      </w:tr>
      <w:tr w:rsidR="00F34E3C" w:rsidTr="00706D1F">
        <w:tc>
          <w:tcPr>
            <w:tcW w:w="1384" w:type="dxa"/>
            <w:gridSpan w:val="3"/>
            <w:tcBorders>
              <w:top w:val="single" w:sz="4" w:space="0" w:color="auto"/>
              <w:left w:val="single" w:sz="4" w:space="0" w:color="auto"/>
              <w:bottom w:val="single" w:sz="4" w:space="0" w:color="auto"/>
              <w:right w:val="single" w:sz="4" w:space="0" w:color="auto"/>
            </w:tcBorders>
            <w:vAlign w:val="center"/>
          </w:tcPr>
          <w:p w:rsidR="00F34E3C" w:rsidRPr="00706D1F" w:rsidRDefault="00F34E3C" w:rsidP="00706D1F">
            <w:pPr>
              <w:spacing w:before="40" w:after="40"/>
              <w:jc w:val="center"/>
            </w:pPr>
            <w:r w:rsidRPr="00706D1F">
              <w:rPr>
                <w:sz w:val="22"/>
              </w:rPr>
              <w:t>5418</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34E3C" w:rsidRPr="00706D1F" w:rsidRDefault="00F34E3C" w:rsidP="00706D1F">
            <w:pPr>
              <w:spacing w:before="40" w:after="40"/>
              <w:jc w:val="center"/>
            </w:pPr>
            <w:r>
              <w:rPr>
                <w:sz w:val="22"/>
              </w:rPr>
              <w:t>02</w:t>
            </w:r>
            <w:bookmarkStart w:id="0" w:name="_GoBack"/>
            <w:bookmarkEnd w:id="0"/>
            <w:r w:rsidRPr="00706D1F">
              <w:rPr>
                <w:sz w:val="22"/>
              </w:rPr>
              <w:t>/01/2014</w:t>
            </w:r>
          </w:p>
        </w:tc>
        <w:tc>
          <w:tcPr>
            <w:tcW w:w="1276" w:type="dxa"/>
            <w:tcBorders>
              <w:top w:val="single" w:sz="4" w:space="0" w:color="auto"/>
              <w:left w:val="single" w:sz="4" w:space="0" w:color="auto"/>
              <w:bottom w:val="single" w:sz="4" w:space="0" w:color="auto"/>
              <w:right w:val="single" w:sz="4" w:space="0" w:color="auto"/>
            </w:tcBorders>
            <w:vAlign w:val="center"/>
          </w:tcPr>
          <w:p w:rsidR="00F34E3C" w:rsidRPr="00706D1F" w:rsidRDefault="00F34E3C" w:rsidP="00706D1F">
            <w:pPr>
              <w:spacing w:before="40" w:after="40"/>
              <w:jc w:val="center"/>
            </w:pPr>
            <w:r w:rsidRPr="00706D1F">
              <w:rPr>
                <w:sz w:val="22"/>
              </w:rPr>
              <w:t>CL00015</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F34E3C" w:rsidRPr="00706D1F" w:rsidRDefault="00F34E3C" w:rsidP="00706D1F">
            <w:pPr>
              <w:spacing w:before="40" w:after="40"/>
              <w:jc w:val="center"/>
            </w:pPr>
            <w:r w:rsidRPr="00D7201A">
              <w:t>FR93751135047</w:t>
            </w:r>
          </w:p>
        </w:tc>
        <w:tc>
          <w:tcPr>
            <w:tcW w:w="1758" w:type="dxa"/>
            <w:gridSpan w:val="2"/>
            <w:tcBorders>
              <w:top w:val="nil"/>
              <w:left w:val="single" w:sz="4" w:space="0" w:color="auto"/>
              <w:bottom w:val="single" w:sz="4" w:space="0" w:color="auto"/>
              <w:right w:val="nil"/>
            </w:tcBorders>
          </w:tcPr>
          <w:p w:rsidR="00F34E3C" w:rsidRPr="00706D1F" w:rsidRDefault="00F34E3C" w:rsidP="00706D1F">
            <w:pPr>
              <w:spacing w:after="60"/>
              <w:jc w:val="center"/>
            </w:pPr>
          </w:p>
        </w:tc>
        <w:tc>
          <w:tcPr>
            <w:tcW w:w="2035" w:type="dxa"/>
            <w:gridSpan w:val="3"/>
            <w:tcBorders>
              <w:top w:val="nil"/>
              <w:left w:val="nil"/>
              <w:bottom w:val="single" w:sz="4" w:space="0" w:color="auto"/>
              <w:right w:val="single" w:sz="4" w:space="0" w:color="auto"/>
            </w:tcBorders>
          </w:tcPr>
          <w:p w:rsidR="00F34E3C" w:rsidRPr="00706D1F" w:rsidRDefault="00F34E3C" w:rsidP="00706D1F">
            <w:pPr>
              <w:spacing w:after="60"/>
              <w:jc w:val="center"/>
            </w:pPr>
          </w:p>
        </w:tc>
      </w:tr>
      <w:tr w:rsidR="00F34E3C" w:rsidTr="0003596A">
        <w:tc>
          <w:tcPr>
            <w:tcW w:w="138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1A0148" w:rsidRDefault="00F34E3C" w:rsidP="00706D1F">
            <w:pPr>
              <w:spacing w:after="60"/>
              <w:jc w:val="center"/>
            </w:pPr>
            <w:r w:rsidRPr="001A0148">
              <w:t>Code</w:t>
            </w:r>
          </w:p>
        </w:tc>
        <w:tc>
          <w:tcPr>
            <w:tcW w:w="439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1A0148" w:rsidRDefault="00F34E3C" w:rsidP="00706D1F">
            <w:pPr>
              <w:spacing w:after="60"/>
              <w:jc w:val="center"/>
            </w:pPr>
            <w:r w:rsidRPr="001A0148">
              <w:t>Description</w:t>
            </w:r>
          </w:p>
        </w:tc>
        <w:tc>
          <w:tcPr>
            <w:tcW w:w="850" w:type="dxa"/>
            <w:gridSpan w:val="2"/>
            <w:tcBorders>
              <w:top w:val="nil"/>
              <w:left w:val="single" w:sz="4" w:space="0" w:color="auto"/>
              <w:bottom w:val="single" w:sz="4" w:space="0" w:color="auto"/>
              <w:right w:val="single" w:sz="4" w:space="0" w:color="auto"/>
            </w:tcBorders>
            <w:shd w:val="clear" w:color="auto" w:fill="F2F2F2"/>
            <w:vAlign w:val="center"/>
          </w:tcPr>
          <w:p w:rsidR="00F34E3C" w:rsidRPr="001A0148" w:rsidRDefault="00F34E3C" w:rsidP="00706D1F">
            <w:pPr>
              <w:spacing w:after="60"/>
              <w:jc w:val="center"/>
            </w:pPr>
            <w:r w:rsidRPr="001A0148">
              <w:t>Qté</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1A0148" w:rsidRDefault="00F34E3C" w:rsidP="00706D1F">
            <w:pPr>
              <w:spacing w:after="60"/>
              <w:jc w:val="center"/>
            </w:pPr>
            <w:r w:rsidRPr="001A0148">
              <w:t>P.U. HT</w:t>
            </w:r>
          </w:p>
        </w:tc>
        <w:tc>
          <w:tcPr>
            <w:tcW w:w="156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1A0148" w:rsidRDefault="00F34E3C" w:rsidP="00706D1F">
            <w:pPr>
              <w:spacing w:after="60"/>
              <w:jc w:val="center"/>
            </w:pPr>
            <w:r w:rsidRPr="001A0148">
              <w:t>Montant HT</w:t>
            </w:r>
          </w:p>
        </w:tc>
        <w:tc>
          <w:tcPr>
            <w:tcW w:w="951" w:type="dxa"/>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1A0148" w:rsidRDefault="00F34E3C" w:rsidP="00706D1F">
            <w:pPr>
              <w:spacing w:after="60"/>
              <w:jc w:val="center"/>
            </w:pPr>
            <w:r w:rsidRPr="001A0148">
              <w:t>TVA</w:t>
            </w:r>
          </w:p>
        </w:tc>
      </w:tr>
      <w:tr w:rsidR="00F34E3C" w:rsidTr="00706D1F">
        <w:trPr>
          <w:trHeight w:val="256"/>
        </w:trPr>
        <w:tc>
          <w:tcPr>
            <w:tcW w:w="1384" w:type="dxa"/>
            <w:gridSpan w:val="3"/>
            <w:tcBorders>
              <w:top w:val="single" w:sz="4" w:space="0" w:color="auto"/>
              <w:left w:val="single" w:sz="4" w:space="0" w:color="auto"/>
              <w:bottom w:val="nil"/>
              <w:right w:val="single" w:sz="4" w:space="0" w:color="auto"/>
            </w:tcBorders>
            <w:vAlign w:val="center"/>
          </w:tcPr>
          <w:p w:rsidR="00F34E3C" w:rsidRPr="00706D1F" w:rsidRDefault="00F34E3C" w:rsidP="00706D1F">
            <w:pPr>
              <w:spacing w:before="40" w:after="40"/>
              <w:jc w:val="center"/>
            </w:pPr>
            <w:r w:rsidRPr="00706D1F">
              <w:rPr>
                <w:sz w:val="22"/>
                <w:szCs w:val="22"/>
              </w:rPr>
              <w:t>FARB0005</w:t>
            </w:r>
          </w:p>
        </w:tc>
        <w:tc>
          <w:tcPr>
            <w:tcW w:w="4395" w:type="dxa"/>
            <w:gridSpan w:val="6"/>
            <w:tcBorders>
              <w:top w:val="single" w:sz="4" w:space="0" w:color="auto"/>
              <w:left w:val="single" w:sz="4" w:space="0" w:color="auto"/>
              <w:bottom w:val="nil"/>
              <w:right w:val="single" w:sz="4" w:space="0" w:color="auto"/>
            </w:tcBorders>
            <w:vAlign w:val="center"/>
          </w:tcPr>
          <w:p w:rsidR="00F34E3C" w:rsidRPr="00706D1F" w:rsidRDefault="00F34E3C" w:rsidP="00706D1F">
            <w:pPr>
              <w:spacing w:before="40" w:after="40"/>
              <w:jc w:val="center"/>
            </w:pPr>
            <w:r w:rsidRPr="00706D1F">
              <w:rPr>
                <w:sz w:val="22"/>
                <w:szCs w:val="22"/>
              </w:rPr>
              <w:t>Presse pour cadres en carbone</w:t>
            </w:r>
          </w:p>
        </w:tc>
        <w:tc>
          <w:tcPr>
            <w:tcW w:w="850" w:type="dxa"/>
            <w:gridSpan w:val="2"/>
            <w:tcBorders>
              <w:top w:val="single" w:sz="4" w:space="0" w:color="auto"/>
              <w:left w:val="single" w:sz="4" w:space="0" w:color="auto"/>
              <w:bottom w:val="nil"/>
              <w:right w:val="single" w:sz="4" w:space="0" w:color="auto"/>
            </w:tcBorders>
            <w:vAlign w:val="center"/>
          </w:tcPr>
          <w:p w:rsidR="00F34E3C" w:rsidRPr="00706D1F" w:rsidRDefault="00F34E3C" w:rsidP="00706D1F">
            <w:pPr>
              <w:tabs>
                <w:tab w:val="decimal" w:pos="593"/>
              </w:tabs>
              <w:spacing w:before="40" w:after="40"/>
              <w:jc w:val="center"/>
            </w:pPr>
            <w:r w:rsidRPr="00706D1F">
              <w:rPr>
                <w:sz w:val="22"/>
                <w:szCs w:val="22"/>
              </w:rPr>
              <w:t>1,00</w:t>
            </w:r>
          </w:p>
        </w:tc>
        <w:tc>
          <w:tcPr>
            <w:tcW w:w="1276" w:type="dxa"/>
            <w:tcBorders>
              <w:top w:val="single" w:sz="4" w:space="0" w:color="auto"/>
              <w:left w:val="single" w:sz="4" w:space="0" w:color="auto"/>
              <w:bottom w:val="nil"/>
              <w:right w:val="single" w:sz="4" w:space="0" w:color="auto"/>
            </w:tcBorders>
            <w:vAlign w:val="center"/>
          </w:tcPr>
          <w:p w:rsidR="00F34E3C" w:rsidRPr="00706D1F" w:rsidRDefault="00F34E3C" w:rsidP="00706D1F">
            <w:pPr>
              <w:tabs>
                <w:tab w:val="decimal" w:pos="499"/>
              </w:tabs>
              <w:spacing w:before="40" w:after="40"/>
              <w:jc w:val="center"/>
            </w:pPr>
            <w:r w:rsidRPr="00706D1F">
              <w:rPr>
                <w:sz w:val="22"/>
                <w:szCs w:val="22"/>
              </w:rPr>
              <w:t>75 000,00</w:t>
            </w:r>
          </w:p>
        </w:tc>
        <w:tc>
          <w:tcPr>
            <w:tcW w:w="1566" w:type="dxa"/>
            <w:gridSpan w:val="3"/>
            <w:tcBorders>
              <w:top w:val="nil"/>
              <w:left w:val="single" w:sz="4" w:space="0" w:color="auto"/>
              <w:bottom w:val="nil"/>
              <w:right w:val="single" w:sz="4" w:space="0" w:color="auto"/>
            </w:tcBorders>
            <w:vAlign w:val="center"/>
          </w:tcPr>
          <w:p w:rsidR="00F34E3C" w:rsidRPr="00706D1F" w:rsidRDefault="00F34E3C" w:rsidP="00706D1F">
            <w:pPr>
              <w:tabs>
                <w:tab w:val="decimal" w:pos="877"/>
              </w:tabs>
              <w:spacing w:before="40" w:after="40"/>
              <w:jc w:val="center"/>
            </w:pPr>
            <w:r w:rsidRPr="00706D1F">
              <w:rPr>
                <w:sz w:val="22"/>
                <w:szCs w:val="22"/>
              </w:rPr>
              <w:t>75 000,00</w:t>
            </w:r>
          </w:p>
        </w:tc>
        <w:tc>
          <w:tcPr>
            <w:tcW w:w="951" w:type="dxa"/>
            <w:tcBorders>
              <w:top w:val="single" w:sz="4" w:space="0" w:color="auto"/>
              <w:left w:val="single" w:sz="4" w:space="0" w:color="auto"/>
              <w:bottom w:val="nil"/>
              <w:right w:val="single" w:sz="4" w:space="0" w:color="auto"/>
            </w:tcBorders>
            <w:vAlign w:val="center"/>
          </w:tcPr>
          <w:p w:rsidR="00F34E3C" w:rsidRPr="00706D1F" w:rsidRDefault="00F34E3C" w:rsidP="00706D1F">
            <w:pPr>
              <w:tabs>
                <w:tab w:val="decimal" w:pos="441"/>
              </w:tabs>
              <w:spacing w:before="40" w:after="40"/>
              <w:jc w:val="center"/>
            </w:pPr>
            <w:r w:rsidRPr="00706D1F">
              <w:rPr>
                <w:sz w:val="22"/>
                <w:szCs w:val="22"/>
              </w:rPr>
              <w:t>20,00</w:t>
            </w:r>
          </w:p>
        </w:tc>
      </w:tr>
      <w:tr w:rsidR="00F34E3C" w:rsidTr="00706D1F">
        <w:tc>
          <w:tcPr>
            <w:tcW w:w="1384" w:type="dxa"/>
            <w:gridSpan w:val="3"/>
            <w:tcBorders>
              <w:top w:val="nil"/>
              <w:left w:val="single" w:sz="4" w:space="0" w:color="auto"/>
              <w:bottom w:val="single" w:sz="4" w:space="0" w:color="auto"/>
              <w:right w:val="single" w:sz="4" w:space="0" w:color="auto"/>
            </w:tcBorders>
          </w:tcPr>
          <w:p w:rsidR="00F34E3C" w:rsidRPr="00706D1F" w:rsidRDefault="00F34E3C" w:rsidP="00706D1F">
            <w:pPr>
              <w:spacing w:after="60"/>
            </w:pPr>
          </w:p>
        </w:tc>
        <w:tc>
          <w:tcPr>
            <w:tcW w:w="4395" w:type="dxa"/>
            <w:gridSpan w:val="6"/>
            <w:tcBorders>
              <w:top w:val="nil"/>
              <w:left w:val="single" w:sz="4" w:space="0" w:color="auto"/>
              <w:bottom w:val="single" w:sz="4" w:space="0" w:color="auto"/>
              <w:right w:val="single" w:sz="4" w:space="0" w:color="auto"/>
            </w:tcBorders>
          </w:tcPr>
          <w:p w:rsidR="00F34E3C" w:rsidRPr="00706D1F" w:rsidRDefault="00F34E3C" w:rsidP="00706D1F">
            <w:pPr>
              <w:spacing w:after="60"/>
            </w:pPr>
          </w:p>
        </w:tc>
        <w:tc>
          <w:tcPr>
            <w:tcW w:w="850" w:type="dxa"/>
            <w:gridSpan w:val="2"/>
            <w:tcBorders>
              <w:top w:val="nil"/>
              <w:left w:val="single" w:sz="4" w:space="0" w:color="auto"/>
              <w:bottom w:val="single" w:sz="4" w:space="0" w:color="auto"/>
              <w:right w:val="single" w:sz="4" w:space="0" w:color="auto"/>
            </w:tcBorders>
          </w:tcPr>
          <w:p w:rsidR="00F34E3C" w:rsidRPr="00706D1F" w:rsidRDefault="00F34E3C" w:rsidP="00706D1F">
            <w:pPr>
              <w:tabs>
                <w:tab w:val="decimal" w:pos="593"/>
              </w:tabs>
              <w:spacing w:after="60"/>
              <w:jc w:val="center"/>
            </w:pPr>
          </w:p>
        </w:tc>
        <w:tc>
          <w:tcPr>
            <w:tcW w:w="1276" w:type="dxa"/>
            <w:tcBorders>
              <w:top w:val="nil"/>
              <w:left w:val="single" w:sz="4" w:space="0" w:color="auto"/>
              <w:bottom w:val="single" w:sz="4" w:space="0" w:color="auto"/>
              <w:right w:val="single" w:sz="4" w:space="0" w:color="auto"/>
            </w:tcBorders>
          </w:tcPr>
          <w:p w:rsidR="00F34E3C" w:rsidRPr="00706D1F" w:rsidRDefault="00F34E3C" w:rsidP="00706D1F">
            <w:pPr>
              <w:tabs>
                <w:tab w:val="decimal" w:pos="499"/>
              </w:tabs>
              <w:spacing w:after="60"/>
              <w:jc w:val="center"/>
            </w:pPr>
          </w:p>
        </w:tc>
        <w:tc>
          <w:tcPr>
            <w:tcW w:w="1566" w:type="dxa"/>
            <w:gridSpan w:val="3"/>
            <w:tcBorders>
              <w:top w:val="nil"/>
              <w:left w:val="single" w:sz="4" w:space="0" w:color="auto"/>
              <w:bottom w:val="nil"/>
              <w:right w:val="single" w:sz="4" w:space="0" w:color="auto"/>
            </w:tcBorders>
          </w:tcPr>
          <w:p w:rsidR="00F34E3C" w:rsidRPr="00706D1F" w:rsidRDefault="00F34E3C" w:rsidP="00706D1F">
            <w:pPr>
              <w:tabs>
                <w:tab w:val="decimal" w:pos="877"/>
              </w:tabs>
              <w:spacing w:after="60"/>
              <w:jc w:val="center"/>
            </w:pPr>
          </w:p>
        </w:tc>
        <w:tc>
          <w:tcPr>
            <w:tcW w:w="951" w:type="dxa"/>
            <w:tcBorders>
              <w:top w:val="nil"/>
              <w:left w:val="single" w:sz="4" w:space="0" w:color="auto"/>
              <w:bottom w:val="single" w:sz="4" w:space="0" w:color="auto"/>
              <w:right w:val="single" w:sz="4" w:space="0" w:color="auto"/>
            </w:tcBorders>
          </w:tcPr>
          <w:p w:rsidR="00F34E3C" w:rsidRPr="00706D1F" w:rsidRDefault="00F34E3C" w:rsidP="00706D1F">
            <w:pPr>
              <w:tabs>
                <w:tab w:val="decimal" w:pos="441"/>
              </w:tabs>
              <w:spacing w:after="60"/>
            </w:pPr>
          </w:p>
        </w:tc>
      </w:tr>
      <w:tr w:rsidR="00F34E3C" w:rsidTr="00706D1F">
        <w:tc>
          <w:tcPr>
            <w:tcW w:w="10422" w:type="dxa"/>
            <w:gridSpan w:val="16"/>
            <w:tcBorders>
              <w:top w:val="single" w:sz="4" w:space="0" w:color="auto"/>
              <w:bottom w:val="nil"/>
            </w:tcBorders>
          </w:tcPr>
          <w:p w:rsidR="00F34E3C" w:rsidRPr="00706D1F" w:rsidRDefault="00F34E3C" w:rsidP="00706D1F">
            <w:pPr>
              <w:tabs>
                <w:tab w:val="decimal" w:pos="441"/>
              </w:tabs>
              <w:spacing w:before="40" w:after="40"/>
              <w:rPr>
                <w:sz w:val="14"/>
              </w:rPr>
            </w:pPr>
            <w:r w:rsidRPr="00706D1F">
              <w:rPr>
                <w:sz w:val="14"/>
                <w:szCs w:val="22"/>
              </w:rPr>
              <w:t>En cas de retard de paiement, une pénalité égale à 3 fois le taux d’intérêt légal sera exigible (Décret 2009-138 du 9 février 2009).</w:t>
            </w:r>
          </w:p>
          <w:p w:rsidR="00F34E3C" w:rsidRPr="00706D1F" w:rsidRDefault="00F34E3C" w:rsidP="00706D1F">
            <w:pPr>
              <w:tabs>
                <w:tab w:val="decimal" w:pos="441"/>
              </w:tabs>
              <w:spacing w:before="40" w:after="40"/>
            </w:pPr>
            <w:r w:rsidRPr="00706D1F">
              <w:rPr>
                <w:sz w:val="14"/>
                <w:szCs w:val="22"/>
              </w:rPr>
              <w:t>Pour les professionnels, une indemnité minimum forfaitaire de 40 euros pour frais de recouvrement sera exigible (Décret 2012-1115 du 9 octobre 2012).</w:t>
            </w:r>
          </w:p>
        </w:tc>
      </w:tr>
      <w:tr w:rsidR="00F34E3C" w:rsidTr="00706D1F">
        <w:tc>
          <w:tcPr>
            <w:tcW w:w="10422" w:type="dxa"/>
            <w:gridSpan w:val="16"/>
            <w:tcBorders>
              <w:top w:val="nil"/>
              <w:bottom w:val="nil"/>
            </w:tcBorders>
          </w:tcPr>
          <w:p w:rsidR="00F34E3C" w:rsidRPr="00706D1F" w:rsidRDefault="00F34E3C" w:rsidP="00706D1F">
            <w:pPr>
              <w:tabs>
                <w:tab w:val="decimal" w:pos="441"/>
              </w:tabs>
              <w:spacing w:after="60"/>
              <w:rPr>
                <w:sz w:val="14"/>
              </w:rPr>
            </w:pPr>
          </w:p>
        </w:tc>
      </w:tr>
      <w:tr w:rsidR="00F34E3C" w:rsidTr="0003596A">
        <w:trPr>
          <w:trHeight w:val="282"/>
        </w:trPr>
        <w:tc>
          <w:tcPr>
            <w:tcW w:w="392" w:type="dxa"/>
            <w:tcBorders>
              <w:top w:val="nil"/>
              <w:left w:val="single" w:sz="4" w:space="0" w:color="auto"/>
              <w:bottom w:val="nil"/>
              <w:right w:val="single" w:sz="4" w:space="0" w:color="auto"/>
            </w:tcBorders>
            <w:vAlign w:val="center"/>
          </w:tcPr>
          <w:p w:rsidR="00F34E3C" w:rsidRPr="00706D1F" w:rsidRDefault="00F34E3C" w:rsidP="00706D1F">
            <w:pPr>
              <w:tabs>
                <w:tab w:val="decimal" w:pos="441"/>
              </w:tabs>
              <w:spacing w:before="40" w:after="40"/>
              <w:rPr>
                <w:sz w:val="14"/>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D7201A" w:rsidRDefault="00F34E3C" w:rsidP="00706D1F">
            <w:pPr>
              <w:spacing w:before="40" w:after="40"/>
              <w:jc w:val="center"/>
            </w:pPr>
            <w:r w:rsidRPr="00D7201A">
              <w:t>Taux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D7201A" w:rsidRDefault="00F34E3C" w:rsidP="00706D1F">
            <w:pPr>
              <w:spacing w:before="40" w:after="40"/>
              <w:jc w:val="center"/>
            </w:pPr>
            <w:r w:rsidRPr="00D7201A">
              <w:t>Base HT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D7201A" w:rsidRDefault="00F34E3C" w:rsidP="00706D1F">
            <w:pPr>
              <w:spacing w:before="40" w:after="40"/>
              <w:jc w:val="center"/>
            </w:pPr>
            <w:r w:rsidRPr="00D7201A">
              <w:t>Montant TVA</w:t>
            </w:r>
          </w:p>
        </w:tc>
        <w:tc>
          <w:tcPr>
            <w:tcW w:w="1701" w:type="dxa"/>
            <w:gridSpan w:val="3"/>
            <w:tcBorders>
              <w:top w:val="nil"/>
              <w:left w:val="single" w:sz="4" w:space="0" w:color="auto"/>
              <w:bottom w:val="nil"/>
              <w:right w:val="single" w:sz="4" w:space="0" w:color="auto"/>
            </w:tcBorders>
            <w:vAlign w:val="center"/>
          </w:tcPr>
          <w:p w:rsidR="00F34E3C" w:rsidRPr="00706D1F" w:rsidRDefault="00F34E3C" w:rsidP="00706D1F">
            <w:pPr>
              <w:spacing w:before="40" w:after="40"/>
              <w:jc w:val="center"/>
              <w:rPr>
                <w:sz w:val="14"/>
              </w:rPr>
            </w:pPr>
          </w:p>
        </w:tc>
        <w:tc>
          <w:tcPr>
            <w:tcW w:w="2268" w:type="dxa"/>
            <w:gridSpan w:val="4"/>
            <w:tcBorders>
              <w:top w:val="single" w:sz="4" w:space="0" w:color="auto"/>
              <w:left w:val="single" w:sz="4" w:space="0" w:color="auto"/>
              <w:bottom w:val="nil"/>
              <w:right w:val="single" w:sz="4" w:space="0" w:color="auto"/>
            </w:tcBorders>
            <w:shd w:val="clear" w:color="auto" w:fill="F2F2F2"/>
            <w:vAlign w:val="center"/>
          </w:tcPr>
          <w:p w:rsidR="00F34E3C" w:rsidRPr="00D7201A" w:rsidRDefault="00F34E3C" w:rsidP="00706D1F">
            <w:pPr>
              <w:spacing w:before="40" w:after="40"/>
            </w:pPr>
            <w:r w:rsidRPr="00D7201A">
              <w:t>Total HT</w:t>
            </w:r>
          </w:p>
        </w:tc>
        <w:tc>
          <w:tcPr>
            <w:tcW w:w="1950" w:type="dxa"/>
            <w:gridSpan w:val="2"/>
            <w:tcBorders>
              <w:top w:val="single" w:sz="4" w:space="0" w:color="auto"/>
              <w:left w:val="single" w:sz="4" w:space="0" w:color="auto"/>
              <w:bottom w:val="nil"/>
              <w:right w:val="single" w:sz="4" w:space="0" w:color="auto"/>
            </w:tcBorders>
            <w:vAlign w:val="center"/>
          </w:tcPr>
          <w:p w:rsidR="00F34E3C" w:rsidRPr="00D7201A" w:rsidRDefault="00F34E3C" w:rsidP="00706D1F">
            <w:pPr>
              <w:tabs>
                <w:tab w:val="decimal" w:pos="1444"/>
              </w:tabs>
              <w:spacing w:before="40" w:after="40"/>
            </w:pPr>
            <w:r>
              <w:t>75 000,00</w:t>
            </w:r>
          </w:p>
        </w:tc>
      </w:tr>
      <w:tr w:rsidR="00F34E3C" w:rsidTr="0003596A">
        <w:tc>
          <w:tcPr>
            <w:tcW w:w="392" w:type="dxa"/>
            <w:tcBorders>
              <w:top w:val="nil"/>
              <w:left w:val="single" w:sz="4" w:space="0" w:color="auto"/>
              <w:bottom w:val="nil"/>
              <w:right w:val="single" w:sz="4" w:space="0" w:color="auto"/>
            </w:tcBorders>
            <w:vAlign w:val="center"/>
          </w:tcPr>
          <w:p w:rsidR="00F34E3C" w:rsidRPr="00706D1F" w:rsidRDefault="00F34E3C" w:rsidP="00706D1F">
            <w:pPr>
              <w:tabs>
                <w:tab w:val="decimal" w:pos="441"/>
              </w:tabs>
              <w:spacing w:after="60"/>
              <w:rPr>
                <w:sz w:val="14"/>
              </w:rPr>
            </w:pPr>
          </w:p>
        </w:tc>
        <w:tc>
          <w:tcPr>
            <w:tcW w:w="850" w:type="dxa"/>
            <w:tcBorders>
              <w:top w:val="single" w:sz="4" w:space="0" w:color="auto"/>
              <w:left w:val="single" w:sz="4" w:space="0" w:color="auto"/>
              <w:bottom w:val="nil"/>
              <w:right w:val="single" w:sz="4" w:space="0" w:color="auto"/>
            </w:tcBorders>
            <w:vAlign w:val="center"/>
          </w:tcPr>
          <w:p w:rsidR="00F34E3C" w:rsidRPr="00D7201A" w:rsidRDefault="00F34E3C" w:rsidP="00706D1F">
            <w:pPr>
              <w:tabs>
                <w:tab w:val="decimal" w:pos="1444"/>
              </w:tabs>
              <w:spacing w:after="60"/>
            </w:pPr>
            <w:r>
              <w:t>20,0</w:t>
            </w:r>
            <w:r w:rsidRPr="00D7201A">
              <w:t>0</w:t>
            </w:r>
          </w:p>
        </w:tc>
        <w:tc>
          <w:tcPr>
            <w:tcW w:w="1418" w:type="dxa"/>
            <w:gridSpan w:val="2"/>
            <w:tcBorders>
              <w:top w:val="single" w:sz="4" w:space="0" w:color="auto"/>
              <w:left w:val="single" w:sz="4" w:space="0" w:color="auto"/>
              <w:bottom w:val="nil"/>
              <w:right w:val="single" w:sz="4" w:space="0" w:color="auto"/>
            </w:tcBorders>
            <w:vAlign w:val="center"/>
          </w:tcPr>
          <w:p w:rsidR="00F34E3C" w:rsidRPr="00D7201A" w:rsidRDefault="00F34E3C" w:rsidP="00706D1F">
            <w:pPr>
              <w:tabs>
                <w:tab w:val="decimal" w:pos="1444"/>
              </w:tabs>
              <w:spacing w:after="60"/>
              <w:jc w:val="center"/>
            </w:pPr>
            <w:r>
              <w:t>75 000,00</w:t>
            </w:r>
          </w:p>
        </w:tc>
        <w:tc>
          <w:tcPr>
            <w:tcW w:w="1843" w:type="dxa"/>
            <w:gridSpan w:val="3"/>
            <w:tcBorders>
              <w:top w:val="single" w:sz="4" w:space="0" w:color="auto"/>
              <w:left w:val="single" w:sz="4" w:space="0" w:color="auto"/>
              <w:bottom w:val="nil"/>
              <w:right w:val="single" w:sz="4" w:space="0" w:color="auto"/>
            </w:tcBorders>
            <w:vAlign w:val="center"/>
          </w:tcPr>
          <w:p w:rsidR="00F34E3C" w:rsidRPr="00D7201A" w:rsidRDefault="00F34E3C" w:rsidP="00706D1F">
            <w:pPr>
              <w:tabs>
                <w:tab w:val="decimal" w:pos="1444"/>
              </w:tabs>
              <w:spacing w:after="60"/>
            </w:pPr>
            <w:r>
              <w:t>15 000,00</w:t>
            </w:r>
          </w:p>
        </w:tc>
        <w:tc>
          <w:tcPr>
            <w:tcW w:w="1701" w:type="dxa"/>
            <w:gridSpan w:val="3"/>
            <w:tcBorders>
              <w:top w:val="nil"/>
              <w:left w:val="single" w:sz="4" w:space="0" w:color="auto"/>
              <w:bottom w:val="nil"/>
              <w:right w:val="single" w:sz="4" w:space="0" w:color="auto"/>
            </w:tcBorders>
            <w:vAlign w:val="center"/>
          </w:tcPr>
          <w:p w:rsidR="00F34E3C" w:rsidRPr="00706D1F" w:rsidRDefault="00F34E3C" w:rsidP="00706D1F">
            <w:pPr>
              <w:tabs>
                <w:tab w:val="decimal" w:pos="441"/>
              </w:tabs>
              <w:spacing w:after="60"/>
              <w:rPr>
                <w:sz w:val="14"/>
              </w:rPr>
            </w:pPr>
          </w:p>
        </w:tc>
        <w:tc>
          <w:tcPr>
            <w:tcW w:w="2268" w:type="dxa"/>
            <w:gridSpan w:val="4"/>
            <w:tcBorders>
              <w:top w:val="nil"/>
              <w:left w:val="single" w:sz="4" w:space="0" w:color="auto"/>
              <w:bottom w:val="single" w:sz="4" w:space="0" w:color="auto"/>
              <w:right w:val="single" w:sz="4" w:space="0" w:color="auto"/>
            </w:tcBorders>
            <w:shd w:val="clear" w:color="auto" w:fill="F2F2F2"/>
            <w:vAlign w:val="center"/>
          </w:tcPr>
          <w:p w:rsidR="00F34E3C" w:rsidRPr="00D7201A" w:rsidRDefault="00F34E3C" w:rsidP="00706D1F">
            <w:pPr>
              <w:spacing w:before="40" w:after="40"/>
            </w:pPr>
            <w:r w:rsidRPr="00D7201A">
              <w:t>Total TVA</w:t>
            </w:r>
          </w:p>
        </w:tc>
        <w:tc>
          <w:tcPr>
            <w:tcW w:w="1950" w:type="dxa"/>
            <w:gridSpan w:val="2"/>
            <w:tcBorders>
              <w:top w:val="nil"/>
              <w:left w:val="single" w:sz="4" w:space="0" w:color="auto"/>
              <w:bottom w:val="single" w:sz="4" w:space="0" w:color="auto"/>
              <w:right w:val="single" w:sz="4" w:space="0" w:color="auto"/>
            </w:tcBorders>
            <w:vAlign w:val="center"/>
          </w:tcPr>
          <w:p w:rsidR="00F34E3C" w:rsidRPr="00D7201A" w:rsidRDefault="00F34E3C" w:rsidP="00706D1F">
            <w:pPr>
              <w:tabs>
                <w:tab w:val="decimal" w:pos="1444"/>
              </w:tabs>
              <w:spacing w:before="40" w:after="40"/>
            </w:pPr>
            <w:r>
              <w:t>15 000,00</w:t>
            </w:r>
          </w:p>
        </w:tc>
      </w:tr>
      <w:tr w:rsidR="00F34E3C" w:rsidTr="00706D1F">
        <w:tc>
          <w:tcPr>
            <w:tcW w:w="392" w:type="dxa"/>
            <w:tcBorders>
              <w:top w:val="nil"/>
              <w:left w:val="single" w:sz="4" w:space="0" w:color="auto"/>
              <w:bottom w:val="nil"/>
              <w:right w:val="single" w:sz="4" w:space="0" w:color="auto"/>
            </w:tcBorders>
          </w:tcPr>
          <w:p w:rsidR="00F34E3C" w:rsidRPr="00706D1F" w:rsidRDefault="00F34E3C" w:rsidP="00706D1F">
            <w:pPr>
              <w:tabs>
                <w:tab w:val="decimal" w:pos="441"/>
              </w:tabs>
              <w:spacing w:after="60"/>
              <w:rPr>
                <w:sz w:val="14"/>
              </w:rPr>
            </w:pPr>
          </w:p>
        </w:tc>
        <w:tc>
          <w:tcPr>
            <w:tcW w:w="850" w:type="dxa"/>
            <w:tcBorders>
              <w:top w:val="nil"/>
              <w:left w:val="single" w:sz="4" w:space="0" w:color="auto"/>
              <w:bottom w:val="single" w:sz="4" w:space="0" w:color="auto"/>
              <w:right w:val="single" w:sz="4" w:space="0" w:color="auto"/>
            </w:tcBorders>
          </w:tcPr>
          <w:p w:rsidR="00F34E3C" w:rsidRPr="00706D1F" w:rsidRDefault="00F34E3C" w:rsidP="00706D1F">
            <w:pPr>
              <w:tabs>
                <w:tab w:val="decimal" w:pos="441"/>
              </w:tabs>
              <w:spacing w:after="60"/>
              <w:rPr>
                <w:sz w:val="14"/>
              </w:rPr>
            </w:pPr>
          </w:p>
        </w:tc>
        <w:tc>
          <w:tcPr>
            <w:tcW w:w="1418" w:type="dxa"/>
            <w:gridSpan w:val="2"/>
            <w:tcBorders>
              <w:top w:val="nil"/>
              <w:left w:val="single" w:sz="4" w:space="0" w:color="auto"/>
              <w:bottom w:val="single" w:sz="4" w:space="0" w:color="auto"/>
              <w:right w:val="single" w:sz="4" w:space="0" w:color="auto"/>
            </w:tcBorders>
          </w:tcPr>
          <w:p w:rsidR="00F34E3C" w:rsidRPr="00706D1F" w:rsidRDefault="00F34E3C" w:rsidP="00706D1F">
            <w:pPr>
              <w:tabs>
                <w:tab w:val="decimal" w:pos="441"/>
              </w:tabs>
              <w:spacing w:after="60"/>
              <w:rPr>
                <w:sz w:val="14"/>
              </w:rPr>
            </w:pPr>
          </w:p>
        </w:tc>
        <w:tc>
          <w:tcPr>
            <w:tcW w:w="1843" w:type="dxa"/>
            <w:gridSpan w:val="3"/>
            <w:tcBorders>
              <w:top w:val="nil"/>
              <w:left w:val="single" w:sz="4" w:space="0" w:color="auto"/>
              <w:bottom w:val="single" w:sz="4" w:space="0" w:color="auto"/>
              <w:right w:val="single" w:sz="4" w:space="0" w:color="auto"/>
            </w:tcBorders>
          </w:tcPr>
          <w:p w:rsidR="00F34E3C" w:rsidRPr="00706D1F" w:rsidRDefault="00F34E3C" w:rsidP="00706D1F">
            <w:pPr>
              <w:tabs>
                <w:tab w:val="decimal" w:pos="441"/>
              </w:tabs>
              <w:spacing w:after="60"/>
              <w:rPr>
                <w:sz w:val="14"/>
              </w:rPr>
            </w:pPr>
          </w:p>
        </w:tc>
        <w:tc>
          <w:tcPr>
            <w:tcW w:w="1701" w:type="dxa"/>
            <w:gridSpan w:val="3"/>
            <w:tcBorders>
              <w:top w:val="nil"/>
              <w:left w:val="single" w:sz="4" w:space="0" w:color="auto"/>
              <w:bottom w:val="nil"/>
              <w:right w:val="single" w:sz="4" w:space="0" w:color="auto"/>
            </w:tcBorders>
          </w:tcPr>
          <w:p w:rsidR="00F34E3C" w:rsidRPr="00706D1F" w:rsidRDefault="00F34E3C" w:rsidP="00706D1F">
            <w:pPr>
              <w:tabs>
                <w:tab w:val="decimal" w:pos="441"/>
              </w:tabs>
              <w:spacing w:after="60"/>
              <w:rPr>
                <w:sz w:val="14"/>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34E3C" w:rsidRPr="00D7201A" w:rsidRDefault="00F34E3C" w:rsidP="00706D1F">
            <w:pPr>
              <w:spacing w:before="40" w:after="40"/>
              <w:jc w:val="center"/>
            </w:pPr>
            <w:r>
              <w:t>Net à payer</w:t>
            </w:r>
            <w:r w:rsidRPr="00D7201A">
              <w:t xml:space="preserve"> </w:t>
            </w:r>
            <w:r>
              <w:t>(</w:t>
            </w:r>
            <w:r w:rsidRPr="00D7201A">
              <w:t>TTC</w:t>
            </w:r>
            <w:r>
              <w:t>)</w:t>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F34E3C" w:rsidRPr="00706D1F" w:rsidRDefault="00F34E3C" w:rsidP="00706D1F">
            <w:pPr>
              <w:tabs>
                <w:tab w:val="decimal" w:pos="1444"/>
              </w:tabs>
              <w:spacing w:before="40" w:after="40"/>
              <w:jc w:val="center"/>
              <w:rPr>
                <w:b/>
              </w:rPr>
            </w:pPr>
            <w:r w:rsidRPr="00706D1F">
              <w:rPr>
                <w:b/>
              </w:rPr>
              <w:t>90 000,00</w:t>
            </w:r>
          </w:p>
        </w:tc>
      </w:tr>
      <w:tr w:rsidR="00F34E3C" w:rsidTr="00706D1F">
        <w:tc>
          <w:tcPr>
            <w:tcW w:w="10422" w:type="dxa"/>
            <w:gridSpan w:val="16"/>
            <w:tcBorders>
              <w:top w:val="nil"/>
              <w:bottom w:val="single" w:sz="4" w:space="0" w:color="auto"/>
            </w:tcBorders>
            <w:vAlign w:val="center"/>
          </w:tcPr>
          <w:p w:rsidR="00F34E3C" w:rsidRDefault="00F34E3C" w:rsidP="00706D1F">
            <w:pPr>
              <w:tabs>
                <w:tab w:val="decimal" w:pos="1444"/>
              </w:tabs>
              <w:spacing w:before="60" w:after="60"/>
              <w:jc w:val="center"/>
            </w:pPr>
            <w:r>
              <w:t>Conditions de paiement : Règlement à 30 jours soit le 31 janvier 2014</w:t>
            </w:r>
          </w:p>
        </w:tc>
      </w:tr>
      <w:tr w:rsidR="00F34E3C" w:rsidTr="00706D1F">
        <w:tc>
          <w:tcPr>
            <w:tcW w:w="10422" w:type="dxa"/>
            <w:gridSpan w:val="16"/>
            <w:tcBorders>
              <w:top w:val="nil"/>
              <w:bottom w:val="single" w:sz="4" w:space="0" w:color="auto"/>
            </w:tcBorders>
          </w:tcPr>
          <w:p w:rsidR="00F34E3C" w:rsidRPr="00D7201A" w:rsidRDefault="00F34E3C" w:rsidP="00706D1F">
            <w:pPr>
              <w:tabs>
                <w:tab w:val="decimal" w:pos="1444"/>
              </w:tabs>
              <w:spacing w:before="60" w:after="60"/>
              <w:jc w:val="center"/>
            </w:pPr>
            <w:r w:rsidRPr="00706D1F">
              <w:rPr>
                <w:sz w:val="22"/>
              </w:rPr>
              <w:t>Siret : 75113506606815 – APE : 3092Z – N° TVA intracom : FR93751135066 – Capital : 10 000,00 €</w:t>
            </w:r>
          </w:p>
        </w:tc>
      </w:tr>
    </w:tbl>
    <w:p w:rsidR="00F34E3C" w:rsidRPr="00E105B0" w:rsidRDefault="00F34E3C" w:rsidP="0012744F">
      <w:pPr>
        <w:pStyle w:val="NoSpacing"/>
        <w:rPr>
          <w:rStyle w:val="FontStyle18"/>
          <w:b w:val="0"/>
          <w:bCs/>
          <w:sz w:val="24"/>
        </w:rPr>
      </w:pPr>
    </w:p>
    <w:p w:rsidR="00F34E3C" w:rsidRDefault="00F34E3C" w:rsidP="00FA428E">
      <w:pPr>
        <w:pStyle w:val="NoSpacing"/>
        <w:jc w:val="center"/>
        <w:rPr>
          <w:rStyle w:val="FontStyle18"/>
          <w:bCs/>
          <w:sz w:val="24"/>
        </w:rPr>
      </w:pPr>
      <w:r w:rsidRPr="002807A1">
        <w:rPr>
          <w:rStyle w:val="FontStyle18"/>
          <w:bCs/>
          <w:sz w:val="24"/>
        </w:rPr>
        <w:t>Annexe A : Compte de résultat prévisionnel 2014 par variabilité</w:t>
      </w:r>
      <w:r>
        <w:rPr>
          <w:rStyle w:val="FontStyle18"/>
          <w:bCs/>
          <w:sz w:val="24"/>
        </w:rPr>
        <w:t xml:space="preserve"> (Entreprise VELIMAX) </w:t>
      </w:r>
    </w:p>
    <w:p w:rsidR="00F34E3C" w:rsidRPr="002807A1" w:rsidRDefault="00F34E3C" w:rsidP="00FA428E">
      <w:pPr>
        <w:pStyle w:val="NoSpacing"/>
        <w:jc w:val="center"/>
        <w:rPr>
          <w:rStyle w:val="FontStyle18"/>
          <w:bCs/>
          <w:sz w:val="24"/>
        </w:rPr>
      </w:pPr>
      <w:r>
        <w:rPr>
          <w:rStyle w:val="FontStyle18"/>
          <w:bCs/>
          <w:sz w:val="24"/>
        </w:rPr>
        <w:t>(à compléter)</w:t>
      </w:r>
    </w:p>
    <w:p w:rsidR="00F34E3C" w:rsidRPr="00E105B0" w:rsidRDefault="00F34E3C" w:rsidP="00EC7645">
      <w:pPr>
        <w:pStyle w:val="NoSpacing"/>
        <w:jc w:val="center"/>
        <w:rPr>
          <w:rStyle w:val="FontStyle18"/>
          <w:bC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98"/>
        <w:gridCol w:w="2942"/>
        <w:gridCol w:w="1397"/>
      </w:tblGrid>
      <w:tr w:rsidR="00F34E3C" w:rsidRPr="007F7AB4" w:rsidTr="00453FAC">
        <w:trPr>
          <w:trHeight w:val="509"/>
          <w:jc w:val="center"/>
        </w:trPr>
        <w:tc>
          <w:tcPr>
            <w:tcW w:w="3298" w:type="dxa"/>
            <w:shd w:val="pct5" w:color="auto" w:fill="auto"/>
            <w:vAlign w:val="center"/>
          </w:tcPr>
          <w:p w:rsidR="00F34E3C" w:rsidRPr="007F7AB4" w:rsidRDefault="00F34E3C" w:rsidP="00FF2741">
            <w:pPr>
              <w:pStyle w:val="NoSpacing"/>
              <w:jc w:val="center"/>
              <w:rPr>
                <w:rStyle w:val="FontStyle18"/>
                <w:bCs/>
                <w:sz w:val="24"/>
              </w:rPr>
            </w:pPr>
            <w:r>
              <w:rPr>
                <w:rStyle w:val="FontStyle18"/>
                <w:bCs/>
                <w:sz w:val="24"/>
              </w:rPr>
              <w:t>Éléments</w:t>
            </w:r>
          </w:p>
        </w:tc>
        <w:tc>
          <w:tcPr>
            <w:tcW w:w="2942" w:type="dxa"/>
            <w:tcBorders>
              <w:bottom w:val="single" w:sz="4" w:space="0" w:color="auto"/>
            </w:tcBorders>
            <w:shd w:val="pct5" w:color="auto" w:fill="auto"/>
            <w:vAlign w:val="center"/>
          </w:tcPr>
          <w:p w:rsidR="00F34E3C" w:rsidRPr="007F7AB4" w:rsidRDefault="00F34E3C" w:rsidP="00FF2741">
            <w:pPr>
              <w:pStyle w:val="NoSpacing"/>
              <w:jc w:val="center"/>
              <w:rPr>
                <w:rStyle w:val="FontStyle18"/>
                <w:bCs/>
                <w:sz w:val="24"/>
              </w:rPr>
            </w:pPr>
            <w:r w:rsidRPr="007F7AB4">
              <w:rPr>
                <w:rStyle w:val="FontStyle18"/>
                <w:bCs/>
                <w:sz w:val="24"/>
              </w:rPr>
              <w:t>Montants</w:t>
            </w:r>
          </w:p>
        </w:tc>
        <w:tc>
          <w:tcPr>
            <w:tcW w:w="1397" w:type="dxa"/>
            <w:shd w:val="pct5" w:color="auto" w:fill="auto"/>
            <w:vAlign w:val="center"/>
          </w:tcPr>
          <w:p w:rsidR="00F34E3C" w:rsidRPr="007F7AB4" w:rsidRDefault="00F34E3C" w:rsidP="00FF2741">
            <w:pPr>
              <w:pStyle w:val="NoSpacing"/>
              <w:jc w:val="center"/>
              <w:rPr>
                <w:rStyle w:val="FontStyle18"/>
                <w:bCs/>
                <w:sz w:val="24"/>
              </w:rPr>
            </w:pPr>
            <w:r w:rsidRPr="007F7AB4">
              <w:rPr>
                <w:rStyle w:val="FontStyle18"/>
                <w:bCs/>
                <w:sz w:val="24"/>
              </w:rPr>
              <w:t>%</w:t>
            </w:r>
          </w:p>
        </w:tc>
      </w:tr>
      <w:tr w:rsidR="00F34E3C" w:rsidRPr="007F7AB4" w:rsidTr="00453FAC">
        <w:trPr>
          <w:trHeight w:val="535"/>
          <w:jc w:val="center"/>
        </w:trPr>
        <w:tc>
          <w:tcPr>
            <w:tcW w:w="3298" w:type="dxa"/>
            <w:tcBorders>
              <w:bottom w:val="nil"/>
              <w:right w:val="single" w:sz="4" w:space="0" w:color="auto"/>
            </w:tcBorders>
            <w:vAlign w:val="center"/>
          </w:tcPr>
          <w:p w:rsidR="00F34E3C" w:rsidRPr="007F7AB4" w:rsidRDefault="00F34E3C" w:rsidP="00FF2741">
            <w:pPr>
              <w:pStyle w:val="NoSpacing"/>
              <w:rPr>
                <w:rStyle w:val="FontStyle18"/>
                <w:bCs/>
                <w:sz w:val="24"/>
              </w:rPr>
            </w:pPr>
            <w:r w:rsidRPr="007F7AB4">
              <w:rPr>
                <w:rStyle w:val="FontStyle18"/>
                <w:bCs/>
                <w:sz w:val="24"/>
              </w:rPr>
              <w:t>Chiffre d'affaires</w:t>
            </w:r>
          </w:p>
        </w:tc>
        <w:tc>
          <w:tcPr>
            <w:tcW w:w="2942" w:type="dxa"/>
            <w:tcBorders>
              <w:top w:val="single" w:sz="4" w:space="0" w:color="auto"/>
              <w:left w:val="single" w:sz="4" w:space="0" w:color="auto"/>
              <w:bottom w:val="nil"/>
              <w:right w:val="single" w:sz="4" w:space="0" w:color="auto"/>
            </w:tcBorders>
          </w:tcPr>
          <w:p w:rsidR="00F34E3C" w:rsidRPr="007F7AB4" w:rsidRDefault="00F34E3C" w:rsidP="00DE37F8">
            <w:pPr>
              <w:pStyle w:val="NoSpacing"/>
              <w:jc w:val="both"/>
              <w:rPr>
                <w:rStyle w:val="FontStyle18"/>
                <w:bCs/>
                <w:sz w:val="24"/>
              </w:rPr>
            </w:pPr>
          </w:p>
        </w:tc>
        <w:tc>
          <w:tcPr>
            <w:tcW w:w="1397" w:type="dxa"/>
            <w:tcBorders>
              <w:left w:val="single" w:sz="4" w:space="0" w:color="auto"/>
              <w:bottom w:val="nil"/>
              <w:right w:val="single" w:sz="4" w:space="0" w:color="auto"/>
            </w:tcBorders>
            <w:shd w:val="thinReverseDiagStripe" w:color="auto" w:fill="auto"/>
          </w:tcPr>
          <w:p w:rsidR="00F34E3C" w:rsidRPr="007F7AB4" w:rsidRDefault="00F34E3C" w:rsidP="00DE37F8">
            <w:pPr>
              <w:pStyle w:val="NoSpacing"/>
              <w:jc w:val="both"/>
              <w:rPr>
                <w:rStyle w:val="FontStyle18"/>
                <w:bCs/>
                <w:sz w:val="24"/>
              </w:rPr>
            </w:pPr>
          </w:p>
        </w:tc>
      </w:tr>
      <w:tr w:rsidR="00F34E3C" w:rsidRPr="007F7AB4" w:rsidTr="00453FAC">
        <w:trPr>
          <w:trHeight w:val="509"/>
          <w:jc w:val="center"/>
        </w:trPr>
        <w:tc>
          <w:tcPr>
            <w:tcW w:w="3298" w:type="dxa"/>
            <w:tcBorders>
              <w:top w:val="nil"/>
              <w:bottom w:val="single" w:sz="4" w:space="0" w:color="auto"/>
              <w:right w:val="single" w:sz="4" w:space="0" w:color="auto"/>
            </w:tcBorders>
            <w:vAlign w:val="center"/>
          </w:tcPr>
          <w:p w:rsidR="00F34E3C" w:rsidRPr="007F7AB4" w:rsidRDefault="00F34E3C" w:rsidP="00FF2741">
            <w:pPr>
              <w:pStyle w:val="NoSpacing"/>
              <w:rPr>
                <w:rStyle w:val="FontStyle18"/>
                <w:bCs/>
                <w:sz w:val="24"/>
              </w:rPr>
            </w:pPr>
            <w:r w:rsidRPr="007F7AB4">
              <w:rPr>
                <w:rStyle w:val="FontStyle18"/>
                <w:bCs/>
                <w:sz w:val="24"/>
              </w:rPr>
              <w:t>Coût variable</w:t>
            </w:r>
          </w:p>
        </w:tc>
        <w:tc>
          <w:tcPr>
            <w:tcW w:w="2942" w:type="dxa"/>
            <w:tcBorders>
              <w:top w:val="nil"/>
              <w:left w:val="single" w:sz="4" w:space="0" w:color="auto"/>
              <w:bottom w:val="single" w:sz="4" w:space="0" w:color="auto"/>
              <w:right w:val="single" w:sz="4" w:space="0" w:color="auto"/>
            </w:tcBorders>
          </w:tcPr>
          <w:p w:rsidR="00F34E3C" w:rsidRPr="007F7AB4" w:rsidRDefault="00F34E3C" w:rsidP="00DE37F8">
            <w:pPr>
              <w:pStyle w:val="NoSpacing"/>
              <w:jc w:val="both"/>
              <w:rPr>
                <w:rStyle w:val="FontStyle18"/>
                <w:bCs/>
                <w:sz w:val="24"/>
              </w:rPr>
            </w:pPr>
          </w:p>
        </w:tc>
        <w:tc>
          <w:tcPr>
            <w:tcW w:w="1397" w:type="dxa"/>
            <w:tcBorders>
              <w:top w:val="nil"/>
              <w:left w:val="single" w:sz="4" w:space="0" w:color="auto"/>
              <w:bottom w:val="single" w:sz="4" w:space="0" w:color="auto"/>
              <w:right w:val="single" w:sz="4" w:space="0" w:color="auto"/>
            </w:tcBorders>
            <w:shd w:val="thinReverseDiagStripe" w:color="auto" w:fill="auto"/>
          </w:tcPr>
          <w:p w:rsidR="00F34E3C" w:rsidRPr="007F7AB4" w:rsidRDefault="00F34E3C" w:rsidP="00DE37F8">
            <w:pPr>
              <w:pStyle w:val="NoSpacing"/>
              <w:jc w:val="both"/>
              <w:rPr>
                <w:rStyle w:val="FontStyle18"/>
                <w:bCs/>
                <w:sz w:val="24"/>
              </w:rPr>
            </w:pPr>
          </w:p>
        </w:tc>
      </w:tr>
      <w:tr w:rsidR="00F34E3C" w:rsidRPr="007F7AB4" w:rsidTr="00453FAC">
        <w:trPr>
          <w:trHeight w:val="509"/>
          <w:jc w:val="center"/>
        </w:trPr>
        <w:tc>
          <w:tcPr>
            <w:tcW w:w="3298" w:type="dxa"/>
            <w:tcBorders>
              <w:top w:val="single" w:sz="4" w:space="0" w:color="auto"/>
              <w:left w:val="single" w:sz="4" w:space="0" w:color="auto"/>
              <w:bottom w:val="nil"/>
              <w:right w:val="single" w:sz="4" w:space="0" w:color="auto"/>
            </w:tcBorders>
            <w:vAlign w:val="center"/>
          </w:tcPr>
          <w:p w:rsidR="00F34E3C" w:rsidRPr="007F7AB4" w:rsidRDefault="00F34E3C" w:rsidP="00FF2741">
            <w:pPr>
              <w:pStyle w:val="NoSpacing"/>
              <w:rPr>
                <w:rStyle w:val="FontStyle18"/>
                <w:bCs/>
                <w:sz w:val="24"/>
              </w:rPr>
            </w:pPr>
            <w:r w:rsidRPr="007F7AB4">
              <w:rPr>
                <w:rStyle w:val="FontStyle18"/>
                <w:bCs/>
                <w:sz w:val="24"/>
              </w:rPr>
              <w:t>Marge sur coût variable</w:t>
            </w:r>
          </w:p>
        </w:tc>
        <w:tc>
          <w:tcPr>
            <w:tcW w:w="2942" w:type="dxa"/>
            <w:tcBorders>
              <w:top w:val="single" w:sz="4" w:space="0" w:color="auto"/>
              <w:left w:val="single" w:sz="4" w:space="0" w:color="auto"/>
              <w:bottom w:val="nil"/>
              <w:right w:val="single" w:sz="4" w:space="0" w:color="auto"/>
            </w:tcBorders>
          </w:tcPr>
          <w:p w:rsidR="00F34E3C" w:rsidRPr="007F7AB4" w:rsidRDefault="00F34E3C" w:rsidP="00DE37F8">
            <w:pPr>
              <w:pStyle w:val="NoSpacing"/>
              <w:jc w:val="both"/>
              <w:rPr>
                <w:rStyle w:val="FontStyle18"/>
                <w:bCs/>
                <w:sz w:val="24"/>
              </w:rPr>
            </w:pPr>
          </w:p>
        </w:tc>
        <w:tc>
          <w:tcPr>
            <w:tcW w:w="1397" w:type="dxa"/>
            <w:tcBorders>
              <w:top w:val="single" w:sz="4" w:space="0" w:color="auto"/>
              <w:left w:val="single" w:sz="4" w:space="0" w:color="auto"/>
              <w:bottom w:val="single" w:sz="4" w:space="0" w:color="auto"/>
              <w:right w:val="single" w:sz="4" w:space="0" w:color="auto"/>
            </w:tcBorders>
          </w:tcPr>
          <w:p w:rsidR="00F34E3C" w:rsidRPr="006B6B31" w:rsidRDefault="00F34E3C" w:rsidP="00DE37F8">
            <w:pPr>
              <w:pStyle w:val="NoSpacing"/>
              <w:jc w:val="both"/>
              <w:rPr>
                <w:rStyle w:val="FontStyle18"/>
                <w:bCs/>
                <w:sz w:val="24"/>
                <w:highlight w:val="yellow"/>
              </w:rPr>
            </w:pPr>
          </w:p>
        </w:tc>
      </w:tr>
      <w:tr w:rsidR="00F34E3C" w:rsidRPr="007F7AB4" w:rsidTr="00453FAC">
        <w:trPr>
          <w:trHeight w:val="509"/>
          <w:jc w:val="center"/>
        </w:trPr>
        <w:tc>
          <w:tcPr>
            <w:tcW w:w="3298" w:type="dxa"/>
            <w:tcBorders>
              <w:top w:val="nil"/>
              <w:left w:val="single" w:sz="4" w:space="0" w:color="auto"/>
              <w:bottom w:val="single" w:sz="4" w:space="0" w:color="auto"/>
              <w:right w:val="single" w:sz="4" w:space="0" w:color="auto"/>
            </w:tcBorders>
            <w:vAlign w:val="center"/>
          </w:tcPr>
          <w:p w:rsidR="00F34E3C" w:rsidRPr="007F7AB4" w:rsidRDefault="00F34E3C" w:rsidP="00FF2741">
            <w:pPr>
              <w:pStyle w:val="NoSpacing"/>
              <w:rPr>
                <w:rStyle w:val="FontStyle18"/>
                <w:bCs/>
                <w:sz w:val="24"/>
              </w:rPr>
            </w:pPr>
            <w:r w:rsidRPr="007F7AB4">
              <w:rPr>
                <w:rStyle w:val="FontStyle18"/>
                <w:bCs/>
                <w:sz w:val="24"/>
              </w:rPr>
              <w:t>Charges fixes</w:t>
            </w:r>
          </w:p>
        </w:tc>
        <w:tc>
          <w:tcPr>
            <w:tcW w:w="2942" w:type="dxa"/>
            <w:tcBorders>
              <w:top w:val="nil"/>
              <w:left w:val="single" w:sz="4" w:space="0" w:color="auto"/>
              <w:bottom w:val="single" w:sz="4" w:space="0" w:color="auto"/>
              <w:right w:val="single" w:sz="4" w:space="0" w:color="auto"/>
            </w:tcBorders>
          </w:tcPr>
          <w:p w:rsidR="00F34E3C" w:rsidRPr="007F7AB4" w:rsidRDefault="00F34E3C" w:rsidP="00DE37F8">
            <w:pPr>
              <w:pStyle w:val="NoSpacing"/>
              <w:jc w:val="both"/>
              <w:rPr>
                <w:rStyle w:val="FontStyle18"/>
                <w:bCs/>
                <w:sz w:val="24"/>
              </w:rPr>
            </w:pPr>
          </w:p>
        </w:tc>
        <w:tc>
          <w:tcPr>
            <w:tcW w:w="1397" w:type="dxa"/>
            <w:tcBorders>
              <w:top w:val="single" w:sz="4" w:space="0" w:color="auto"/>
              <w:left w:val="single" w:sz="4" w:space="0" w:color="auto"/>
              <w:bottom w:val="single" w:sz="4" w:space="0" w:color="auto"/>
              <w:right w:val="single" w:sz="4" w:space="0" w:color="auto"/>
            </w:tcBorders>
            <w:shd w:val="thinReverseDiagStripe" w:color="auto" w:fill="auto"/>
          </w:tcPr>
          <w:p w:rsidR="00F34E3C" w:rsidRPr="006B6B31" w:rsidRDefault="00F34E3C" w:rsidP="00DE37F8">
            <w:pPr>
              <w:pStyle w:val="NoSpacing"/>
              <w:jc w:val="both"/>
              <w:rPr>
                <w:rStyle w:val="FontStyle18"/>
                <w:bCs/>
                <w:sz w:val="24"/>
                <w:highlight w:val="yellow"/>
              </w:rPr>
            </w:pPr>
          </w:p>
        </w:tc>
      </w:tr>
      <w:tr w:rsidR="00F34E3C" w:rsidRPr="007F7AB4" w:rsidTr="00453FAC">
        <w:trPr>
          <w:trHeight w:val="509"/>
          <w:jc w:val="center"/>
        </w:trPr>
        <w:tc>
          <w:tcPr>
            <w:tcW w:w="3298" w:type="dxa"/>
            <w:tcBorders>
              <w:top w:val="single" w:sz="4" w:space="0" w:color="auto"/>
            </w:tcBorders>
            <w:vAlign w:val="center"/>
          </w:tcPr>
          <w:p w:rsidR="00F34E3C" w:rsidRPr="007F7AB4" w:rsidRDefault="00F34E3C" w:rsidP="00FF2741">
            <w:pPr>
              <w:pStyle w:val="NoSpacing"/>
              <w:rPr>
                <w:rStyle w:val="FontStyle18"/>
                <w:bCs/>
                <w:sz w:val="24"/>
              </w:rPr>
            </w:pPr>
            <w:r w:rsidRPr="007F7AB4">
              <w:rPr>
                <w:rStyle w:val="FontStyle18"/>
                <w:bCs/>
                <w:sz w:val="24"/>
              </w:rPr>
              <w:t>Résultat</w:t>
            </w:r>
          </w:p>
        </w:tc>
        <w:tc>
          <w:tcPr>
            <w:tcW w:w="2942" w:type="dxa"/>
            <w:tcBorders>
              <w:top w:val="single" w:sz="4" w:space="0" w:color="auto"/>
              <w:right w:val="single" w:sz="4" w:space="0" w:color="auto"/>
            </w:tcBorders>
          </w:tcPr>
          <w:p w:rsidR="00F34E3C" w:rsidRPr="007F7AB4" w:rsidRDefault="00F34E3C" w:rsidP="00DE37F8">
            <w:pPr>
              <w:pStyle w:val="NoSpacing"/>
              <w:jc w:val="both"/>
              <w:rPr>
                <w:rStyle w:val="FontStyle18"/>
                <w:bCs/>
                <w:sz w:val="24"/>
              </w:rPr>
            </w:pPr>
          </w:p>
        </w:tc>
        <w:tc>
          <w:tcPr>
            <w:tcW w:w="1397" w:type="dxa"/>
            <w:tcBorders>
              <w:top w:val="single" w:sz="4" w:space="0" w:color="auto"/>
              <w:left w:val="single" w:sz="4" w:space="0" w:color="auto"/>
              <w:bottom w:val="single" w:sz="4" w:space="0" w:color="auto"/>
              <w:right w:val="single" w:sz="4" w:space="0" w:color="auto"/>
            </w:tcBorders>
            <w:shd w:val="thinReverseDiagStripe" w:color="auto" w:fill="auto"/>
          </w:tcPr>
          <w:p w:rsidR="00F34E3C" w:rsidRPr="007F7AB4" w:rsidRDefault="00F34E3C" w:rsidP="00DE37F8">
            <w:pPr>
              <w:pStyle w:val="NoSpacing"/>
              <w:jc w:val="both"/>
              <w:rPr>
                <w:rStyle w:val="FontStyle18"/>
                <w:bCs/>
                <w:sz w:val="24"/>
              </w:rPr>
            </w:pPr>
          </w:p>
        </w:tc>
      </w:tr>
    </w:tbl>
    <w:p w:rsidR="00F34E3C" w:rsidRPr="0014737D" w:rsidRDefault="00F34E3C" w:rsidP="0012744F">
      <w:pPr>
        <w:pStyle w:val="NoSpacing"/>
        <w:rPr>
          <w:rStyle w:val="FontStyle18"/>
          <w:b w:val="0"/>
          <w:bCs/>
          <w:sz w:val="24"/>
        </w:rPr>
      </w:pPr>
    </w:p>
    <w:sectPr w:rsidR="00F34E3C" w:rsidRPr="0014737D" w:rsidSect="009F5ADA">
      <w:footerReference w:type="default" r:id="rId7"/>
      <w:type w:val="continuous"/>
      <w:pgSz w:w="11907" w:h="16839" w:code="9"/>
      <w:pgMar w:top="720" w:right="720" w:bottom="720" w:left="720" w:header="720" w:footer="720" w:gutter="0"/>
      <w:cols w:space="60"/>
      <w:noEndnote/>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E3C" w:rsidRDefault="00F34E3C">
      <w:r>
        <w:separator/>
      </w:r>
    </w:p>
  </w:endnote>
  <w:endnote w:type="continuationSeparator" w:id="0">
    <w:p w:rsidR="00F34E3C" w:rsidRDefault="00F34E3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3C" w:rsidRPr="005C2426" w:rsidRDefault="00F34E3C" w:rsidP="00094346">
    <w:pPr>
      <w:pStyle w:val="Footer"/>
      <w:tabs>
        <w:tab w:val="clear" w:pos="9072"/>
        <w:tab w:val="right" w:pos="8364"/>
      </w:tabs>
    </w:pPr>
    <w:r>
      <w:t>14GF00B</w:t>
    </w:r>
    <w:r w:rsidRPr="005C2426">
      <w:tab/>
    </w:r>
    <w:r w:rsidRPr="005C2426">
      <w:tab/>
    </w:r>
    <w:r w:rsidRPr="005C2426">
      <w:tab/>
      <w:t xml:space="preserve">Page </w:t>
    </w:r>
    <w:r w:rsidRPr="005C2426">
      <w:rPr>
        <w:bCs/>
      </w:rPr>
      <w:fldChar w:fldCharType="begin"/>
    </w:r>
    <w:r w:rsidRPr="005C2426">
      <w:rPr>
        <w:bCs/>
      </w:rPr>
      <w:instrText>PAGE</w:instrText>
    </w:r>
    <w:r w:rsidRPr="005C2426">
      <w:rPr>
        <w:bCs/>
      </w:rPr>
      <w:fldChar w:fldCharType="separate"/>
    </w:r>
    <w:r>
      <w:rPr>
        <w:bCs/>
        <w:noProof/>
      </w:rPr>
      <w:t>2</w:t>
    </w:r>
    <w:r w:rsidRPr="005C2426">
      <w:rPr>
        <w:bCs/>
      </w:rPr>
      <w:fldChar w:fldCharType="end"/>
    </w:r>
    <w:r w:rsidRPr="005C2426">
      <w:t xml:space="preserve"> sur </w:t>
    </w:r>
    <w:r w:rsidRPr="005C2426">
      <w:rPr>
        <w:bCs/>
      </w:rPr>
      <w:fldChar w:fldCharType="begin"/>
    </w:r>
    <w:r w:rsidRPr="005C2426">
      <w:rPr>
        <w:bCs/>
      </w:rPr>
      <w:instrText>NUMPAGES</w:instrText>
    </w:r>
    <w:r w:rsidRPr="005C2426">
      <w:rPr>
        <w:bCs/>
      </w:rPr>
      <w:fldChar w:fldCharType="separate"/>
    </w:r>
    <w:r>
      <w:rPr>
        <w:bCs/>
        <w:noProof/>
      </w:rPr>
      <w:t>2</w:t>
    </w:r>
    <w:r w:rsidRPr="005C2426">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E3C" w:rsidRDefault="00F34E3C">
      <w:r>
        <w:separator/>
      </w:r>
    </w:p>
  </w:footnote>
  <w:footnote w:type="continuationSeparator" w:id="0">
    <w:p w:rsidR="00F34E3C" w:rsidRDefault="00F34E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3B2E"/>
    <w:multiLevelType w:val="singleLevel"/>
    <w:tmpl w:val="12EC3240"/>
    <w:lvl w:ilvl="0">
      <w:start w:val="1"/>
      <w:numFmt w:val="decimal"/>
      <w:lvlText w:val="%1"/>
      <w:legacy w:legacy="1" w:legacySpace="0" w:legacyIndent="185"/>
      <w:lvlJc w:val="left"/>
      <w:rPr>
        <w:rFonts w:ascii="Arial" w:hAnsi="Arial" w:cs="Arial" w:hint="default"/>
      </w:rPr>
    </w:lvl>
  </w:abstractNum>
  <w:abstractNum w:abstractNumId="1">
    <w:nsid w:val="14664E6A"/>
    <w:multiLevelType w:val="hybridMultilevel"/>
    <w:tmpl w:val="BD58595E"/>
    <w:lvl w:ilvl="0" w:tplc="D48474AC">
      <w:start w:val="1"/>
      <w:numFmt w:val="decimal"/>
      <w:lvlText w:val="%1."/>
      <w:lvlJc w:val="left"/>
      <w:pPr>
        <w:ind w:left="644" w:hanging="360"/>
      </w:pPr>
      <w:rPr>
        <w:rFonts w:cs="Times New Roman"/>
        <w:b/>
        <w:sz w:val="24"/>
        <w:szCs w:val="24"/>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17820C82"/>
    <w:multiLevelType w:val="singleLevel"/>
    <w:tmpl w:val="F1ACFEE8"/>
    <w:lvl w:ilvl="0">
      <w:start w:val="3"/>
      <w:numFmt w:val="decimal"/>
      <w:lvlText w:val="%1"/>
      <w:legacy w:legacy="1" w:legacySpace="0" w:legacyIndent="185"/>
      <w:lvlJc w:val="left"/>
      <w:rPr>
        <w:rFonts w:ascii="Arial" w:hAnsi="Arial" w:cs="Arial" w:hint="default"/>
      </w:rPr>
    </w:lvl>
  </w:abstractNum>
  <w:abstractNum w:abstractNumId="3">
    <w:nsid w:val="1A9F0BFB"/>
    <w:multiLevelType w:val="hybridMultilevel"/>
    <w:tmpl w:val="77B00E1C"/>
    <w:lvl w:ilvl="0" w:tplc="8878DFAC">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2E523D21"/>
    <w:multiLevelType w:val="hybridMultilevel"/>
    <w:tmpl w:val="CC069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4D1566"/>
    <w:multiLevelType w:val="singleLevel"/>
    <w:tmpl w:val="6AACCA64"/>
    <w:lvl w:ilvl="0">
      <w:start w:val="1"/>
      <w:numFmt w:val="decimal"/>
      <w:lvlText w:val="%1"/>
      <w:legacy w:legacy="1" w:legacySpace="0" w:legacyIndent="182"/>
      <w:lvlJc w:val="left"/>
      <w:rPr>
        <w:rFonts w:ascii="Arial" w:hAnsi="Arial" w:cs="Arial" w:hint="default"/>
      </w:rPr>
    </w:lvl>
  </w:abstractNum>
  <w:abstractNum w:abstractNumId="6">
    <w:nsid w:val="3D6A59D7"/>
    <w:multiLevelType w:val="multilevel"/>
    <w:tmpl w:val="BD58595E"/>
    <w:lvl w:ilvl="0">
      <w:start w:val="1"/>
      <w:numFmt w:val="decimal"/>
      <w:lvlText w:val="%1."/>
      <w:lvlJc w:val="left"/>
      <w:pPr>
        <w:ind w:left="644" w:hanging="360"/>
      </w:pPr>
      <w:rPr>
        <w:rFonts w:cs="Times New Roman"/>
        <w:b/>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58E33C67"/>
    <w:multiLevelType w:val="hybridMultilevel"/>
    <w:tmpl w:val="0DACFFF8"/>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64DA4039"/>
    <w:multiLevelType w:val="hybridMultilevel"/>
    <w:tmpl w:val="3014B69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2"/>
  </w:num>
  <w:num w:numId="4">
    <w:abstractNumId w:val="3"/>
  </w:num>
  <w:num w:numId="5">
    <w:abstractNumId w:val="4"/>
  </w:num>
  <w:num w:numId="6">
    <w:abstractNumId w:val="8"/>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3BE7"/>
    <w:rsid w:val="00014A3E"/>
    <w:rsid w:val="0003596A"/>
    <w:rsid w:val="00092573"/>
    <w:rsid w:val="00094346"/>
    <w:rsid w:val="000C7D8C"/>
    <w:rsid w:val="0012453D"/>
    <w:rsid w:val="0012744F"/>
    <w:rsid w:val="0014737D"/>
    <w:rsid w:val="00147879"/>
    <w:rsid w:val="00156424"/>
    <w:rsid w:val="00160D44"/>
    <w:rsid w:val="001A0148"/>
    <w:rsid w:val="002029EF"/>
    <w:rsid w:val="0020659F"/>
    <w:rsid w:val="002807A1"/>
    <w:rsid w:val="002B1C55"/>
    <w:rsid w:val="002D3910"/>
    <w:rsid w:val="003939CF"/>
    <w:rsid w:val="003A73E0"/>
    <w:rsid w:val="003A7902"/>
    <w:rsid w:val="003B0229"/>
    <w:rsid w:val="003B7599"/>
    <w:rsid w:val="003C74D7"/>
    <w:rsid w:val="00452F02"/>
    <w:rsid w:val="00453FAC"/>
    <w:rsid w:val="0045524E"/>
    <w:rsid w:val="00462926"/>
    <w:rsid w:val="00463AA1"/>
    <w:rsid w:val="0047494A"/>
    <w:rsid w:val="0049135A"/>
    <w:rsid w:val="004A3502"/>
    <w:rsid w:val="004D709E"/>
    <w:rsid w:val="004F5C32"/>
    <w:rsid w:val="004F6BED"/>
    <w:rsid w:val="00515F15"/>
    <w:rsid w:val="00536906"/>
    <w:rsid w:val="00542608"/>
    <w:rsid w:val="00545F18"/>
    <w:rsid w:val="0057702B"/>
    <w:rsid w:val="00580627"/>
    <w:rsid w:val="00582106"/>
    <w:rsid w:val="005C2426"/>
    <w:rsid w:val="005C3BE7"/>
    <w:rsid w:val="005C5F33"/>
    <w:rsid w:val="0060180E"/>
    <w:rsid w:val="00654796"/>
    <w:rsid w:val="00673255"/>
    <w:rsid w:val="006A6990"/>
    <w:rsid w:val="006B6B31"/>
    <w:rsid w:val="006C5D46"/>
    <w:rsid w:val="006D218A"/>
    <w:rsid w:val="006F4F21"/>
    <w:rsid w:val="00706D1F"/>
    <w:rsid w:val="0074307D"/>
    <w:rsid w:val="00756860"/>
    <w:rsid w:val="00783022"/>
    <w:rsid w:val="007B53E2"/>
    <w:rsid w:val="007E20D7"/>
    <w:rsid w:val="007F2DCD"/>
    <w:rsid w:val="007F3784"/>
    <w:rsid w:val="007F7AB4"/>
    <w:rsid w:val="0080134D"/>
    <w:rsid w:val="00811776"/>
    <w:rsid w:val="008A7430"/>
    <w:rsid w:val="008D0D6F"/>
    <w:rsid w:val="008E3092"/>
    <w:rsid w:val="0090226C"/>
    <w:rsid w:val="0091516D"/>
    <w:rsid w:val="00917AC3"/>
    <w:rsid w:val="009319E3"/>
    <w:rsid w:val="00940084"/>
    <w:rsid w:val="009641B2"/>
    <w:rsid w:val="00982443"/>
    <w:rsid w:val="00994520"/>
    <w:rsid w:val="009E1879"/>
    <w:rsid w:val="009F5ADA"/>
    <w:rsid w:val="009F66D5"/>
    <w:rsid w:val="00A05682"/>
    <w:rsid w:val="00A06F67"/>
    <w:rsid w:val="00A31D20"/>
    <w:rsid w:val="00A77EC9"/>
    <w:rsid w:val="00A840AB"/>
    <w:rsid w:val="00A96B8B"/>
    <w:rsid w:val="00A97F7D"/>
    <w:rsid w:val="00AB0F52"/>
    <w:rsid w:val="00AC3692"/>
    <w:rsid w:val="00B05A8C"/>
    <w:rsid w:val="00B16A8E"/>
    <w:rsid w:val="00B72F71"/>
    <w:rsid w:val="00B73373"/>
    <w:rsid w:val="00BF3134"/>
    <w:rsid w:val="00C702FB"/>
    <w:rsid w:val="00C7301A"/>
    <w:rsid w:val="00C81FEC"/>
    <w:rsid w:val="00C93018"/>
    <w:rsid w:val="00CE65EA"/>
    <w:rsid w:val="00D33219"/>
    <w:rsid w:val="00D7201A"/>
    <w:rsid w:val="00DA0010"/>
    <w:rsid w:val="00DB718E"/>
    <w:rsid w:val="00DC0884"/>
    <w:rsid w:val="00DE37F8"/>
    <w:rsid w:val="00DF1C1F"/>
    <w:rsid w:val="00E105B0"/>
    <w:rsid w:val="00E24690"/>
    <w:rsid w:val="00E30862"/>
    <w:rsid w:val="00E6194A"/>
    <w:rsid w:val="00E62D73"/>
    <w:rsid w:val="00E812BE"/>
    <w:rsid w:val="00EC39BD"/>
    <w:rsid w:val="00EC7645"/>
    <w:rsid w:val="00ED11E4"/>
    <w:rsid w:val="00EF5711"/>
    <w:rsid w:val="00F011EE"/>
    <w:rsid w:val="00F03F62"/>
    <w:rsid w:val="00F17ADE"/>
    <w:rsid w:val="00F34E3C"/>
    <w:rsid w:val="00F54B73"/>
    <w:rsid w:val="00F54D62"/>
    <w:rsid w:val="00F56DF8"/>
    <w:rsid w:val="00F91EB9"/>
    <w:rsid w:val="00FA428E"/>
    <w:rsid w:val="00FB44A9"/>
    <w:rsid w:val="00FC778B"/>
    <w:rsid w:val="00FE2C20"/>
    <w:rsid w:val="00FE6A6E"/>
    <w:rsid w:val="00FF274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084"/>
    <w:pPr>
      <w:widowControl w:val="0"/>
      <w:autoSpaceDE w:val="0"/>
      <w:autoSpaceDN w:val="0"/>
      <w:adjustRightInd w:val="0"/>
    </w:pPr>
    <w:rPr>
      <w:rFonts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940084"/>
    <w:pPr>
      <w:spacing w:line="264" w:lineRule="exact"/>
      <w:jc w:val="center"/>
    </w:pPr>
  </w:style>
  <w:style w:type="paragraph" w:customStyle="1" w:styleId="Style2">
    <w:name w:val="Style2"/>
    <w:basedOn w:val="Normal"/>
    <w:uiPriority w:val="99"/>
    <w:rsid w:val="00940084"/>
  </w:style>
  <w:style w:type="paragraph" w:customStyle="1" w:styleId="Style3">
    <w:name w:val="Style3"/>
    <w:basedOn w:val="Normal"/>
    <w:uiPriority w:val="99"/>
    <w:rsid w:val="00940084"/>
    <w:pPr>
      <w:spacing w:line="283" w:lineRule="exact"/>
      <w:jc w:val="center"/>
    </w:pPr>
  </w:style>
  <w:style w:type="paragraph" w:customStyle="1" w:styleId="Style4">
    <w:name w:val="Style4"/>
    <w:basedOn w:val="Normal"/>
    <w:uiPriority w:val="99"/>
    <w:rsid w:val="00940084"/>
  </w:style>
  <w:style w:type="paragraph" w:customStyle="1" w:styleId="Style5">
    <w:name w:val="Style5"/>
    <w:basedOn w:val="Normal"/>
    <w:uiPriority w:val="99"/>
    <w:rsid w:val="00940084"/>
    <w:pPr>
      <w:spacing w:line="262" w:lineRule="exact"/>
      <w:jc w:val="both"/>
    </w:pPr>
  </w:style>
  <w:style w:type="paragraph" w:customStyle="1" w:styleId="Style6">
    <w:name w:val="Style6"/>
    <w:basedOn w:val="Normal"/>
    <w:uiPriority w:val="99"/>
    <w:rsid w:val="00940084"/>
    <w:pPr>
      <w:spacing w:line="281" w:lineRule="exact"/>
      <w:jc w:val="both"/>
    </w:pPr>
  </w:style>
  <w:style w:type="paragraph" w:customStyle="1" w:styleId="Style7">
    <w:name w:val="Style7"/>
    <w:basedOn w:val="Normal"/>
    <w:uiPriority w:val="99"/>
    <w:rsid w:val="00940084"/>
    <w:pPr>
      <w:spacing w:line="305" w:lineRule="exact"/>
      <w:ind w:hanging="77"/>
    </w:pPr>
  </w:style>
  <w:style w:type="paragraph" w:customStyle="1" w:styleId="Style8">
    <w:name w:val="Style8"/>
    <w:basedOn w:val="Normal"/>
    <w:uiPriority w:val="99"/>
    <w:rsid w:val="00940084"/>
    <w:pPr>
      <w:spacing w:line="305" w:lineRule="exact"/>
      <w:jc w:val="both"/>
    </w:pPr>
  </w:style>
  <w:style w:type="paragraph" w:customStyle="1" w:styleId="Style9">
    <w:name w:val="Style9"/>
    <w:basedOn w:val="Normal"/>
    <w:uiPriority w:val="99"/>
    <w:rsid w:val="00940084"/>
  </w:style>
  <w:style w:type="paragraph" w:customStyle="1" w:styleId="Style10">
    <w:name w:val="Style10"/>
    <w:basedOn w:val="Normal"/>
    <w:uiPriority w:val="99"/>
    <w:rsid w:val="00940084"/>
  </w:style>
  <w:style w:type="paragraph" w:customStyle="1" w:styleId="Style11">
    <w:name w:val="Style11"/>
    <w:basedOn w:val="Normal"/>
    <w:uiPriority w:val="99"/>
    <w:rsid w:val="00940084"/>
  </w:style>
  <w:style w:type="paragraph" w:customStyle="1" w:styleId="Style12">
    <w:name w:val="Style12"/>
    <w:basedOn w:val="Normal"/>
    <w:uiPriority w:val="99"/>
    <w:rsid w:val="00940084"/>
    <w:pPr>
      <w:spacing w:line="254" w:lineRule="exact"/>
      <w:jc w:val="center"/>
    </w:pPr>
  </w:style>
  <w:style w:type="paragraph" w:customStyle="1" w:styleId="Style13">
    <w:name w:val="Style13"/>
    <w:basedOn w:val="Normal"/>
    <w:uiPriority w:val="99"/>
    <w:rsid w:val="00940084"/>
    <w:pPr>
      <w:spacing w:line="583" w:lineRule="exact"/>
      <w:ind w:hanging="1409"/>
    </w:pPr>
  </w:style>
  <w:style w:type="paragraph" w:customStyle="1" w:styleId="Style14">
    <w:name w:val="Style14"/>
    <w:basedOn w:val="Normal"/>
    <w:uiPriority w:val="99"/>
    <w:rsid w:val="00940084"/>
    <w:pPr>
      <w:spacing w:line="281" w:lineRule="exact"/>
      <w:jc w:val="right"/>
    </w:pPr>
  </w:style>
  <w:style w:type="paragraph" w:customStyle="1" w:styleId="Style15">
    <w:name w:val="Style15"/>
    <w:basedOn w:val="Normal"/>
    <w:uiPriority w:val="99"/>
    <w:rsid w:val="00940084"/>
  </w:style>
  <w:style w:type="paragraph" w:customStyle="1" w:styleId="Style16">
    <w:name w:val="Style16"/>
    <w:basedOn w:val="Normal"/>
    <w:uiPriority w:val="99"/>
    <w:rsid w:val="00940084"/>
    <w:pPr>
      <w:spacing w:line="254" w:lineRule="exact"/>
      <w:jc w:val="center"/>
    </w:pPr>
  </w:style>
  <w:style w:type="character" w:customStyle="1" w:styleId="FontStyle18">
    <w:name w:val="Font Style18"/>
    <w:uiPriority w:val="99"/>
    <w:rsid w:val="00940084"/>
    <w:rPr>
      <w:rFonts w:ascii="Arial" w:hAnsi="Arial"/>
      <w:b/>
      <w:sz w:val="20"/>
    </w:rPr>
  </w:style>
  <w:style w:type="character" w:customStyle="1" w:styleId="FontStyle19">
    <w:name w:val="Font Style19"/>
    <w:uiPriority w:val="99"/>
    <w:rsid w:val="00940084"/>
    <w:rPr>
      <w:rFonts w:ascii="Arial" w:hAnsi="Arial"/>
      <w:sz w:val="20"/>
    </w:rPr>
  </w:style>
  <w:style w:type="character" w:customStyle="1" w:styleId="FontStyle20">
    <w:name w:val="Font Style20"/>
    <w:uiPriority w:val="99"/>
    <w:rsid w:val="00940084"/>
    <w:rPr>
      <w:rFonts w:ascii="Arial" w:hAnsi="Arial"/>
      <w:sz w:val="16"/>
    </w:rPr>
  </w:style>
  <w:style w:type="character" w:customStyle="1" w:styleId="FontStyle21">
    <w:name w:val="Font Style21"/>
    <w:uiPriority w:val="99"/>
    <w:rsid w:val="00940084"/>
    <w:rPr>
      <w:rFonts w:ascii="Arial" w:hAnsi="Arial"/>
      <w:b/>
      <w:sz w:val="16"/>
    </w:rPr>
  </w:style>
  <w:style w:type="character" w:customStyle="1" w:styleId="FontStyle22">
    <w:name w:val="Font Style22"/>
    <w:uiPriority w:val="99"/>
    <w:rsid w:val="00940084"/>
    <w:rPr>
      <w:rFonts w:ascii="Arial" w:hAnsi="Arial"/>
      <w:sz w:val="20"/>
    </w:rPr>
  </w:style>
  <w:style w:type="character" w:customStyle="1" w:styleId="FontStyle23">
    <w:name w:val="Font Style23"/>
    <w:uiPriority w:val="99"/>
    <w:rsid w:val="00940084"/>
    <w:rPr>
      <w:rFonts w:ascii="Arial" w:hAnsi="Arial"/>
      <w:i/>
      <w:sz w:val="20"/>
    </w:rPr>
  </w:style>
  <w:style w:type="character" w:customStyle="1" w:styleId="FontStyle24">
    <w:name w:val="Font Style24"/>
    <w:uiPriority w:val="99"/>
    <w:rsid w:val="00940084"/>
    <w:rPr>
      <w:rFonts w:ascii="Arial" w:hAnsi="Arial"/>
      <w:sz w:val="22"/>
    </w:rPr>
  </w:style>
  <w:style w:type="character" w:customStyle="1" w:styleId="FontStyle25">
    <w:name w:val="Font Style25"/>
    <w:uiPriority w:val="99"/>
    <w:rsid w:val="00940084"/>
    <w:rPr>
      <w:rFonts w:ascii="Arial" w:hAnsi="Arial"/>
      <w:i/>
      <w:sz w:val="20"/>
    </w:rPr>
  </w:style>
  <w:style w:type="paragraph" w:styleId="NoSpacing">
    <w:name w:val="No Spacing"/>
    <w:uiPriority w:val="99"/>
    <w:qFormat/>
    <w:rsid w:val="005C3BE7"/>
    <w:pPr>
      <w:widowControl w:val="0"/>
      <w:autoSpaceDE w:val="0"/>
      <w:autoSpaceDN w:val="0"/>
      <w:adjustRightInd w:val="0"/>
    </w:pPr>
    <w:rPr>
      <w:rFonts w:hAnsi="Arial" w:cs="Arial"/>
      <w:sz w:val="24"/>
      <w:szCs w:val="24"/>
    </w:rPr>
  </w:style>
  <w:style w:type="paragraph" w:styleId="Header">
    <w:name w:val="header"/>
    <w:basedOn w:val="Normal"/>
    <w:link w:val="HeaderChar"/>
    <w:uiPriority w:val="99"/>
    <w:rsid w:val="005C3BE7"/>
    <w:pPr>
      <w:tabs>
        <w:tab w:val="center" w:pos="4536"/>
        <w:tab w:val="right" w:pos="9072"/>
      </w:tabs>
    </w:pPr>
    <w:rPr>
      <w:rFonts w:cs="Times New Roman"/>
    </w:rPr>
  </w:style>
  <w:style w:type="character" w:customStyle="1" w:styleId="HeaderChar">
    <w:name w:val="Header Char"/>
    <w:basedOn w:val="DefaultParagraphFont"/>
    <w:link w:val="Header"/>
    <w:uiPriority w:val="99"/>
    <w:locked/>
    <w:rsid w:val="005C3BE7"/>
    <w:rPr>
      <w:rFonts w:hAnsi="Arial" w:cs="Times New Roman"/>
      <w:sz w:val="24"/>
    </w:rPr>
  </w:style>
  <w:style w:type="paragraph" w:styleId="Footer">
    <w:name w:val="footer"/>
    <w:basedOn w:val="Normal"/>
    <w:link w:val="FooterChar"/>
    <w:uiPriority w:val="99"/>
    <w:rsid w:val="005C3BE7"/>
    <w:pPr>
      <w:tabs>
        <w:tab w:val="center" w:pos="4536"/>
        <w:tab w:val="right" w:pos="9072"/>
      </w:tabs>
    </w:pPr>
    <w:rPr>
      <w:rFonts w:cs="Times New Roman"/>
    </w:rPr>
  </w:style>
  <w:style w:type="character" w:customStyle="1" w:styleId="FooterChar">
    <w:name w:val="Footer Char"/>
    <w:basedOn w:val="DefaultParagraphFont"/>
    <w:link w:val="Footer"/>
    <w:uiPriority w:val="99"/>
    <w:locked/>
    <w:rsid w:val="005C3BE7"/>
    <w:rPr>
      <w:rFonts w:hAnsi="Arial" w:cs="Times New Roman"/>
      <w:sz w:val="24"/>
    </w:rPr>
  </w:style>
  <w:style w:type="table" w:styleId="TableGrid">
    <w:name w:val="Table Grid"/>
    <w:basedOn w:val="TableNormal"/>
    <w:uiPriority w:val="99"/>
    <w:rsid w:val="004D709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573</Words>
  <Characters>3152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BACCALAURÉAT TECHNOLOGIQUE</dc:title>
  <dc:subject/>
  <dc:creator>christine</dc:creator>
  <cp:keywords/>
  <dc:description/>
  <cp:lastModifiedBy>MEN</cp:lastModifiedBy>
  <cp:revision>2</cp:revision>
  <dcterms:created xsi:type="dcterms:W3CDTF">2014-04-27T17:36:00Z</dcterms:created>
  <dcterms:modified xsi:type="dcterms:W3CDTF">2014-04-27T17:36:00Z</dcterms:modified>
</cp:coreProperties>
</file>