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C0F10" w14:textId="77777777" w:rsidR="0051377C" w:rsidRDefault="0051377C" w:rsidP="00DB1F15"/>
    <w:p w14:paraId="604F7B0A" w14:textId="5409833B" w:rsidR="00DA69BE" w:rsidRDefault="00215023" w:rsidP="00AC6406">
      <w:pPr>
        <w:pStyle w:val="Titre"/>
      </w:pPr>
      <w:r>
        <w:t>L</w:t>
      </w:r>
      <w:r w:rsidR="0028250A">
        <w:t>e</w:t>
      </w:r>
      <w:r>
        <w:t xml:space="preserve"> scénario : </w:t>
      </w:r>
      <w:proofErr w:type="spellStart"/>
      <w:r>
        <w:t>Agencepub</w:t>
      </w:r>
      <w:proofErr w:type="spellEnd"/>
      <w:r>
        <w:t xml:space="preserve"> (partie </w:t>
      </w:r>
      <w:r w:rsidR="00713E2F">
        <w:t>2</w:t>
      </w:r>
      <w:r>
        <w:t>) (P2, P</w:t>
      </w:r>
      <w:r w:rsidR="00713E2F">
        <w:t>3</w:t>
      </w:r>
      <w:r>
        <w:t xml:space="preserve"> et P7)</w:t>
      </w:r>
    </w:p>
    <w:p w14:paraId="5C94F972" w14:textId="77777777" w:rsidR="00215023" w:rsidRDefault="00215023" w:rsidP="00215023"/>
    <w:p w14:paraId="4314A985" w14:textId="35CC3143" w:rsidR="00215023" w:rsidRDefault="00215023" w:rsidP="00215023">
      <w:r>
        <w:t xml:space="preserve">Cette situation professionnelle est la </w:t>
      </w:r>
      <w:r w:rsidR="00713E2F">
        <w:t xml:space="preserve">seconde </w:t>
      </w:r>
      <w:r>
        <w:t xml:space="preserve">partie d’une situation professionnelle. Les étudiants peuvent traiter cette situation professionnelle sans </w:t>
      </w:r>
      <w:r w:rsidR="00713E2F">
        <w:t xml:space="preserve">avoir réalisé </w:t>
      </w:r>
      <w:r>
        <w:t xml:space="preserve">la </w:t>
      </w:r>
      <w:r w:rsidR="00713E2F">
        <w:t>précédente</w:t>
      </w:r>
      <w:r>
        <w:t xml:space="preserve">. L’avantage de ces deux situations est qu’elles utilisent une seule société sur le </w:t>
      </w:r>
      <w:proofErr w:type="spellStart"/>
      <w:r>
        <w:t>PGI</w:t>
      </w:r>
      <w:proofErr w:type="spellEnd"/>
      <w:r>
        <w:t xml:space="preserve"> et elles peuvent être traitées à deux moments différents de la seconde année : </w:t>
      </w:r>
    </w:p>
    <w:p w14:paraId="0AB8255E" w14:textId="77777777" w:rsidR="00215023" w:rsidRPr="00B03EBD" w:rsidRDefault="00215023" w:rsidP="00215023">
      <w:pPr>
        <w:pStyle w:val="Paragraphedeliste"/>
        <w:numPr>
          <w:ilvl w:val="0"/>
          <w:numId w:val="20"/>
        </w:numPr>
        <w:spacing w:line="240" w:lineRule="auto"/>
        <w:rPr>
          <w:b/>
          <w:bCs/>
        </w:rPr>
      </w:pPr>
      <w:proofErr w:type="spellStart"/>
      <w:r w:rsidRPr="00B03EBD">
        <w:rPr>
          <w:b/>
          <w:bCs/>
        </w:rPr>
        <w:t>Agencepub</w:t>
      </w:r>
      <w:proofErr w:type="spellEnd"/>
      <w:r w:rsidRPr="00B03EBD">
        <w:rPr>
          <w:b/>
          <w:bCs/>
        </w:rPr>
        <w:t xml:space="preserve"> – partie1 (milieu du premier semestre de 2</w:t>
      </w:r>
      <w:r w:rsidRPr="00B03EBD">
        <w:rPr>
          <w:b/>
          <w:bCs/>
          <w:vertAlign w:val="superscript"/>
        </w:rPr>
        <w:t>ème</w:t>
      </w:r>
      <w:r w:rsidRPr="00B03EBD">
        <w:rPr>
          <w:b/>
          <w:bCs/>
        </w:rPr>
        <w:t xml:space="preserve"> année)</w:t>
      </w:r>
    </w:p>
    <w:p w14:paraId="557E36A7" w14:textId="77777777" w:rsidR="00215023" w:rsidRPr="00250FBD" w:rsidRDefault="00215023" w:rsidP="00215023">
      <w:pPr>
        <w:pStyle w:val="Paragraphedeliste"/>
        <w:numPr>
          <w:ilvl w:val="0"/>
          <w:numId w:val="20"/>
        </w:numPr>
        <w:spacing w:line="240" w:lineRule="auto"/>
        <w:rPr>
          <w:b/>
        </w:rPr>
      </w:pPr>
      <w:proofErr w:type="spellStart"/>
      <w:r>
        <w:rPr>
          <w:b/>
        </w:rPr>
        <w:t>Agencepub</w:t>
      </w:r>
      <w:proofErr w:type="spellEnd"/>
      <w:r>
        <w:rPr>
          <w:b/>
        </w:rPr>
        <w:t xml:space="preserve"> – partie 2</w:t>
      </w:r>
      <w:r w:rsidRPr="00250FBD">
        <w:rPr>
          <w:b/>
        </w:rPr>
        <w:t xml:space="preserve"> (</w:t>
      </w:r>
      <w:r>
        <w:rPr>
          <w:b/>
        </w:rPr>
        <w:t>début du 2</w:t>
      </w:r>
      <w:r w:rsidRPr="007A4E37">
        <w:rPr>
          <w:b/>
          <w:vertAlign w:val="superscript"/>
        </w:rPr>
        <w:t>ème</w:t>
      </w:r>
      <w:r>
        <w:rPr>
          <w:b/>
        </w:rPr>
        <w:t xml:space="preserve"> </w:t>
      </w:r>
      <w:r w:rsidRPr="00250FBD">
        <w:rPr>
          <w:b/>
        </w:rPr>
        <w:t xml:space="preserve">semestre de </w:t>
      </w:r>
      <w:r>
        <w:rPr>
          <w:b/>
        </w:rPr>
        <w:t>2</w:t>
      </w:r>
      <w:r w:rsidRPr="00B03EBD">
        <w:rPr>
          <w:b/>
          <w:vertAlign w:val="superscript"/>
        </w:rPr>
        <w:t>ème</w:t>
      </w:r>
      <w:r>
        <w:rPr>
          <w:b/>
        </w:rPr>
        <w:t xml:space="preserve"> </w:t>
      </w:r>
      <w:r w:rsidRPr="00250FBD">
        <w:rPr>
          <w:b/>
        </w:rPr>
        <w:t xml:space="preserve"> année).</w:t>
      </w:r>
    </w:p>
    <w:p w14:paraId="660384A6" w14:textId="77777777" w:rsidR="00215023" w:rsidRPr="00D062AE" w:rsidRDefault="00215023" w:rsidP="00215023">
      <w:pPr>
        <w:rPr>
          <w:sz w:val="14"/>
        </w:rPr>
      </w:pPr>
    </w:p>
    <w:p w14:paraId="3004C84C" w14:textId="77777777" w:rsidR="00215023" w:rsidRPr="00165D70" w:rsidRDefault="00215023" w:rsidP="00215023">
      <w:pPr>
        <w:rPr>
          <w:b/>
          <w:color w:val="92754C" w:themeColor="text2"/>
          <w:u w:val="single"/>
        </w:rPr>
      </w:pPr>
      <w:r w:rsidRPr="00215023">
        <w:rPr>
          <w:rFonts w:eastAsiaTheme="majorEastAsia" w:cstheme="majorBidi"/>
          <w:b/>
          <w:color w:val="B03434"/>
          <w:sz w:val="32"/>
          <w:szCs w:val="32"/>
        </w:rPr>
        <w:t>Activités et composantes de la situation professionnelle</w:t>
      </w:r>
      <w:r w:rsidRPr="00165D70">
        <w:rPr>
          <w:b/>
          <w:color w:val="92754C" w:themeColor="text2"/>
          <w:u w:val="single"/>
        </w:rPr>
        <w:t> :</w:t>
      </w:r>
    </w:p>
    <w:p w14:paraId="4284C5FB" w14:textId="77777777" w:rsidR="00215023" w:rsidRDefault="00215023" w:rsidP="00215023">
      <w:pPr>
        <w:autoSpaceDE w:val="0"/>
        <w:autoSpaceDN w:val="0"/>
        <w:adjustRightInd w:val="0"/>
        <w:ind w:right="-709" w:firstLine="284"/>
        <w:rPr>
          <w:b/>
          <w:color w:val="92754C" w:themeColor="text2"/>
          <w:sz w:val="12"/>
          <w:szCs w:val="12"/>
          <w:u w:val="single"/>
        </w:rPr>
      </w:pPr>
    </w:p>
    <w:p w14:paraId="0E9CF9C3" w14:textId="77777777" w:rsidR="00215023" w:rsidRDefault="00215023" w:rsidP="00215023">
      <w:pPr>
        <w:autoSpaceDE w:val="0"/>
        <w:autoSpaceDN w:val="0"/>
        <w:adjustRightInd w:val="0"/>
        <w:ind w:right="-709"/>
        <w:rPr>
          <w:rFonts w:cstheme="minorHAnsi"/>
          <w:b/>
          <w:bCs/>
          <w:color w:val="000000"/>
        </w:rPr>
      </w:pPr>
      <w:bookmarkStart w:id="0" w:name="_Hlk182554108"/>
      <w:r w:rsidRPr="00713E2F">
        <w:rPr>
          <w:rFonts w:cstheme="minorHAnsi"/>
          <w:b/>
          <w:color w:val="634D4D" w:themeColor="text1"/>
        </w:rPr>
        <w:t>2.3. Réalisation des opérations d’inventaire</w:t>
      </w:r>
      <w:r w:rsidRPr="00B03EBD">
        <w:rPr>
          <w:rFonts w:cstheme="minorHAnsi"/>
          <w:b/>
          <w:bCs/>
          <w:color w:val="000000"/>
        </w:rPr>
        <w:t xml:space="preserve"> </w:t>
      </w:r>
    </w:p>
    <w:p w14:paraId="3C5E9FD7" w14:textId="77777777" w:rsidR="00713E2F" w:rsidRPr="00713E2F" w:rsidRDefault="00713E2F" w:rsidP="00713E2F">
      <w:pPr>
        <w:autoSpaceDE w:val="0"/>
        <w:autoSpaceDN w:val="0"/>
        <w:adjustRightInd w:val="0"/>
        <w:ind w:right="-709" w:firstLine="284"/>
        <w:rPr>
          <w:rFonts w:eastAsia="Calibri" w:cstheme="minorHAnsi"/>
          <w:bCs/>
          <w:i/>
          <w:iCs/>
        </w:rPr>
      </w:pPr>
      <w:r w:rsidRPr="00713E2F">
        <w:rPr>
          <w:rFonts w:eastAsia="Calibri" w:cstheme="minorHAnsi"/>
          <w:bCs/>
          <w:i/>
          <w:iCs/>
        </w:rPr>
        <w:t>2.3.1. Réalisation, enregistrement, contrôle des travaux d’inventaire relatif aux clients, aux fournisseurs et aux stocks</w:t>
      </w:r>
    </w:p>
    <w:p w14:paraId="101FB332" w14:textId="77777777" w:rsidR="00713E2F" w:rsidRPr="00713E2F" w:rsidRDefault="00713E2F" w:rsidP="00713E2F">
      <w:pPr>
        <w:autoSpaceDE w:val="0"/>
        <w:autoSpaceDN w:val="0"/>
        <w:adjustRightInd w:val="0"/>
        <w:ind w:right="-709" w:firstLine="284"/>
        <w:rPr>
          <w:rFonts w:eastAsia="Calibri" w:cstheme="minorHAnsi"/>
          <w:bCs/>
          <w:iCs/>
        </w:rPr>
      </w:pPr>
      <w:r w:rsidRPr="00713E2F">
        <w:rPr>
          <w:rFonts w:eastAsia="Calibri" w:cstheme="minorHAnsi"/>
          <w:bCs/>
          <w:i/>
          <w:iCs/>
        </w:rPr>
        <w:t>2.3.2. Réalisation, enregistrement, contrôle des travaux d’inventaire relatifs aux immobilisations</w:t>
      </w:r>
    </w:p>
    <w:p w14:paraId="2B2A363E" w14:textId="77777777" w:rsidR="00713E2F" w:rsidRPr="00713E2F" w:rsidRDefault="00713E2F" w:rsidP="00713E2F">
      <w:pPr>
        <w:autoSpaceDE w:val="0"/>
        <w:autoSpaceDN w:val="0"/>
        <w:adjustRightInd w:val="0"/>
        <w:ind w:right="-709" w:firstLine="284"/>
        <w:rPr>
          <w:rFonts w:eastAsia="Calibri" w:cstheme="minorHAnsi"/>
          <w:bCs/>
          <w:i/>
          <w:iCs/>
        </w:rPr>
      </w:pPr>
      <w:r w:rsidRPr="00713E2F">
        <w:rPr>
          <w:rFonts w:eastAsia="Calibri" w:cstheme="minorHAnsi"/>
          <w:bCs/>
          <w:i/>
          <w:iCs/>
        </w:rPr>
        <w:t>2.3.3. Ajustement des comptes de gestion et apurement des comptes d’attente</w:t>
      </w:r>
    </w:p>
    <w:p w14:paraId="0D6FC164" w14:textId="77777777" w:rsidR="00713E2F" w:rsidRPr="00713E2F" w:rsidRDefault="00713E2F" w:rsidP="00713E2F">
      <w:pPr>
        <w:autoSpaceDE w:val="0"/>
        <w:autoSpaceDN w:val="0"/>
        <w:adjustRightInd w:val="0"/>
        <w:ind w:right="-709" w:firstLine="284"/>
        <w:rPr>
          <w:rFonts w:eastAsia="Calibri" w:cstheme="minorHAnsi"/>
          <w:bCs/>
          <w:i/>
          <w:iCs/>
        </w:rPr>
      </w:pPr>
      <w:r w:rsidRPr="00713E2F">
        <w:rPr>
          <w:rFonts w:eastAsia="Calibri" w:cstheme="minorHAnsi"/>
          <w:bCs/>
          <w:i/>
          <w:iCs/>
        </w:rPr>
        <w:t>2.3.4. Traitement des provisions réglementées et des amortissements exceptionnels</w:t>
      </w:r>
    </w:p>
    <w:p w14:paraId="0AA49F8D" w14:textId="76BA1D5B" w:rsidR="00713E2F" w:rsidRDefault="00713E2F" w:rsidP="00713E2F">
      <w:pPr>
        <w:autoSpaceDE w:val="0"/>
        <w:autoSpaceDN w:val="0"/>
        <w:adjustRightInd w:val="0"/>
        <w:ind w:right="-709" w:firstLine="284"/>
        <w:rPr>
          <w:rFonts w:eastAsia="Calibri" w:cstheme="minorHAnsi"/>
        </w:rPr>
      </w:pPr>
      <w:r w:rsidRPr="00713E2F">
        <w:rPr>
          <w:rFonts w:eastAsia="Calibri" w:cstheme="minorHAnsi"/>
          <w:bCs/>
          <w:i/>
          <w:iCs/>
        </w:rPr>
        <w:t>2.3.5. Réalisation des contrôles nécessaires dans les procédures d’inventaire – Mise à jour du dossier de révision</w:t>
      </w:r>
    </w:p>
    <w:p w14:paraId="6337692C" w14:textId="77777777" w:rsidR="00713E2F" w:rsidRPr="00713E2F" w:rsidRDefault="00713E2F" w:rsidP="00713E2F">
      <w:pPr>
        <w:autoSpaceDE w:val="0"/>
        <w:autoSpaceDN w:val="0"/>
        <w:adjustRightInd w:val="0"/>
        <w:ind w:right="-709"/>
        <w:rPr>
          <w:rFonts w:cstheme="minorHAnsi"/>
          <w:b/>
          <w:color w:val="634D4D" w:themeColor="text1"/>
        </w:rPr>
      </w:pPr>
      <w:r w:rsidRPr="00713E2F">
        <w:rPr>
          <w:rFonts w:cstheme="minorHAnsi"/>
          <w:b/>
          <w:color w:val="634D4D" w:themeColor="text1"/>
        </w:rPr>
        <w:t>2.6. Sauvegarde et archivage des documents comptables</w:t>
      </w:r>
    </w:p>
    <w:p w14:paraId="13F931ED" w14:textId="77777777" w:rsidR="00713E2F" w:rsidRPr="00713E2F" w:rsidRDefault="00713E2F" w:rsidP="00713E2F">
      <w:pPr>
        <w:autoSpaceDE w:val="0"/>
        <w:autoSpaceDN w:val="0"/>
        <w:adjustRightInd w:val="0"/>
        <w:ind w:right="-709" w:firstLine="284"/>
        <w:rPr>
          <w:rFonts w:eastAsia="Calibri" w:cstheme="minorHAnsi"/>
          <w:bCs/>
          <w:i/>
          <w:iCs/>
        </w:rPr>
      </w:pPr>
      <w:r w:rsidRPr="00713E2F">
        <w:rPr>
          <w:rFonts w:eastAsia="Calibri" w:cstheme="minorHAnsi"/>
          <w:bCs/>
          <w:i/>
          <w:iCs/>
        </w:rPr>
        <w:t>2.6.1. Sauvegarde et archivage des documents de synthèse et des situations intermédiaires</w:t>
      </w:r>
    </w:p>
    <w:p w14:paraId="133AEFCF" w14:textId="2B7CCCB5" w:rsidR="00215023" w:rsidRPr="00BD40C0" w:rsidRDefault="00713E2F" w:rsidP="00713E2F">
      <w:pPr>
        <w:autoSpaceDE w:val="0"/>
        <w:autoSpaceDN w:val="0"/>
        <w:adjustRightInd w:val="0"/>
        <w:ind w:right="-709"/>
        <w:rPr>
          <w:rFonts w:cstheme="minorHAnsi"/>
          <w:b/>
          <w:color w:val="634D4D" w:themeColor="text1"/>
        </w:rPr>
      </w:pPr>
      <w:r w:rsidRPr="00713E2F">
        <w:rPr>
          <w:rFonts w:cstheme="minorHAnsi"/>
          <w:b/>
          <w:bCs/>
          <w:color w:val="634D4D" w:themeColor="text1"/>
        </w:rPr>
        <w:t>3.1. Conduite de la veille fiscale</w:t>
      </w:r>
    </w:p>
    <w:p w14:paraId="43A09088" w14:textId="0006914B" w:rsidR="00713E2F" w:rsidRDefault="00713E2F" w:rsidP="00713E2F">
      <w:pPr>
        <w:autoSpaceDE w:val="0"/>
        <w:autoSpaceDN w:val="0"/>
        <w:adjustRightInd w:val="0"/>
        <w:ind w:firstLine="284"/>
        <w:rPr>
          <w:rFonts w:eastAsia="Times New Roman" w:cstheme="minorHAnsi"/>
          <w:bCs/>
          <w:i/>
          <w:iCs/>
          <w:lang w:eastAsia="fr-FR"/>
        </w:rPr>
      </w:pPr>
      <w:r w:rsidRPr="00713E2F">
        <w:rPr>
          <w:rFonts w:eastAsia="Times New Roman" w:cstheme="minorHAnsi"/>
          <w:bCs/>
          <w:i/>
          <w:iCs/>
          <w:lang w:eastAsia="fr-FR"/>
        </w:rPr>
        <w:t>3.1.1. Réalisation de la veille juridique nécessaire à l’application des obligations fiscales</w:t>
      </w:r>
    </w:p>
    <w:p w14:paraId="17008E4A" w14:textId="01C06D62" w:rsidR="00713E2F" w:rsidRPr="00713E2F" w:rsidRDefault="00713E2F" w:rsidP="00713E2F">
      <w:pPr>
        <w:autoSpaceDE w:val="0"/>
        <w:autoSpaceDN w:val="0"/>
        <w:adjustRightInd w:val="0"/>
        <w:rPr>
          <w:rFonts w:eastAsia="Times New Roman" w:cstheme="minorHAnsi"/>
          <w:bCs/>
          <w:i/>
          <w:iCs/>
          <w:lang w:eastAsia="fr-FR"/>
        </w:rPr>
      </w:pPr>
      <w:r w:rsidRPr="00713E2F">
        <w:rPr>
          <w:rFonts w:cstheme="minorHAnsi"/>
          <w:b/>
          <w:bCs/>
          <w:color w:val="634D4D" w:themeColor="text1"/>
        </w:rPr>
        <w:t>3.3. Traitement des opérations relatives aux impôts directs</w:t>
      </w:r>
    </w:p>
    <w:p w14:paraId="75A99792" w14:textId="77777777" w:rsidR="00713E2F" w:rsidRPr="00713E2F" w:rsidRDefault="00713E2F" w:rsidP="00713E2F">
      <w:pPr>
        <w:autoSpaceDE w:val="0"/>
        <w:autoSpaceDN w:val="0"/>
        <w:adjustRightInd w:val="0"/>
        <w:ind w:firstLine="284"/>
        <w:rPr>
          <w:rFonts w:eastAsia="Times New Roman" w:cstheme="minorHAnsi"/>
          <w:i/>
          <w:lang w:eastAsia="fr-FR"/>
        </w:rPr>
      </w:pPr>
      <w:r w:rsidRPr="00713E2F">
        <w:rPr>
          <w:rFonts w:eastAsia="Times New Roman" w:cstheme="minorHAnsi"/>
          <w:i/>
          <w:lang w:eastAsia="fr-FR"/>
        </w:rPr>
        <w:t>3.3.1 Caractérisation de la situation fiscale de l’entreprise</w:t>
      </w:r>
    </w:p>
    <w:p w14:paraId="0628BA99" w14:textId="77777777" w:rsidR="00713E2F" w:rsidRPr="00713E2F" w:rsidRDefault="00713E2F" w:rsidP="00713E2F">
      <w:pPr>
        <w:autoSpaceDE w:val="0"/>
        <w:autoSpaceDN w:val="0"/>
        <w:adjustRightInd w:val="0"/>
        <w:ind w:firstLine="284"/>
        <w:rPr>
          <w:rFonts w:eastAsia="Times New Roman" w:cstheme="minorHAnsi"/>
          <w:i/>
          <w:lang w:eastAsia="fr-FR"/>
        </w:rPr>
      </w:pPr>
      <w:r w:rsidRPr="00713E2F">
        <w:rPr>
          <w:rFonts w:eastAsia="Times New Roman" w:cstheme="minorHAnsi"/>
          <w:i/>
          <w:lang w:eastAsia="fr-FR"/>
        </w:rPr>
        <w:t>3.3.2. Détermination du résultat fiscal (BIC ou IS)</w:t>
      </w:r>
    </w:p>
    <w:p w14:paraId="638B2B1D" w14:textId="0454A986" w:rsidR="00713E2F" w:rsidRPr="00713E2F" w:rsidRDefault="00713E2F" w:rsidP="00713E2F">
      <w:pPr>
        <w:autoSpaceDE w:val="0"/>
        <w:autoSpaceDN w:val="0"/>
        <w:adjustRightInd w:val="0"/>
        <w:ind w:firstLine="284"/>
        <w:rPr>
          <w:rFonts w:eastAsia="Times New Roman" w:cstheme="minorHAnsi"/>
          <w:i/>
          <w:lang w:eastAsia="fr-FR"/>
        </w:rPr>
      </w:pPr>
      <w:r w:rsidRPr="00713E2F">
        <w:rPr>
          <w:rFonts w:eastAsia="Times New Roman" w:cstheme="minorHAnsi"/>
          <w:i/>
          <w:lang w:eastAsia="fr-FR"/>
        </w:rPr>
        <w:t xml:space="preserve">3.3.3. </w:t>
      </w:r>
      <w:r w:rsidR="00037A92">
        <w:rPr>
          <w:rFonts w:eastAsia="Times New Roman" w:cstheme="minorHAnsi"/>
          <w:i/>
          <w:lang w:eastAsia="fr-FR"/>
        </w:rPr>
        <w:t>É</w:t>
      </w:r>
      <w:r w:rsidRPr="00713E2F">
        <w:rPr>
          <w:rFonts w:eastAsia="Times New Roman" w:cstheme="minorHAnsi"/>
          <w:i/>
          <w:lang w:eastAsia="fr-FR"/>
        </w:rPr>
        <w:t>tablissement, contrôle et transmission de la déclaration du résultat</w:t>
      </w:r>
    </w:p>
    <w:p w14:paraId="6D01E5D4" w14:textId="77777777" w:rsidR="00713E2F" w:rsidRPr="00713E2F" w:rsidRDefault="00713E2F" w:rsidP="00713E2F">
      <w:pPr>
        <w:autoSpaceDE w:val="0"/>
        <w:autoSpaceDN w:val="0"/>
        <w:adjustRightInd w:val="0"/>
        <w:ind w:firstLine="284"/>
        <w:rPr>
          <w:rFonts w:eastAsia="Times New Roman" w:cstheme="minorHAnsi"/>
          <w:i/>
          <w:lang w:eastAsia="fr-FR"/>
        </w:rPr>
      </w:pPr>
      <w:r w:rsidRPr="00713E2F">
        <w:rPr>
          <w:rFonts w:eastAsia="Times New Roman" w:cstheme="minorHAnsi"/>
          <w:i/>
          <w:lang w:eastAsia="fr-FR"/>
        </w:rPr>
        <w:t>3.3.4. La liquidation et le recouvrement de l’impôt sur les sociétés</w:t>
      </w:r>
    </w:p>
    <w:p w14:paraId="58759108" w14:textId="7CDADE3D" w:rsidR="00713E2F" w:rsidRDefault="00713E2F" w:rsidP="00713E2F">
      <w:pPr>
        <w:autoSpaceDE w:val="0"/>
        <w:autoSpaceDN w:val="0"/>
        <w:adjustRightInd w:val="0"/>
        <w:ind w:firstLine="284"/>
        <w:rPr>
          <w:rFonts w:eastAsia="Times New Roman" w:cstheme="minorHAnsi"/>
          <w:lang w:eastAsia="fr-FR"/>
        </w:rPr>
      </w:pPr>
      <w:r w:rsidRPr="00713E2F">
        <w:rPr>
          <w:rFonts w:eastAsia="Times New Roman" w:cstheme="minorHAnsi"/>
          <w:i/>
          <w:lang w:eastAsia="fr-FR"/>
        </w:rPr>
        <w:t>3.3.5. Enregistrement des opérations relatives à l’Impôt sur les sociétés (IS</w:t>
      </w:r>
    </w:p>
    <w:p w14:paraId="370B3659" w14:textId="77777777" w:rsidR="00215023" w:rsidRPr="00713E2F" w:rsidRDefault="00215023" w:rsidP="00713E2F">
      <w:pPr>
        <w:autoSpaceDE w:val="0"/>
        <w:autoSpaceDN w:val="0"/>
        <w:adjustRightInd w:val="0"/>
        <w:rPr>
          <w:rFonts w:cstheme="minorHAnsi"/>
          <w:b/>
          <w:bCs/>
          <w:color w:val="634D4D" w:themeColor="text1"/>
        </w:rPr>
      </w:pPr>
      <w:r w:rsidRPr="00713E2F">
        <w:rPr>
          <w:rFonts w:cstheme="minorHAnsi"/>
          <w:b/>
          <w:bCs/>
          <w:color w:val="634D4D" w:themeColor="text1"/>
        </w:rPr>
        <w:t>7.3. Contribuer à la qualité du système d’information</w:t>
      </w:r>
    </w:p>
    <w:p w14:paraId="5DF6D80E" w14:textId="77777777" w:rsidR="00713E2F" w:rsidRPr="00713E2F" w:rsidRDefault="00713E2F" w:rsidP="00713E2F">
      <w:pPr>
        <w:ind w:firstLine="284"/>
      </w:pPr>
      <w:r w:rsidRPr="00713E2F">
        <w:rPr>
          <w:bCs/>
          <w:i/>
          <w:iCs/>
        </w:rPr>
        <w:t>7.3.3 Contribution à la sécurité du système d’information</w:t>
      </w:r>
    </w:p>
    <w:p w14:paraId="4430D284" w14:textId="7D8EA50F" w:rsidR="00215023" w:rsidRDefault="00215023" w:rsidP="00215023">
      <w:pPr>
        <w:ind w:firstLine="284"/>
      </w:pPr>
    </w:p>
    <w:bookmarkEnd w:id="0"/>
    <w:p w14:paraId="2008F828" w14:textId="77777777" w:rsidR="00215023" w:rsidRPr="00265EB3" w:rsidRDefault="00215023" w:rsidP="00215023">
      <w:pPr>
        <w:rPr>
          <w:b/>
          <w:color w:val="92754C" w:themeColor="text2"/>
          <w:sz w:val="16"/>
          <w:szCs w:val="16"/>
          <w:u w:val="single"/>
        </w:rPr>
      </w:pPr>
    </w:p>
    <w:p w14:paraId="1324E715" w14:textId="77777777" w:rsidR="00215023" w:rsidRPr="00165D70" w:rsidRDefault="00215023" w:rsidP="00215023">
      <w:pPr>
        <w:rPr>
          <w:b/>
          <w:color w:val="92754C" w:themeColor="text2"/>
          <w:u w:val="single"/>
        </w:rPr>
      </w:pPr>
      <w:r w:rsidRPr="00215023">
        <w:rPr>
          <w:rFonts w:eastAsiaTheme="majorEastAsia" w:cstheme="majorBidi"/>
          <w:b/>
          <w:color w:val="B03434"/>
          <w:sz w:val="32"/>
          <w:szCs w:val="32"/>
        </w:rPr>
        <w:t>Les données</w:t>
      </w:r>
      <w:r w:rsidRPr="00713E2F">
        <w:rPr>
          <w:rFonts w:eastAsiaTheme="majorEastAsia" w:cstheme="majorBidi"/>
          <w:b/>
          <w:color w:val="B03434"/>
          <w:sz w:val="32"/>
          <w:szCs w:val="32"/>
        </w:rPr>
        <w:t> :</w:t>
      </w:r>
    </w:p>
    <w:p w14:paraId="09C1CE39" w14:textId="77777777" w:rsidR="00215023" w:rsidRDefault="00215023" w:rsidP="00215023">
      <w:pPr>
        <w:ind w:firstLine="426"/>
        <w:rPr>
          <w:b/>
          <w:sz w:val="12"/>
          <w:szCs w:val="12"/>
        </w:rPr>
      </w:pPr>
    </w:p>
    <w:p w14:paraId="6B112005" w14:textId="77777777" w:rsidR="00215023" w:rsidRDefault="00215023" w:rsidP="00215023">
      <w:r w:rsidRPr="00165D70">
        <w:t>Les étudiants disposent de l’ensemble des ressources suivantes :</w:t>
      </w:r>
    </w:p>
    <w:p w14:paraId="0B064C51" w14:textId="22662481" w:rsidR="00215023" w:rsidRPr="00906118" w:rsidRDefault="00215023" w:rsidP="00906118">
      <w:pPr>
        <w:spacing w:line="240" w:lineRule="auto"/>
        <w:rPr>
          <w:b/>
        </w:rPr>
      </w:pPr>
      <w:r w:rsidRPr="00906118">
        <w:rPr>
          <w:b/>
        </w:rPr>
        <w:t>La balance (</w:t>
      </w:r>
      <w:r w:rsidR="00713E2F" w:rsidRPr="00906118">
        <w:rPr>
          <w:b/>
        </w:rPr>
        <w:t>a</w:t>
      </w:r>
      <w:r w:rsidR="00713E2F">
        <w:rPr>
          <w:b/>
        </w:rPr>
        <w:t>près</w:t>
      </w:r>
      <w:r w:rsidR="00713E2F" w:rsidRPr="00906118">
        <w:rPr>
          <w:b/>
        </w:rPr>
        <w:t xml:space="preserve"> </w:t>
      </w:r>
      <w:r w:rsidRPr="00906118">
        <w:rPr>
          <w:b/>
        </w:rPr>
        <w:t>amortissements</w:t>
      </w:r>
      <w:r w:rsidR="00713E2F">
        <w:rPr>
          <w:b/>
        </w:rPr>
        <w:t xml:space="preserve"> et</w:t>
      </w:r>
      <w:r w:rsidRPr="00906118">
        <w:rPr>
          <w:b/>
        </w:rPr>
        <w:t xml:space="preserve"> intéressement) au 31 décembre</w:t>
      </w:r>
      <w:r w:rsidR="00906118" w:rsidRPr="00906118">
        <w:rPr>
          <w:b/>
        </w:rPr>
        <w:t xml:space="preserve"> qui contient les éléments nécessaires </w:t>
      </w:r>
      <w:r w:rsidR="00713E2F">
        <w:rPr>
          <w:b/>
        </w:rPr>
        <w:t xml:space="preserve">à cette </w:t>
      </w:r>
      <w:r w:rsidR="00906118" w:rsidRPr="00906118">
        <w:rPr>
          <w:b/>
        </w:rPr>
        <w:t xml:space="preserve">situation professionnelle </w:t>
      </w:r>
      <w:r w:rsidR="00713E2F">
        <w:rPr>
          <w:b/>
        </w:rPr>
        <w:t xml:space="preserve">soit sur </w:t>
      </w:r>
      <w:proofErr w:type="spellStart"/>
      <w:r w:rsidR="00713E2F">
        <w:rPr>
          <w:b/>
        </w:rPr>
        <w:t>PGI</w:t>
      </w:r>
      <w:proofErr w:type="spellEnd"/>
      <w:r w:rsidR="00713E2F">
        <w:rPr>
          <w:b/>
        </w:rPr>
        <w:t xml:space="preserve"> si la partie 1 a été réalisée, soit elle</w:t>
      </w:r>
      <w:r w:rsidR="00906118">
        <w:rPr>
          <w:b/>
        </w:rPr>
        <w:t xml:space="preserve"> devra être saisie</w:t>
      </w:r>
      <w:r w:rsidR="00713E2F">
        <w:rPr>
          <w:b/>
        </w:rPr>
        <w:t xml:space="preserve"> (par l’enseignant ou les étudiants)</w:t>
      </w:r>
      <w:r w:rsidR="00906118">
        <w:rPr>
          <w:b/>
        </w:rPr>
        <w:t>.</w:t>
      </w:r>
    </w:p>
    <w:p w14:paraId="59BE101C" w14:textId="77777777" w:rsidR="00215023" w:rsidRPr="00265EB3" w:rsidRDefault="00215023" w:rsidP="00215023">
      <w:pPr>
        <w:rPr>
          <w:b/>
          <w:color w:val="92754C" w:themeColor="text2"/>
          <w:sz w:val="16"/>
          <w:szCs w:val="16"/>
        </w:rPr>
      </w:pPr>
    </w:p>
    <w:p w14:paraId="335E4ABE" w14:textId="51B25147" w:rsidR="00215023" w:rsidRPr="004D088E" w:rsidRDefault="00215023" w:rsidP="00215023">
      <w:bookmarkStart w:id="1" w:name="_Hlk182553182"/>
      <w:r w:rsidRPr="00215023">
        <w:rPr>
          <w:rFonts w:eastAsiaTheme="majorEastAsia" w:cstheme="majorBidi"/>
          <w:color w:val="B03434"/>
          <w:sz w:val="32"/>
          <w:szCs w:val="32"/>
        </w:rPr>
        <w:t xml:space="preserve">Mission </w:t>
      </w:r>
      <w:r w:rsidR="00713E2F">
        <w:rPr>
          <w:rFonts w:eastAsiaTheme="majorEastAsia" w:cstheme="majorBidi"/>
          <w:color w:val="B03434"/>
          <w:sz w:val="32"/>
          <w:szCs w:val="32"/>
        </w:rPr>
        <w:t>1</w:t>
      </w:r>
      <w:r w:rsidR="00713E2F">
        <w:rPr>
          <w:b/>
          <w:color w:val="92754C" w:themeColor="text2"/>
        </w:rPr>
        <w:t> </w:t>
      </w:r>
      <w:r>
        <w:rPr>
          <w:b/>
          <w:color w:val="92754C" w:themeColor="text2"/>
        </w:rPr>
        <w:t xml:space="preserve">: </w:t>
      </w:r>
      <w:r w:rsidR="00713E2F">
        <w:rPr>
          <w:color w:val="634D4D" w:themeColor="text1"/>
        </w:rPr>
        <w:t>Révision des opérations d’inventaire</w:t>
      </w:r>
    </w:p>
    <w:p w14:paraId="43661E16" w14:textId="2A744A3B" w:rsidR="00215023" w:rsidRDefault="00215023" w:rsidP="00215023">
      <w:pPr>
        <w:pStyle w:val="Paragraphedeliste"/>
      </w:pPr>
      <w:r>
        <w:rPr>
          <w:color w:val="634D4D" w:themeColor="text1"/>
        </w:rPr>
        <w:t>« </w:t>
      </w:r>
      <w:r>
        <w:t>Sujet_SP_agencepub</w:t>
      </w:r>
      <w:r w:rsidR="00713E2F">
        <w:t>2</w:t>
      </w:r>
      <w:r>
        <w:t>_balance</w:t>
      </w:r>
      <w:r>
        <w:rPr>
          <w:color w:val="634D4D" w:themeColor="text1"/>
        </w:rPr>
        <w:t>.xls</w:t>
      </w:r>
      <w:proofErr w:type="gramStart"/>
      <w:r>
        <w:rPr>
          <w:color w:val="634D4D" w:themeColor="text1"/>
        </w:rPr>
        <w:t>»</w:t>
      </w:r>
      <w:r w:rsidR="00713E2F">
        <w:rPr>
          <w:color w:val="634D4D" w:themeColor="text1"/>
        </w:rPr>
        <w:t>,</w:t>
      </w:r>
      <w:r w:rsidRPr="00992A19">
        <w:rPr>
          <w:color w:val="634D4D" w:themeColor="text1"/>
        </w:rPr>
        <w:t>.</w:t>
      </w:r>
      <w:proofErr w:type="gramEnd"/>
      <w:r w:rsidRPr="00836ECD">
        <w:t xml:space="preserve"> </w:t>
      </w:r>
    </w:p>
    <w:p w14:paraId="1C0A03A7" w14:textId="5982D674" w:rsidR="00713E2F" w:rsidRDefault="00713E2F" w:rsidP="00215023">
      <w:pPr>
        <w:pStyle w:val="Paragraphedeliste"/>
        <w:rPr>
          <w:color w:val="634D4D" w:themeColor="text1"/>
        </w:rPr>
      </w:pPr>
      <w:bookmarkStart w:id="2" w:name="_Hlk216428260"/>
      <w:r>
        <w:rPr>
          <w:color w:val="634D4D" w:themeColor="text1"/>
        </w:rPr>
        <w:t>« </w:t>
      </w:r>
      <w:proofErr w:type="gramStart"/>
      <w:r>
        <w:t>Sujet_SP_agencepub2_dossier_</w:t>
      </w:r>
      <w:r w:rsidR="00C85913">
        <w:t>revision</w:t>
      </w:r>
      <w:r>
        <w:rPr>
          <w:color w:val="634D4D" w:themeColor="text1"/>
        </w:rPr>
        <w:t>.xls»</w:t>
      </w:r>
      <w:bookmarkEnd w:id="2"/>
      <w:proofErr w:type="gramEnd"/>
      <w:r>
        <w:rPr>
          <w:color w:val="634D4D" w:themeColor="text1"/>
        </w:rPr>
        <w:t>,</w:t>
      </w:r>
    </w:p>
    <w:p w14:paraId="2FAB0A58" w14:textId="605E1002" w:rsidR="00713E2F" w:rsidRDefault="00713E2F" w:rsidP="00215023">
      <w:pPr>
        <w:pStyle w:val="Paragraphedeliste"/>
      </w:pPr>
      <w:bookmarkStart w:id="3" w:name="_Hlk216430643"/>
      <w:r>
        <w:rPr>
          <w:color w:val="634D4D" w:themeColor="text1"/>
        </w:rPr>
        <w:t>« </w:t>
      </w:r>
      <w:r>
        <w:t>Sujet_SP_agencepub2_informations_</w:t>
      </w:r>
      <w:proofErr w:type="gramStart"/>
      <w:r>
        <w:t>inventaire</w:t>
      </w:r>
      <w:r>
        <w:rPr>
          <w:color w:val="634D4D" w:themeColor="text1"/>
        </w:rPr>
        <w:t>.docxs</w:t>
      </w:r>
      <w:bookmarkEnd w:id="3"/>
      <w:proofErr w:type="gramEnd"/>
      <w:r>
        <w:rPr>
          <w:color w:val="634D4D" w:themeColor="text1"/>
        </w:rPr>
        <w:t>»</w:t>
      </w:r>
    </w:p>
    <w:p w14:paraId="3F9CFB46" w14:textId="0D09DA51" w:rsidR="00215023" w:rsidRPr="004D088E" w:rsidRDefault="00215023" w:rsidP="00215023">
      <w:r w:rsidRPr="00215023">
        <w:rPr>
          <w:rFonts w:eastAsiaTheme="majorEastAsia" w:cstheme="majorBidi"/>
          <w:color w:val="B03434"/>
          <w:sz w:val="32"/>
          <w:szCs w:val="32"/>
        </w:rPr>
        <w:t xml:space="preserve">Mission </w:t>
      </w:r>
      <w:r w:rsidR="00713E2F">
        <w:rPr>
          <w:rFonts w:eastAsiaTheme="majorEastAsia" w:cstheme="majorBidi"/>
          <w:color w:val="B03434"/>
          <w:sz w:val="32"/>
          <w:szCs w:val="32"/>
        </w:rPr>
        <w:t>2</w:t>
      </w:r>
      <w:r>
        <w:rPr>
          <w:b/>
          <w:color w:val="92754C" w:themeColor="text2"/>
        </w:rPr>
        <w:t xml:space="preserve"> : </w:t>
      </w:r>
      <w:r w:rsidR="00713E2F">
        <w:rPr>
          <w:color w:val="634D4D" w:themeColor="text1"/>
        </w:rPr>
        <w:t>Calcul et enregistrement de l’impôt sur les sociétés</w:t>
      </w:r>
    </w:p>
    <w:p w14:paraId="046078A3" w14:textId="4C091331" w:rsidR="00215023" w:rsidRDefault="00215023" w:rsidP="00215023">
      <w:pPr>
        <w:pStyle w:val="Paragraphedeliste"/>
      </w:pPr>
      <w:bookmarkStart w:id="4" w:name="_Hlk182493334"/>
      <w:r>
        <w:rPr>
          <w:color w:val="634D4D" w:themeColor="text1"/>
        </w:rPr>
        <w:t>« </w:t>
      </w:r>
      <w:proofErr w:type="gramStart"/>
      <w:r w:rsidRPr="008B207A">
        <w:t>Sujet_SP_agencepub</w:t>
      </w:r>
      <w:r w:rsidR="00713E2F">
        <w:t>2</w:t>
      </w:r>
      <w:r w:rsidRPr="008B207A">
        <w:t>_</w:t>
      </w:r>
      <w:r w:rsidR="00713E2F">
        <w:t>informations_fiscales</w:t>
      </w:r>
      <w:r w:rsidRPr="008B207A">
        <w:t>.docx</w:t>
      </w:r>
      <w:r>
        <w:rPr>
          <w:color w:val="634D4D" w:themeColor="text1"/>
        </w:rPr>
        <w:t>»</w:t>
      </w:r>
      <w:proofErr w:type="gramEnd"/>
      <w:r w:rsidRPr="00992A19">
        <w:rPr>
          <w:color w:val="634D4D" w:themeColor="text1"/>
        </w:rPr>
        <w:t>.</w:t>
      </w:r>
      <w:r w:rsidRPr="00836ECD">
        <w:t xml:space="preserve"> </w:t>
      </w:r>
    </w:p>
    <w:p w14:paraId="0400AE48" w14:textId="59118187" w:rsidR="00215023" w:rsidRDefault="00215023" w:rsidP="00215023">
      <w:pPr>
        <w:pStyle w:val="Paragraphedeliste"/>
      </w:pPr>
      <w:bookmarkStart w:id="5" w:name="_Hlk182493379"/>
      <w:bookmarkEnd w:id="4"/>
      <w:r>
        <w:t>« </w:t>
      </w:r>
      <w:proofErr w:type="gramStart"/>
      <w:r w:rsidRPr="008B207A">
        <w:t>Sujet_SP_agencepub</w:t>
      </w:r>
      <w:r w:rsidR="00713E2F">
        <w:t>2</w:t>
      </w:r>
      <w:r w:rsidRPr="008B207A">
        <w:t>_</w:t>
      </w:r>
      <w:r w:rsidR="00C85913">
        <w:t>CERFA_</w:t>
      </w:r>
      <w:r w:rsidR="00713E2F">
        <w:t>2058</w:t>
      </w:r>
      <w:r w:rsidRPr="008B207A">
        <w:t>.xlsx</w:t>
      </w:r>
      <w:r>
        <w:t>»</w:t>
      </w:r>
      <w:proofErr w:type="gramEnd"/>
    </w:p>
    <w:bookmarkEnd w:id="5"/>
    <w:p w14:paraId="6393BE0B" w14:textId="672EFDB5" w:rsidR="00215023" w:rsidRPr="004D088E" w:rsidRDefault="00215023" w:rsidP="00215023">
      <w:r w:rsidRPr="00215023">
        <w:rPr>
          <w:rFonts w:eastAsiaTheme="majorEastAsia" w:cstheme="majorBidi"/>
          <w:color w:val="B03434"/>
          <w:sz w:val="32"/>
          <w:szCs w:val="32"/>
        </w:rPr>
        <w:t xml:space="preserve">Mission </w:t>
      </w:r>
      <w:bookmarkStart w:id="6" w:name="_Hlk182494749"/>
      <w:r w:rsidR="00713E2F">
        <w:rPr>
          <w:rFonts w:eastAsiaTheme="majorEastAsia" w:cstheme="majorBidi"/>
          <w:color w:val="B03434"/>
          <w:sz w:val="32"/>
          <w:szCs w:val="32"/>
        </w:rPr>
        <w:t>3</w:t>
      </w:r>
      <w:r w:rsidR="00713E2F" w:rsidRPr="00215023">
        <w:rPr>
          <w:rFonts w:eastAsiaTheme="majorEastAsia" w:cstheme="majorBidi"/>
          <w:color w:val="B03434"/>
          <w:sz w:val="32"/>
          <w:szCs w:val="32"/>
        </w:rPr>
        <w:t> </w:t>
      </w:r>
      <w:r w:rsidRPr="00215023">
        <w:rPr>
          <w:rFonts w:eastAsiaTheme="majorEastAsia" w:cstheme="majorBidi"/>
          <w:color w:val="B03434"/>
          <w:sz w:val="32"/>
          <w:szCs w:val="32"/>
        </w:rPr>
        <w:t>:</w:t>
      </w:r>
      <w:r>
        <w:rPr>
          <w:b/>
          <w:color w:val="92754C" w:themeColor="text2"/>
        </w:rPr>
        <w:t xml:space="preserve"> </w:t>
      </w:r>
      <w:bookmarkEnd w:id="6"/>
      <w:r w:rsidR="00713E2F">
        <w:rPr>
          <w:color w:val="634D4D" w:themeColor="text1"/>
        </w:rPr>
        <w:t>Résolution des difficultés d’archivage des comptes annuels</w:t>
      </w:r>
    </w:p>
    <w:p w14:paraId="437098DF" w14:textId="1EE0B00D" w:rsidR="00215023" w:rsidRPr="00E3471E" w:rsidRDefault="00713E2F" w:rsidP="00962BA9">
      <w:pPr>
        <w:ind w:firstLine="708"/>
        <w:rPr>
          <w:b/>
          <w:sz w:val="12"/>
          <w:szCs w:val="12"/>
          <w:u w:val="single"/>
        </w:rPr>
      </w:pPr>
      <w:bookmarkStart w:id="7" w:name="_Hlk182495505"/>
      <w:r>
        <w:t>« </w:t>
      </w:r>
      <w:r w:rsidRPr="00453C56">
        <w:t>Sujet_SP_agencepub</w:t>
      </w:r>
      <w:r>
        <w:t>2</w:t>
      </w:r>
      <w:r w:rsidRPr="00453C56">
        <w:t>_courriels.docx</w:t>
      </w:r>
      <w:r>
        <w:t> </w:t>
      </w:r>
      <w:r w:rsidDel="00713E2F">
        <w:rPr>
          <w:color w:val="634D4D" w:themeColor="text1"/>
        </w:rPr>
        <w:t xml:space="preserve"> </w:t>
      </w:r>
      <w:bookmarkEnd w:id="1"/>
      <w:bookmarkEnd w:id="7"/>
    </w:p>
    <w:p w14:paraId="51A58C0F" w14:textId="77777777" w:rsidR="00215023" w:rsidRPr="00215023" w:rsidRDefault="00215023" w:rsidP="00215023">
      <w:pPr>
        <w:rPr>
          <w:rFonts w:eastAsiaTheme="majorEastAsia" w:cstheme="majorBidi"/>
          <w:b/>
          <w:color w:val="B03434"/>
          <w:sz w:val="32"/>
          <w:szCs w:val="32"/>
        </w:rPr>
      </w:pPr>
      <w:r w:rsidRPr="00215023">
        <w:rPr>
          <w:rFonts w:eastAsiaTheme="majorEastAsia" w:cstheme="majorBidi"/>
          <w:b/>
          <w:color w:val="B03434"/>
          <w:sz w:val="32"/>
          <w:szCs w:val="32"/>
        </w:rPr>
        <w:lastRenderedPageBreak/>
        <w:t>La problématique :</w:t>
      </w:r>
    </w:p>
    <w:p w14:paraId="56FB0E9D" w14:textId="741ED270" w:rsidR="00215023" w:rsidRPr="00795D85" w:rsidRDefault="00215023" w:rsidP="00215023">
      <w:pPr>
        <w:rPr>
          <w:rFonts w:ascii="Calibri" w:hAnsi="Calibri" w:cs="Calibri"/>
          <w:bCs/>
          <w:iCs/>
          <w:color w:val="000000"/>
        </w:rPr>
      </w:pPr>
      <w:r>
        <w:rPr>
          <w:rFonts w:ascii="Calibri" w:hAnsi="Calibri" w:cs="Calibri"/>
          <w:bCs/>
          <w:iCs/>
          <w:color w:val="000000"/>
        </w:rPr>
        <w:t xml:space="preserve">Comment </w:t>
      </w:r>
      <w:r w:rsidR="00713E2F">
        <w:rPr>
          <w:rFonts w:ascii="Calibri" w:hAnsi="Calibri" w:cs="Calibri"/>
          <w:bCs/>
          <w:iCs/>
          <w:color w:val="000000"/>
        </w:rPr>
        <w:t xml:space="preserve">traiter les opérations d’inventaire et les répertorier dans un document afin de garder une trace des calculs et </w:t>
      </w:r>
      <w:r w:rsidR="00037A92">
        <w:rPr>
          <w:rFonts w:ascii="Calibri" w:hAnsi="Calibri" w:cs="Calibri"/>
          <w:bCs/>
          <w:iCs/>
          <w:color w:val="000000"/>
        </w:rPr>
        <w:t xml:space="preserve">des </w:t>
      </w:r>
      <w:r w:rsidR="00713E2F">
        <w:rPr>
          <w:rFonts w:ascii="Calibri" w:hAnsi="Calibri" w:cs="Calibri"/>
          <w:bCs/>
          <w:iCs/>
          <w:color w:val="000000"/>
        </w:rPr>
        <w:t>raisonnement</w:t>
      </w:r>
      <w:r w:rsidR="00037A92">
        <w:rPr>
          <w:rFonts w:ascii="Calibri" w:hAnsi="Calibri" w:cs="Calibri"/>
          <w:bCs/>
          <w:iCs/>
          <w:color w:val="000000"/>
        </w:rPr>
        <w:t>s</w:t>
      </w:r>
      <w:r w:rsidR="00713E2F">
        <w:rPr>
          <w:rFonts w:ascii="Calibri" w:hAnsi="Calibri" w:cs="Calibri"/>
          <w:bCs/>
          <w:iCs/>
          <w:color w:val="000000"/>
        </w:rPr>
        <w:t xml:space="preserve"> ?</w:t>
      </w:r>
      <w:r>
        <w:rPr>
          <w:rFonts w:ascii="Calibri" w:hAnsi="Calibri" w:cs="Calibri"/>
          <w:bCs/>
          <w:iCs/>
          <w:color w:val="000000"/>
        </w:rPr>
        <w:t xml:space="preserve"> Comment </w:t>
      </w:r>
      <w:r w:rsidR="00713E2F">
        <w:rPr>
          <w:rFonts w:ascii="Calibri" w:hAnsi="Calibri" w:cs="Calibri"/>
          <w:bCs/>
          <w:iCs/>
          <w:color w:val="000000"/>
        </w:rPr>
        <w:t xml:space="preserve">traiter les différences fiscales entre le résultat comptable et le résultat imposable et calculer l’impôt sur les sociétés </w:t>
      </w:r>
      <w:r>
        <w:rPr>
          <w:rFonts w:ascii="Calibri" w:hAnsi="Calibri" w:cs="Calibri"/>
          <w:bCs/>
          <w:iCs/>
          <w:color w:val="000000"/>
        </w:rPr>
        <w:t xml:space="preserve">? Comment </w:t>
      </w:r>
      <w:r w:rsidR="00713E2F">
        <w:rPr>
          <w:rFonts w:ascii="Calibri" w:hAnsi="Calibri" w:cs="Calibri"/>
          <w:bCs/>
          <w:iCs/>
          <w:color w:val="000000"/>
        </w:rPr>
        <w:t>veiller à la sauvegarde et l’archivage des documents comptables d’une entité et proposer une solution adaptée</w:t>
      </w:r>
      <w:r>
        <w:rPr>
          <w:rFonts w:ascii="Calibri" w:hAnsi="Calibri" w:cs="Calibri"/>
          <w:bCs/>
          <w:iCs/>
          <w:color w:val="000000"/>
        </w:rPr>
        <w:t> ?</w:t>
      </w:r>
    </w:p>
    <w:p w14:paraId="786C7DD7" w14:textId="77777777" w:rsidR="00215023" w:rsidRPr="007A4E37" w:rsidRDefault="00215023" w:rsidP="00215023">
      <w:pPr>
        <w:rPr>
          <w:b/>
          <w:color w:val="92754C" w:themeColor="text2"/>
          <w:sz w:val="16"/>
          <w:szCs w:val="16"/>
          <w:u w:val="single"/>
        </w:rPr>
      </w:pPr>
    </w:p>
    <w:p w14:paraId="75249504" w14:textId="56C2D19C" w:rsidR="00215023" w:rsidRPr="00215023" w:rsidRDefault="00215023" w:rsidP="00713E2F">
      <w:pPr>
        <w:spacing w:line="240" w:lineRule="auto"/>
        <w:rPr>
          <w:rFonts w:eastAsiaTheme="majorEastAsia" w:cstheme="majorBidi"/>
          <w:color w:val="B03434"/>
          <w:sz w:val="32"/>
          <w:szCs w:val="32"/>
        </w:rPr>
      </w:pPr>
      <w:r w:rsidRPr="00215023">
        <w:rPr>
          <w:rFonts w:eastAsiaTheme="majorEastAsia" w:cstheme="majorBidi"/>
          <w:color w:val="B03434"/>
          <w:sz w:val="32"/>
          <w:szCs w:val="32"/>
        </w:rPr>
        <w:t>Les ressources matérielles et logicielles :</w:t>
      </w:r>
    </w:p>
    <w:p w14:paraId="1775BAA9" w14:textId="6DCE7117" w:rsidR="00215023" w:rsidRDefault="00215023" w:rsidP="00713E2F">
      <w:pPr>
        <w:spacing w:line="240" w:lineRule="auto"/>
      </w:pPr>
      <w:r>
        <w:t>Progiciel de Gestion Intégré, traitement de texte, tableur, accès internet, ressources internes disponibles sur le réseau de l’établissement.</w:t>
      </w:r>
    </w:p>
    <w:p w14:paraId="376D02A7" w14:textId="77777777" w:rsidR="00215023" w:rsidRPr="00215023" w:rsidRDefault="00215023" w:rsidP="00713E2F">
      <w:pPr>
        <w:spacing w:line="240" w:lineRule="auto"/>
        <w:rPr>
          <w:rFonts w:eastAsiaTheme="majorEastAsia" w:cstheme="majorBidi"/>
          <w:color w:val="B03434"/>
          <w:sz w:val="32"/>
          <w:szCs w:val="32"/>
        </w:rPr>
      </w:pPr>
      <w:bookmarkStart w:id="8" w:name="_Hlk182493699"/>
      <w:r w:rsidRPr="00215023">
        <w:rPr>
          <w:rFonts w:eastAsiaTheme="majorEastAsia" w:cstheme="majorBidi"/>
          <w:color w:val="B03434"/>
          <w:sz w:val="32"/>
          <w:szCs w:val="32"/>
        </w:rPr>
        <w:t>L’organisation du travail :</w:t>
      </w:r>
    </w:p>
    <w:bookmarkEnd w:id="8"/>
    <w:p w14:paraId="1F1576D9" w14:textId="77777777" w:rsidR="00713E2F" w:rsidRDefault="00215023" w:rsidP="00713E2F">
      <w:pPr>
        <w:spacing w:line="240" w:lineRule="auto"/>
        <w:rPr>
          <w:rFonts w:ascii="Calibri" w:hAnsi="Calibri" w:cs="Calibri"/>
          <w:bCs/>
          <w:iCs/>
          <w:color w:val="000000"/>
        </w:rPr>
      </w:pPr>
      <w:r>
        <w:rPr>
          <w:rFonts w:ascii="Calibri" w:hAnsi="Calibri" w:cs="Calibri"/>
          <w:bCs/>
          <w:iCs/>
          <w:color w:val="000000"/>
        </w:rPr>
        <w:t xml:space="preserve">Les étudiants, en groupes de 2 ou de 3, travaillent en tant que stagiaire dans la SARL </w:t>
      </w:r>
      <w:proofErr w:type="spellStart"/>
      <w:r>
        <w:rPr>
          <w:rFonts w:ascii="Calibri" w:hAnsi="Calibri" w:cs="Calibri"/>
          <w:bCs/>
          <w:iCs/>
          <w:color w:val="000000"/>
        </w:rPr>
        <w:t>AGENCEPUB</w:t>
      </w:r>
      <w:proofErr w:type="spellEnd"/>
      <w:r>
        <w:rPr>
          <w:rFonts w:ascii="Calibri" w:hAnsi="Calibri" w:cs="Calibri"/>
          <w:bCs/>
          <w:iCs/>
          <w:color w:val="000000"/>
        </w:rPr>
        <w:t xml:space="preserve"> et ont </w:t>
      </w:r>
      <w:r w:rsidR="00713E2F">
        <w:rPr>
          <w:rFonts w:ascii="Calibri" w:hAnsi="Calibri" w:cs="Calibri"/>
          <w:bCs/>
          <w:iCs/>
          <w:color w:val="000000"/>
        </w:rPr>
        <w:t>3</w:t>
      </w:r>
      <w:r>
        <w:rPr>
          <w:rFonts w:ascii="Calibri" w:hAnsi="Calibri" w:cs="Calibri"/>
          <w:bCs/>
          <w:iCs/>
          <w:color w:val="000000"/>
        </w:rPr>
        <w:t xml:space="preserve"> missions à réaliser. </w:t>
      </w:r>
    </w:p>
    <w:p w14:paraId="293CF60A" w14:textId="7F138130" w:rsidR="00713E2F" w:rsidRDefault="00713E2F" w:rsidP="00713E2F">
      <w:pPr>
        <w:spacing w:line="240" w:lineRule="auto"/>
        <w:rPr>
          <w:rFonts w:ascii="Calibri" w:hAnsi="Calibri" w:cs="Calibri"/>
          <w:bCs/>
          <w:iCs/>
          <w:color w:val="000000"/>
        </w:rPr>
      </w:pPr>
      <w:r>
        <w:rPr>
          <w:rFonts w:ascii="Calibri" w:hAnsi="Calibri" w:cs="Calibri"/>
          <w:bCs/>
          <w:iCs/>
          <w:color w:val="000000"/>
        </w:rPr>
        <w:t xml:space="preserve">Pour la mission 1, on peut mettre en partage le fichier tableur appelé </w:t>
      </w:r>
      <w:r>
        <w:rPr>
          <w:color w:val="634D4D" w:themeColor="text1"/>
        </w:rPr>
        <w:t>« </w:t>
      </w:r>
      <w:proofErr w:type="gramStart"/>
      <w:r>
        <w:t>Sujet_SP_agencepub2_dossier_</w:t>
      </w:r>
      <w:r w:rsidR="00C85913">
        <w:t>revision.</w:t>
      </w:r>
      <w:r>
        <w:rPr>
          <w:color w:val="634D4D" w:themeColor="text1"/>
        </w:rPr>
        <w:t>xls</w:t>
      </w:r>
      <w:r w:rsidR="00CF2B93">
        <w:rPr>
          <w:color w:val="634D4D" w:themeColor="text1"/>
        </w:rPr>
        <w:t>»</w:t>
      </w:r>
      <w:proofErr w:type="gramEnd"/>
      <w:r w:rsidR="00CF2B93">
        <w:rPr>
          <w:color w:val="634D4D" w:themeColor="text1"/>
        </w:rPr>
        <w:t>,</w:t>
      </w:r>
      <w:r>
        <w:rPr>
          <w:rFonts w:ascii="Calibri" w:hAnsi="Calibri" w:cs="Calibri"/>
          <w:bCs/>
          <w:iCs/>
          <w:color w:val="000000"/>
        </w:rPr>
        <w:t xml:space="preserve"> afin que chacun puisse compléter les feuilles en se répartissant le travail. L’originalité réside dans le fait que les écritures d’inventaire existent dans la balance, les étudiants doivent les reconstituer d’après les documents.</w:t>
      </w:r>
    </w:p>
    <w:p w14:paraId="22B7A9B0" w14:textId="0EF7160F" w:rsidR="00713E2F" w:rsidRDefault="00713E2F" w:rsidP="00713E2F">
      <w:pPr>
        <w:spacing w:line="240" w:lineRule="auto"/>
        <w:rPr>
          <w:rFonts w:ascii="Calibri" w:hAnsi="Calibri" w:cs="Calibri"/>
          <w:bCs/>
          <w:iCs/>
          <w:color w:val="000000"/>
        </w:rPr>
      </w:pPr>
      <w:r>
        <w:rPr>
          <w:rFonts w:ascii="Calibri" w:hAnsi="Calibri" w:cs="Calibri"/>
          <w:bCs/>
          <w:iCs/>
          <w:color w:val="000000"/>
        </w:rPr>
        <w:t xml:space="preserve">Pour la mission 2, la partie de recherches sur l’imposition de la société, les éléments de déductibilité des charges doit être approfondie pour une exploitation complète. La recherche du résultat comptable permet une exploitation du </w:t>
      </w:r>
      <w:proofErr w:type="spellStart"/>
      <w:r>
        <w:rPr>
          <w:rFonts w:ascii="Calibri" w:hAnsi="Calibri" w:cs="Calibri"/>
          <w:bCs/>
          <w:iCs/>
          <w:color w:val="000000"/>
        </w:rPr>
        <w:t>PGI</w:t>
      </w:r>
      <w:proofErr w:type="spellEnd"/>
      <w:r>
        <w:rPr>
          <w:rFonts w:ascii="Calibri" w:hAnsi="Calibri" w:cs="Calibri"/>
          <w:bCs/>
          <w:iCs/>
          <w:color w:val="000000"/>
        </w:rPr>
        <w:t xml:space="preserve">. Le remplissage du </w:t>
      </w:r>
      <w:proofErr w:type="spellStart"/>
      <w:r>
        <w:rPr>
          <w:rFonts w:ascii="Calibri" w:hAnsi="Calibri" w:cs="Calibri"/>
          <w:bCs/>
          <w:iCs/>
          <w:color w:val="000000"/>
        </w:rPr>
        <w:t>CERFA</w:t>
      </w:r>
      <w:proofErr w:type="spellEnd"/>
      <w:r>
        <w:rPr>
          <w:rFonts w:ascii="Calibri" w:hAnsi="Calibri" w:cs="Calibri"/>
          <w:bCs/>
          <w:iCs/>
          <w:color w:val="000000"/>
        </w:rPr>
        <w:t xml:space="preserve"> 2058 est assez complexe mais est une bonne approche de la réalité. L’écriture permet une utilisation du module comptable du </w:t>
      </w:r>
      <w:proofErr w:type="spellStart"/>
      <w:r>
        <w:rPr>
          <w:rFonts w:ascii="Calibri" w:hAnsi="Calibri" w:cs="Calibri"/>
          <w:bCs/>
          <w:iCs/>
          <w:color w:val="000000"/>
        </w:rPr>
        <w:t>PGI</w:t>
      </w:r>
      <w:proofErr w:type="spellEnd"/>
      <w:r>
        <w:rPr>
          <w:rFonts w:ascii="Calibri" w:hAnsi="Calibri" w:cs="Calibri"/>
          <w:bCs/>
          <w:iCs/>
          <w:color w:val="000000"/>
        </w:rPr>
        <w:t xml:space="preserve">. </w:t>
      </w:r>
      <w:r w:rsidR="009636A6">
        <w:rPr>
          <w:rFonts w:ascii="Calibri" w:hAnsi="Calibri" w:cs="Calibri"/>
          <w:bCs/>
          <w:iCs/>
          <w:color w:val="000000"/>
        </w:rPr>
        <w:t>La réalisation de l’échéancier fiscal de l’IS pour l’exercice suivant permet un recul sur les conséquences des calculs sur la trésorerie.</w:t>
      </w:r>
    </w:p>
    <w:p w14:paraId="7AF5866C" w14:textId="77777777" w:rsidR="00713E2F" w:rsidRDefault="00713E2F" w:rsidP="00713E2F">
      <w:pPr>
        <w:spacing w:line="240" w:lineRule="auto"/>
      </w:pPr>
      <w:r>
        <w:rPr>
          <w:rFonts w:ascii="Calibri" w:hAnsi="Calibri" w:cs="Calibri"/>
          <w:bCs/>
          <w:iCs/>
          <w:color w:val="000000"/>
        </w:rPr>
        <w:t>Pour la mission 3, on peut conseiller aux étudiants de se répartir les recherches avant une mise en commun et les inciter à contrôler le travail réalisé par les autres.</w:t>
      </w:r>
    </w:p>
    <w:p w14:paraId="11D79A0F" w14:textId="1F679A3E" w:rsidR="00215023" w:rsidRPr="00713E2F" w:rsidRDefault="00215023" w:rsidP="00215023">
      <w:pPr>
        <w:rPr>
          <w:rFonts w:ascii="Calibri" w:hAnsi="Calibri" w:cs="Calibri"/>
          <w:bCs/>
          <w:iCs/>
          <w:color w:val="000000"/>
        </w:rPr>
      </w:pPr>
      <w:r>
        <w:rPr>
          <w:rFonts w:ascii="Calibri" w:hAnsi="Calibri" w:cs="Calibri"/>
          <w:bCs/>
          <w:iCs/>
          <w:color w:val="000000"/>
        </w:rPr>
        <w:t xml:space="preserve"> </w:t>
      </w:r>
    </w:p>
    <w:p w14:paraId="173DF9E8" w14:textId="77777777" w:rsidR="00215023" w:rsidRPr="00215023" w:rsidRDefault="00215023" w:rsidP="00215023">
      <w:pPr>
        <w:rPr>
          <w:rFonts w:eastAsiaTheme="majorEastAsia" w:cstheme="majorBidi"/>
          <w:b/>
          <w:color w:val="B03434"/>
          <w:sz w:val="32"/>
          <w:szCs w:val="32"/>
        </w:rPr>
      </w:pPr>
      <w:r w:rsidRPr="00215023">
        <w:rPr>
          <w:rFonts w:eastAsiaTheme="majorEastAsia" w:cstheme="majorBidi"/>
          <w:b/>
          <w:color w:val="B03434"/>
          <w:sz w:val="32"/>
          <w:szCs w:val="32"/>
        </w:rPr>
        <w:t>Les missions confiées :</w:t>
      </w:r>
    </w:p>
    <w:p w14:paraId="3FA9058F" w14:textId="0BCDC2F4" w:rsidR="00215023" w:rsidRPr="007A4E37" w:rsidRDefault="00215023" w:rsidP="00215023">
      <w:pPr>
        <w:rPr>
          <w:b/>
          <w:color w:val="92754C" w:themeColor="text2"/>
          <w:szCs w:val="24"/>
        </w:rPr>
      </w:pPr>
      <w:r w:rsidRPr="00215023">
        <w:rPr>
          <w:rFonts w:eastAsiaTheme="majorEastAsia" w:cstheme="majorBidi"/>
          <w:color w:val="B03434"/>
          <w:sz w:val="32"/>
          <w:szCs w:val="32"/>
        </w:rPr>
        <w:t xml:space="preserve">Mission 1 : </w:t>
      </w:r>
      <w:r w:rsidR="00CF2B93">
        <w:rPr>
          <w:rFonts w:eastAsiaTheme="majorEastAsia" w:cstheme="majorBidi"/>
          <w:color w:val="B03434"/>
          <w:sz w:val="32"/>
          <w:szCs w:val="32"/>
        </w:rPr>
        <w:t>Révision des opérations d’inventaire</w:t>
      </w:r>
    </w:p>
    <w:p w14:paraId="7F0EFC30" w14:textId="422F36BE" w:rsidR="00713E2F" w:rsidRPr="00691C48" w:rsidRDefault="00713E2F" w:rsidP="00713E2F">
      <w:pPr>
        <w:rPr>
          <w:rFonts w:asciiTheme="minorHAnsi" w:hAnsiTheme="minorHAnsi" w:cstheme="minorHAnsi"/>
          <w:szCs w:val="24"/>
        </w:rPr>
      </w:pPr>
      <w:bookmarkStart w:id="9" w:name="_Hlk182552279"/>
      <w:r w:rsidRPr="00691C48">
        <w:rPr>
          <w:rFonts w:asciiTheme="minorHAnsi" w:hAnsiTheme="minorHAnsi" w:cstheme="minorHAnsi"/>
          <w:szCs w:val="24"/>
        </w:rPr>
        <w:t xml:space="preserve">La comptable, Mme Marvelli, a enregistré toutes les opérations d’inventaire. Elle a regroupé les documents </w:t>
      </w:r>
      <w:r w:rsidR="00CF2B93" w:rsidRPr="00691C48">
        <w:rPr>
          <w:rFonts w:asciiTheme="minorHAnsi" w:hAnsiTheme="minorHAnsi" w:cstheme="minorHAnsi"/>
          <w:szCs w:val="24"/>
        </w:rPr>
        <w:t xml:space="preserve">dans </w:t>
      </w:r>
      <w:r w:rsidR="00CF2B93" w:rsidRPr="00691C48">
        <w:rPr>
          <w:rFonts w:asciiTheme="minorHAnsi" w:hAnsiTheme="minorHAnsi" w:cstheme="minorHAnsi"/>
          <w:color w:val="634D4D" w:themeColor="text1"/>
          <w:szCs w:val="24"/>
        </w:rPr>
        <w:t>« </w:t>
      </w:r>
      <w:r w:rsidR="00CF2B93" w:rsidRPr="00691C48">
        <w:rPr>
          <w:rFonts w:asciiTheme="minorHAnsi" w:hAnsiTheme="minorHAnsi" w:cstheme="minorHAnsi"/>
          <w:szCs w:val="24"/>
        </w:rPr>
        <w:t>Sujet_SP_agencepub2_informations_inventaire</w:t>
      </w:r>
      <w:r w:rsidR="00CF2B93" w:rsidRPr="00691C48">
        <w:rPr>
          <w:rFonts w:asciiTheme="minorHAnsi" w:hAnsiTheme="minorHAnsi" w:cstheme="minorHAnsi"/>
          <w:color w:val="634D4D" w:themeColor="text1"/>
          <w:szCs w:val="24"/>
        </w:rPr>
        <w:t>.docx </w:t>
      </w:r>
      <w:r w:rsidR="00962BA9" w:rsidRPr="00691C48">
        <w:rPr>
          <w:rFonts w:asciiTheme="minorHAnsi" w:hAnsiTheme="minorHAnsi" w:cstheme="minorHAnsi"/>
          <w:color w:val="634D4D" w:themeColor="text1"/>
          <w:szCs w:val="24"/>
        </w:rPr>
        <w:t xml:space="preserve">» </w:t>
      </w:r>
      <w:r w:rsidR="00962BA9" w:rsidRPr="00691C48">
        <w:rPr>
          <w:rFonts w:asciiTheme="minorHAnsi" w:hAnsiTheme="minorHAnsi" w:cstheme="minorHAnsi"/>
          <w:szCs w:val="24"/>
        </w:rPr>
        <w:t>qui</w:t>
      </w:r>
      <w:r w:rsidRPr="00691C48">
        <w:rPr>
          <w:rFonts w:asciiTheme="minorHAnsi" w:hAnsiTheme="minorHAnsi" w:cstheme="minorHAnsi"/>
          <w:szCs w:val="24"/>
        </w:rPr>
        <w:t xml:space="preserve"> ont servis de base aux opérations mais a perdu le dossier d’inventaire réalisé sur tableur. </w:t>
      </w:r>
    </w:p>
    <w:p w14:paraId="7CEDBF10" w14:textId="77777777" w:rsidR="00713E2F" w:rsidRPr="00691C48" w:rsidRDefault="00713E2F" w:rsidP="00713E2F">
      <w:pPr>
        <w:rPr>
          <w:rFonts w:asciiTheme="minorHAnsi" w:hAnsiTheme="minorHAnsi" w:cstheme="minorHAnsi"/>
          <w:szCs w:val="24"/>
        </w:rPr>
      </w:pPr>
    </w:p>
    <w:p w14:paraId="55633CEC" w14:textId="5CF26C86" w:rsidR="00037A92" w:rsidRDefault="00037A92" w:rsidP="00713E2F">
      <w:pPr>
        <w:rPr>
          <w:rFonts w:asciiTheme="minorHAnsi" w:hAnsiTheme="minorHAnsi" w:cstheme="minorHAnsi"/>
          <w:szCs w:val="24"/>
        </w:rPr>
      </w:pPr>
      <w:r w:rsidRPr="00037A92">
        <w:rPr>
          <w:rFonts w:asciiTheme="minorHAnsi" w:hAnsiTheme="minorHAnsi" w:cstheme="minorHAnsi"/>
          <w:b/>
          <w:szCs w:val="24"/>
        </w:rPr>
        <w:t>À</w:t>
      </w:r>
      <w:r w:rsidR="00713E2F" w:rsidRPr="00037A92">
        <w:rPr>
          <w:rFonts w:asciiTheme="minorHAnsi" w:hAnsiTheme="minorHAnsi" w:cstheme="minorHAnsi"/>
          <w:b/>
          <w:szCs w:val="24"/>
        </w:rPr>
        <w:t xml:space="preserve"> p</w:t>
      </w:r>
      <w:r w:rsidR="00713E2F" w:rsidRPr="00691C48">
        <w:rPr>
          <w:rFonts w:asciiTheme="minorHAnsi" w:hAnsiTheme="minorHAnsi" w:cstheme="minorHAnsi"/>
          <w:b/>
          <w:szCs w:val="24"/>
        </w:rPr>
        <w:t xml:space="preserve">artir de la balance, des éléments présents dans </w:t>
      </w:r>
      <w:r w:rsidR="00E646A3">
        <w:rPr>
          <w:rFonts w:asciiTheme="minorHAnsi" w:hAnsiTheme="minorHAnsi" w:cstheme="minorHAnsi"/>
          <w:b/>
          <w:szCs w:val="24"/>
        </w:rPr>
        <w:t>le fichier</w:t>
      </w:r>
      <w:r w:rsidR="00E646A3" w:rsidRPr="00E646A3">
        <w:t xml:space="preserve"> </w:t>
      </w:r>
      <w:r w:rsidR="00E646A3">
        <w:t>« </w:t>
      </w:r>
      <w:r w:rsidR="00E646A3" w:rsidRPr="00E646A3">
        <w:rPr>
          <w:rFonts w:asciiTheme="minorHAnsi" w:hAnsiTheme="minorHAnsi" w:cstheme="minorHAnsi"/>
          <w:bCs/>
          <w:szCs w:val="24"/>
        </w:rPr>
        <w:t>Sujet_SP_agencepub2_informations_inventaire.do</w:t>
      </w:r>
      <w:r w:rsidR="00E646A3" w:rsidRPr="00E646A3">
        <w:rPr>
          <w:rFonts w:asciiTheme="minorHAnsi" w:hAnsiTheme="minorHAnsi" w:cstheme="minorHAnsi"/>
          <w:b/>
          <w:szCs w:val="24"/>
        </w:rPr>
        <w:t>cx</w:t>
      </w:r>
      <w:r w:rsidR="00E646A3">
        <w:rPr>
          <w:rFonts w:asciiTheme="minorHAnsi" w:hAnsiTheme="minorHAnsi" w:cstheme="minorHAnsi"/>
          <w:b/>
          <w:szCs w:val="24"/>
        </w:rPr>
        <w:t xml:space="preserve"> » </w:t>
      </w:r>
      <w:r w:rsidR="00713E2F" w:rsidRPr="00691C48">
        <w:rPr>
          <w:rFonts w:asciiTheme="minorHAnsi" w:hAnsiTheme="minorHAnsi" w:cstheme="minorHAnsi"/>
          <w:b/>
          <w:szCs w:val="24"/>
        </w:rPr>
        <w:t xml:space="preserve">et du fichier sur tableur </w:t>
      </w:r>
      <w:r w:rsidR="00CF2B93" w:rsidRPr="00691C48">
        <w:rPr>
          <w:rFonts w:asciiTheme="minorHAnsi" w:hAnsiTheme="minorHAnsi" w:cstheme="minorHAnsi"/>
          <w:color w:val="634D4D" w:themeColor="text1"/>
          <w:szCs w:val="24"/>
        </w:rPr>
        <w:t>« </w:t>
      </w:r>
      <w:r w:rsidR="00CF2B93" w:rsidRPr="00691C48">
        <w:rPr>
          <w:rFonts w:asciiTheme="minorHAnsi" w:hAnsiTheme="minorHAnsi" w:cstheme="minorHAnsi"/>
          <w:szCs w:val="24"/>
        </w:rPr>
        <w:t>Sujet_SP_agencepub2_dossier_</w:t>
      </w:r>
      <w:r w:rsidR="00C85913">
        <w:rPr>
          <w:rFonts w:asciiTheme="minorHAnsi" w:hAnsiTheme="minorHAnsi" w:cstheme="minorHAnsi"/>
          <w:szCs w:val="24"/>
        </w:rPr>
        <w:t>revision</w:t>
      </w:r>
      <w:r w:rsidR="00CF2B93" w:rsidRPr="00691C48">
        <w:rPr>
          <w:rFonts w:asciiTheme="minorHAnsi" w:hAnsiTheme="minorHAnsi" w:cstheme="minorHAnsi"/>
          <w:color w:val="634D4D" w:themeColor="text1"/>
          <w:szCs w:val="24"/>
        </w:rPr>
        <w:t>.xls»</w:t>
      </w:r>
      <w:r w:rsidR="00713E2F" w:rsidRPr="00691C48">
        <w:rPr>
          <w:rFonts w:asciiTheme="minorHAnsi" w:hAnsiTheme="minorHAnsi" w:cstheme="minorHAnsi"/>
          <w:b/>
          <w:szCs w:val="24"/>
        </w:rPr>
        <w:t xml:space="preserve"> </w:t>
      </w:r>
      <w:r>
        <w:rPr>
          <w:rFonts w:asciiTheme="minorHAnsi" w:hAnsiTheme="minorHAnsi" w:cstheme="minorHAnsi"/>
          <w:b/>
          <w:szCs w:val="24"/>
        </w:rPr>
        <w:t>l</w:t>
      </w:r>
      <w:r w:rsidR="00713E2F" w:rsidRPr="00691C48">
        <w:rPr>
          <w:rFonts w:asciiTheme="minorHAnsi" w:hAnsiTheme="minorHAnsi" w:cstheme="minorHAnsi"/>
          <w:szCs w:val="24"/>
        </w:rPr>
        <w:t xml:space="preserve">a Comptable vous charge de retrouver les opérations réalisées lors de l’inventaire au 31 décembre </w:t>
      </w:r>
      <w:r>
        <w:rPr>
          <w:rFonts w:asciiTheme="minorHAnsi" w:hAnsiTheme="minorHAnsi" w:cstheme="minorHAnsi"/>
          <w:szCs w:val="24"/>
        </w:rPr>
        <w:t>N</w:t>
      </w:r>
      <w:r w:rsidR="00713E2F" w:rsidRPr="00691C48">
        <w:rPr>
          <w:rFonts w:asciiTheme="minorHAnsi" w:hAnsiTheme="minorHAnsi" w:cstheme="minorHAnsi"/>
          <w:szCs w:val="24"/>
        </w:rPr>
        <w:t xml:space="preserve"> et de compléter les onglets du dossier d’inventaire. </w:t>
      </w:r>
    </w:p>
    <w:p w14:paraId="33169FFB" w14:textId="77777777" w:rsidR="00037A92" w:rsidRPr="00D222E9" w:rsidRDefault="00037A92" w:rsidP="00037A92">
      <w:pPr>
        <w:rPr>
          <w:rFonts w:ascii="Calibri" w:hAnsi="Calibri" w:cs="Calibri"/>
          <w:i/>
          <w:iCs/>
          <w:sz w:val="22"/>
        </w:rPr>
      </w:pPr>
      <w:r w:rsidRPr="00D222E9">
        <w:rPr>
          <w:rFonts w:ascii="Calibri" w:hAnsi="Calibri" w:cs="Calibri"/>
          <w:i/>
          <w:iCs/>
          <w:sz w:val="22"/>
        </w:rPr>
        <w:t>Vous prendrez soin de reprendre les opérations concernant les immobilisations</w:t>
      </w:r>
      <w:r>
        <w:rPr>
          <w:rFonts w:ascii="Calibri" w:hAnsi="Calibri" w:cs="Calibri"/>
          <w:i/>
          <w:iCs/>
          <w:sz w:val="22"/>
        </w:rPr>
        <w:t xml:space="preserve"> et</w:t>
      </w:r>
      <w:r w:rsidRPr="00D222E9">
        <w:rPr>
          <w:rFonts w:ascii="Calibri" w:hAnsi="Calibri" w:cs="Calibri"/>
          <w:i/>
          <w:iCs/>
          <w:sz w:val="22"/>
        </w:rPr>
        <w:t xml:space="preserve"> l’intéressement (</w:t>
      </w:r>
      <w:proofErr w:type="spellStart"/>
      <w:r w:rsidRPr="00D222E9">
        <w:rPr>
          <w:rFonts w:ascii="Calibri" w:hAnsi="Calibri" w:cs="Calibri"/>
          <w:i/>
          <w:iCs/>
          <w:sz w:val="22"/>
        </w:rPr>
        <w:t>AGENCEPUB</w:t>
      </w:r>
      <w:proofErr w:type="spellEnd"/>
      <w:r w:rsidRPr="00D222E9">
        <w:rPr>
          <w:rFonts w:ascii="Calibri" w:hAnsi="Calibri" w:cs="Calibri"/>
          <w:i/>
          <w:iCs/>
          <w:sz w:val="22"/>
        </w:rPr>
        <w:t xml:space="preserve"> 1</w:t>
      </w:r>
      <w:r>
        <w:rPr>
          <w:rFonts w:ascii="Calibri" w:hAnsi="Calibri" w:cs="Calibri"/>
          <w:i/>
          <w:iCs/>
          <w:sz w:val="22"/>
        </w:rPr>
        <w:t xml:space="preserve"> ou </w:t>
      </w:r>
      <w:bookmarkStart w:id="10" w:name="_Hlk219211776"/>
      <w:r w:rsidRPr="00DB052E">
        <w:rPr>
          <w:rFonts w:ascii="Calibri" w:hAnsi="Calibri" w:cs="Calibri"/>
          <w:bCs/>
          <w:sz w:val="22"/>
        </w:rPr>
        <w:t>Sujet_SP_agencepub2_informations_inventaire</w:t>
      </w:r>
      <w:r>
        <w:rPr>
          <w:rFonts w:ascii="Calibri" w:hAnsi="Calibri" w:cs="Calibri"/>
          <w:bCs/>
          <w:sz w:val="22"/>
        </w:rPr>
        <w:t>.docx</w:t>
      </w:r>
      <w:bookmarkEnd w:id="10"/>
      <w:r w:rsidRPr="00D222E9">
        <w:rPr>
          <w:rFonts w:ascii="Calibri" w:hAnsi="Calibri" w:cs="Calibri"/>
          <w:i/>
          <w:iCs/>
          <w:sz w:val="22"/>
        </w:rPr>
        <w:t>) que vous reporterez dans ce même dossier.</w:t>
      </w:r>
    </w:p>
    <w:p w14:paraId="6C8A49D9" w14:textId="77777777" w:rsidR="00713E2F" w:rsidRPr="00691C48" w:rsidRDefault="00713E2F" w:rsidP="00713E2F">
      <w:pPr>
        <w:rPr>
          <w:rFonts w:asciiTheme="minorHAnsi" w:hAnsiTheme="minorHAnsi" w:cstheme="minorHAnsi"/>
          <w:szCs w:val="24"/>
        </w:rPr>
      </w:pPr>
      <w:r w:rsidRPr="00691C48">
        <w:rPr>
          <w:rFonts w:asciiTheme="minorHAnsi" w:hAnsiTheme="minorHAnsi" w:cstheme="minorHAnsi"/>
          <w:szCs w:val="24"/>
        </w:rPr>
        <w:t xml:space="preserve">Si des écritures ont été erronées ou oubliées, vous les saisirez dans le </w:t>
      </w:r>
      <w:proofErr w:type="spellStart"/>
      <w:r w:rsidRPr="00691C48">
        <w:rPr>
          <w:rFonts w:asciiTheme="minorHAnsi" w:hAnsiTheme="minorHAnsi" w:cstheme="minorHAnsi"/>
          <w:szCs w:val="24"/>
        </w:rPr>
        <w:t>PGI</w:t>
      </w:r>
      <w:proofErr w:type="spellEnd"/>
      <w:r w:rsidRPr="00691C48">
        <w:rPr>
          <w:rFonts w:asciiTheme="minorHAnsi" w:hAnsiTheme="minorHAnsi" w:cstheme="minorHAnsi"/>
          <w:szCs w:val="24"/>
        </w:rPr>
        <w:t xml:space="preserve"> dans le journal des opérations diverses </w:t>
      </w:r>
      <w:r w:rsidRPr="00691C48">
        <w:rPr>
          <w:rFonts w:asciiTheme="minorHAnsi" w:hAnsiTheme="minorHAnsi" w:cstheme="minorHAnsi"/>
          <w:b/>
          <w:szCs w:val="24"/>
        </w:rPr>
        <w:t>INV</w:t>
      </w:r>
      <w:r w:rsidRPr="00691C48">
        <w:rPr>
          <w:rFonts w:asciiTheme="minorHAnsi" w:hAnsiTheme="minorHAnsi" w:cstheme="minorHAnsi"/>
          <w:szCs w:val="24"/>
        </w:rPr>
        <w:t>.</w:t>
      </w:r>
    </w:p>
    <w:bookmarkEnd w:id="9"/>
    <w:p w14:paraId="5AF7D5ED" w14:textId="77777777" w:rsidR="00037A92" w:rsidRDefault="00037A92">
      <w:pPr>
        <w:spacing w:after="160"/>
        <w:jc w:val="left"/>
        <w:rPr>
          <w:rFonts w:asciiTheme="minorHAnsi" w:hAnsiTheme="minorHAnsi" w:cstheme="minorHAnsi"/>
          <w:b/>
          <w:szCs w:val="24"/>
        </w:rPr>
      </w:pPr>
    </w:p>
    <w:p w14:paraId="4BB61E38" w14:textId="43B03BED" w:rsidR="009636A6" w:rsidRDefault="009636A6">
      <w:pPr>
        <w:spacing w:after="160"/>
        <w:jc w:val="left"/>
        <w:rPr>
          <w:b/>
          <w:color w:val="92754C" w:themeColor="text2"/>
          <w:sz w:val="16"/>
          <w:szCs w:val="16"/>
        </w:rPr>
      </w:pPr>
      <w:r>
        <w:rPr>
          <w:b/>
          <w:color w:val="92754C" w:themeColor="text2"/>
          <w:sz w:val="16"/>
          <w:szCs w:val="16"/>
        </w:rPr>
        <w:br w:type="page"/>
      </w:r>
    </w:p>
    <w:p w14:paraId="55A957BC" w14:textId="77777777" w:rsidR="00215023" w:rsidRPr="007A4E37" w:rsidRDefault="00215023" w:rsidP="00215023">
      <w:pPr>
        <w:rPr>
          <w:b/>
          <w:color w:val="92754C" w:themeColor="text2"/>
          <w:sz w:val="16"/>
          <w:szCs w:val="16"/>
        </w:rPr>
      </w:pPr>
    </w:p>
    <w:p w14:paraId="24B21EA4" w14:textId="25B15EFA" w:rsidR="00215023" w:rsidRPr="00215023" w:rsidRDefault="00215023" w:rsidP="00215023">
      <w:pPr>
        <w:rPr>
          <w:rFonts w:eastAsiaTheme="majorEastAsia" w:cstheme="majorBidi"/>
          <w:color w:val="B03434"/>
          <w:sz w:val="32"/>
          <w:szCs w:val="32"/>
        </w:rPr>
      </w:pPr>
      <w:r w:rsidRPr="00215023">
        <w:rPr>
          <w:rFonts w:eastAsiaTheme="majorEastAsia" w:cstheme="majorBidi"/>
          <w:color w:val="B03434"/>
          <w:sz w:val="32"/>
          <w:szCs w:val="32"/>
        </w:rPr>
        <w:t xml:space="preserve">Mission 2 :  </w:t>
      </w:r>
      <w:r w:rsidR="00F31098">
        <w:rPr>
          <w:rFonts w:eastAsiaTheme="majorEastAsia" w:cstheme="majorBidi"/>
          <w:color w:val="B03434"/>
          <w:sz w:val="32"/>
          <w:szCs w:val="32"/>
        </w:rPr>
        <w:t>Calcul et enregistrement de l’impôt sur les sociétés</w:t>
      </w:r>
    </w:p>
    <w:p w14:paraId="76481E7A" w14:textId="77777777" w:rsidR="00037A92" w:rsidRPr="00037A92" w:rsidRDefault="00037A92" w:rsidP="00037A92">
      <w:pPr>
        <w:rPr>
          <w:rFonts w:ascii="Calibri" w:hAnsi="Calibri" w:cs="Calibri"/>
          <w:szCs w:val="24"/>
        </w:rPr>
      </w:pPr>
      <w:bookmarkStart w:id="11" w:name="_Hlk182552380"/>
      <w:r w:rsidRPr="00037A92">
        <w:rPr>
          <w:rFonts w:ascii="Calibri" w:hAnsi="Calibri" w:cs="Calibri"/>
          <w:szCs w:val="24"/>
        </w:rPr>
        <w:t xml:space="preserve">Mme Marvelli vous demande de réaliser une recherche sur la situation de la société au regard de l’imposition de son résultat fiscal, en choisissant la source adéquate. Vous devrez indiquer si la SARL bénéficie d’un taux spécial d’imposition et dans quelle mesure. </w:t>
      </w:r>
    </w:p>
    <w:p w14:paraId="47C62229" w14:textId="4B6CBE69" w:rsidR="00037A92" w:rsidRPr="00037A92" w:rsidRDefault="00037A92" w:rsidP="00037A92">
      <w:pPr>
        <w:rPr>
          <w:rFonts w:ascii="Calibri" w:hAnsi="Calibri" w:cs="Calibri"/>
          <w:szCs w:val="24"/>
        </w:rPr>
      </w:pPr>
      <w:r w:rsidRPr="00037A92">
        <w:rPr>
          <w:rFonts w:ascii="Calibri" w:hAnsi="Calibri" w:cs="Calibri"/>
          <w:szCs w:val="24"/>
        </w:rPr>
        <w:t>La comptable vous demande de réaliser des recherches concernant les limites de déductibilité des amortissements des véhicules de tourisme, de la déductibilité des amendes et pénalités, de la limitation de déductibilité des intérêts de comptes courants et du taux actuel à utiliser (prendre celui le</w:t>
      </w:r>
      <w:r>
        <w:rPr>
          <w:rFonts w:ascii="Calibri" w:hAnsi="Calibri" w:cs="Calibri"/>
          <w:szCs w:val="24"/>
        </w:rPr>
        <w:t xml:space="preserve"> plus</w:t>
      </w:r>
      <w:r w:rsidRPr="00037A92">
        <w:rPr>
          <w:rFonts w:ascii="Calibri" w:hAnsi="Calibri" w:cs="Calibri"/>
          <w:szCs w:val="24"/>
        </w:rPr>
        <w:t xml:space="preserve"> proche en date), sur la déductibilité de la taxe sur les véhicules des sociétés constituée de </w:t>
      </w:r>
      <w:r w:rsidRPr="00037A92">
        <w:rPr>
          <w:rStyle w:val="lev"/>
          <w:rFonts w:ascii="Calibri" w:hAnsi="Calibri" w:cs="Calibri"/>
          <w:b w:val="0"/>
          <w:bCs w:val="0"/>
          <w:szCs w:val="24"/>
        </w:rPr>
        <w:t xml:space="preserve">la taxe annuelle sur les émissions de CO2 et de la taxe annuelle sur les émissions de polluants atmosphériques </w:t>
      </w:r>
      <w:r w:rsidRPr="00037A92">
        <w:rPr>
          <w:rFonts w:ascii="Calibri" w:hAnsi="Calibri" w:cs="Calibri"/>
          <w:szCs w:val="24"/>
        </w:rPr>
        <w:t xml:space="preserve">de </w:t>
      </w:r>
      <w:r>
        <w:rPr>
          <w:rFonts w:ascii="Calibri" w:hAnsi="Calibri" w:cs="Calibri"/>
          <w:szCs w:val="24"/>
        </w:rPr>
        <w:t>l’exercice concerné</w:t>
      </w:r>
      <w:r w:rsidRPr="00037A92">
        <w:rPr>
          <w:rFonts w:ascii="Calibri" w:hAnsi="Calibri" w:cs="Calibri"/>
          <w:szCs w:val="24"/>
        </w:rPr>
        <w:t>.</w:t>
      </w:r>
    </w:p>
    <w:p w14:paraId="171951D8" w14:textId="77777777" w:rsidR="00037A92" w:rsidRPr="00037A92" w:rsidRDefault="00037A92" w:rsidP="00037A92">
      <w:pPr>
        <w:rPr>
          <w:rFonts w:ascii="Calibri" w:hAnsi="Calibri" w:cs="Calibri"/>
          <w:szCs w:val="24"/>
        </w:rPr>
      </w:pPr>
    </w:p>
    <w:p w14:paraId="416581DE" w14:textId="77777777" w:rsidR="00037A92" w:rsidRPr="00037A92" w:rsidRDefault="00037A92" w:rsidP="00037A92">
      <w:pPr>
        <w:rPr>
          <w:rFonts w:ascii="Calibri" w:hAnsi="Calibri" w:cs="Calibri"/>
          <w:b/>
          <w:bCs/>
          <w:szCs w:val="24"/>
        </w:rPr>
      </w:pPr>
      <w:r w:rsidRPr="00037A92">
        <w:rPr>
          <w:rFonts w:ascii="Calibri" w:hAnsi="Calibri" w:cs="Calibri"/>
          <w:b/>
          <w:bCs/>
          <w:szCs w:val="24"/>
        </w:rPr>
        <w:t>Pour cela, vous réaliserez une note de synthèse à l’attention de Mme Marvelli contenant le résultat de vos recherches.</w:t>
      </w:r>
    </w:p>
    <w:p w14:paraId="5B457590" w14:textId="4992C61F" w:rsidR="00037A92" w:rsidRDefault="00037A92" w:rsidP="00037A92">
      <w:pPr>
        <w:rPr>
          <w:rFonts w:ascii="Calibri" w:hAnsi="Calibri" w:cs="Calibri"/>
          <w:b/>
          <w:bCs/>
          <w:szCs w:val="24"/>
        </w:rPr>
      </w:pPr>
      <w:r w:rsidRPr="00037A92">
        <w:rPr>
          <w:rFonts w:asciiTheme="minorHAnsi" w:hAnsiTheme="minorHAnsi" w:cstheme="minorHAnsi"/>
          <w:bCs/>
          <w:szCs w:val="24"/>
        </w:rPr>
        <w:t>À partir</w:t>
      </w:r>
      <w:r w:rsidRPr="00037A92">
        <w:rPr>
          <w:rFonts w:ascii="Calibri" w:hAnsi="Calibri" w:cs="Calibri"/>
          <w:bCs/>
          <w:szCs w:val="24"/>
        </w:rPr>
        <w:t xml:space="preserve"> des informations recueillis et la ressource Sujet_SP_agencepub2_CERFA_2058.xls créée sur tableur</w:t>
      </w:r>
      <w:r w:rsidRPr="00037A92">
        <w:rPr>
          <w:rFonts w:ascii="Calibri" w:hAnsi="Calibri" w:cs="Calibri"/>
          <w:b/>
          <w:szCs w:val="24"/>
        </w:rPr>
        <w:t>,</w:t>
      </w:r>
      <w:r>
        <w:rPr>
          <w:rFonts w:ascii="Calibri" w:hAnsi="Calibri" w:cs="Calibri"/>
          <w:b/>
          <w:szCs w:val="24"/>
        </w:rPr>
        <w:t xml:space="preserve"> v</w:t>
      </w:r>
      <w:r w:rsidRPr="00037A92">
        <w:rPr>
          <w:rFonts w:ascii="Calibri" w:hAnsi="Calibri" w:cs="Calibri"/>
          <w:b/>
          <w:bCs/>
          <w:szCs w:val="24"/>
        </w:rPr>
        <w:t xml:space="preserve">otre mission consiste à préparer et justifier les éléments permettant de calculer le résultat net et l’impôt sur les sociétés pour l’exercice N. </w:t>
      </w:r>
    </w:p>
    <w:p w14:paraId="5A86049E" w14:textId="0DED14D9" w:rsidR="00037A92" w:rsidRPr="00037A92" w:rsidRDefault="00037A92" w:rsidP="00037A92">
      <w:pPr>
        <w:rPr>
          <w:rFonts w:ascii="Calibri" w:hAnsi="Calibri" w:cs="Calibri"/>
          <w:szCs w:val="24"/>
        </w:rPr>
      </w:pPr>
      <w:r w:rsidRPr="00037A92">
        <w:rPr>
          <w:rFonts w:ascii="Calibri" w:hAnsi="Calibri" w:cs="Calibri"/>
          <w:b/>
          <w:bCs/>
          <w:szCs w:val="24"/>
        </w:rPr>
        <w:t xml:space="preserve">Vous pourrez compléter l’onglet IS dans le dossier de révision </w:t>
      </w:r>
      <w:r w:rsidRPr="00037A92">
        <w:rPr>
          <w:rFonts w:ascii="Calibri" w:hAnsi="Calibri" w:cs="Calibri"/>
          <w:bCs/>
          <w:szCs w:val="24"/>
        </w:rPr>
        <w:t>Sujet_SP_agencepub2_dossier_revision.xls</w:t>
      </w:r>
      <w:r w:rsidRPr="00037A92">
        <w:rPr>
          <w:rFonts w:ascii="Calibri" w:hAnsi="Calibri" w:cs="Calibri"/>
          <w:b/>
          <w:bCs/>
          <w:szCs w:val="24"/>
        </w:rPr>
        <w:t xml:space="preserve"> mis à votre disposition</w:t>
      </w:r>
      <w:r w:rsidRPr="00037A92">
        <w:rPr>
          <w:rFonts w:ascii="Calibri" w:hAnsi="Calibri" w:cs="Calibri"/>
          <w:szCs w:val="24"/>
        </w:rPr>
        <w:t xml:space="preserve">. </w:t>
      </w:r>
    </w:p>
    <w:p w14:paraId="626BFE3C" w14:textId="77777777" w:rsidR="00037A92" w:rsidRPr="00037A92" w:rsidRDefault="00037A92" w:rsidP="00037A92">
      <w:pPr>
        <w:rPr>
          <w:rFonts w:ascii="Calibri" w:hAnsi="Calibri" w:cs="Calibri"/>
          <w:szCs w:val="24"/>
        </w:rPr>
      </w:pPr>
      <w:r w:rsidRPr="00037A92">
        <w:rPr>
          <w:rFonts w:ascii="Calibri" w:hAnsi="Calibri" w:cs="Calibri"/>
          <w:b/>
          <w:bCs/>
          <w:szCs w:val="24"/>
        </w:rPr>
        <w:t xml:space="preserve">Vous procéderez à l’écriture de constatation de l’impôt sur les sociétés dans un journal des opérations diverses appelé </w:t>
      </w:r>
      <w:proofErr w:type="spellStart"/>
      <w:r w:rsidRPr="00037A92">
        <w:rPr>
          <w:rFonts w:ascii="Calibri" w:hAnsi="Calibri" w:cs="Calibri"/>
          <w:b/>
          <w:bCs/>
          <w:szCs w:val="24"/>
        </w:rPr>
        <w:t>INV</w:t>
      </w:r>
      <w:proofErr w:type="spellEnd"/>
      <w:r w:rsidRPr="00037A92">
        <w:rPr>
          <w:rFonts w:ascii="Calibri" w:hAnsi="Calibri" w:cs="Calibri"/>
          <w:b/>
          <w:bCs/>
          <w:szCs w:val="24"/>
        </w:rPr>
        <w:t xml:space="preserve"> que vous aurez créé et vous éditerez une balance après inventaire</w:t>
      </w:r>
      <w:r w:rsidRPr="00037A92">
        <w:rPr>
          <w:rFonts w:ascii="Calibri" w:hAnsi="Calibri" w:cs="Calibri"/>
          <w:szCs w:val="24"/>
        </w:rPr>
        <w:t>.</w:t>
      </w:r>
    </w:p>
    <w:p w14:paraId="64051FA8" w14:textId="77777777" w:rsidR="00037A92" w:rsidRPr="00037A92" w:rsidRDefault="00037A92" w:rsidP="00037A92">
      <w:pPr>
        <w:rPr>
          <w:rFonts w:ascii="Calibri" w:hAnsi="Calibri" w:cs="Calibri"/>
          <w:szCs w:val="24"/>
        </w:rPr>
      </w:pPr>
    </w:p>
    <w:p w14:paraId="339C6465" w14:textId="77777777" w:rsidR="00037A92" w:rsidRPr="00037A92" w:rsidRDefault="00037A92" w:rsidP="00037A92">
      <w:pPr>
        <w:rPr>
          <w:rFonts w:ascii="Calibri" w:hAnsi="Calibri" w:cs="Calibri"/>
          <w:szCs w:val="24"/>
        </w:rPr>
      </w:pPr>
      <w:r w:rsidRPr="00037A92">
        <w:rPr>
          <w:rFonts w:ascii="Calibri" w:hAnsi="Calibri" w:cs="Calibri"/>
          <w:b/>
          <w:bCs/>
          <w:szCs w:val="24"/>
        </w:rPr>
        <w:t>Vous utiliserez ces calculs afin de présenter un échéancier fiscal d’impôt sur les sociétés pour l’exercice N+1</w:t>
      </w:r>
      <w:r w:rsidRPr="00037A92">
        <w:rPr>
          <w:rFonts w:ascii="Calibri" w:hAnsi="Calibri" w:cs="Calibri"/>
          <w:szCs w:val="24"/>
        </w:rPr>
        <w:t>.</w:t>
      </w:r>
    </w:p>
    <w:p w14:paraId="11C453E8" w14:textId="77777777" w:rsidR="00037A92" w:rsidRPr="00037A92" w:rsidRDefault="00037A92" w:rsidP="00037A92">
      <w:pPr>
        <w:rPr>
          <w:rFonts w:ascii="Calibri" w:hAnsi="Calibri" w:cs="Calibri"/>
          <w:szCs w:val="24"/>
        </w:rPr>
      </w:pPr>
      <w:r w:rsidRPr="00037A92">
        <w:rPr>
          <w:rFonts w:ascii="Calibri" w:hAnsi="Calibri" w:cs="Calibri"/>
          <w:b/>
          <w:bCs/>
          <w:szCs w:val="24"/>
        </w:rPr>
        <w:t>Pour terminer, vous éditerez les comptes annuels (bilan et compte de résultat) après écriture. Vous vérifierez la cohérence des informations du compte de résultat et du bilan que vous intégrerez à la note de synthèse</w:t>
      </w:r>
      <w:r w:rsidRPr="00037A92">
        <w:rPr>
          <w:rFonts w:ascii="Calibri" w:hAnsi="Calibri" w:cs="Calibri"/>
          <w:szCs w:val="24"/>
        </w:rPr>
        <w:t>.</w:t>
      </w:r>
    </w:p>
    <w:p w14:paraId="335F0AE1" w14:textId="77777777" w:rsidR="00F31098" w:rsidRPr="00303369" w:rsidRDefault="00F31098" w:rsidP="00F31098">
      <w:pPr>
        <w:rPr>
          <w:rFonts w:ascii="Calibri" w:hAnsi="Calibri" w:cs="Calibri"/>
          <w:sz w:val="22"/>
        </w:rPr>
      </w:pPr>
    </w:p>
    <w:bookmarkEnd w:id="11"/>
    <w:p w14:paraId="2B0A3568" w14:textId="657435F9" w:rsidR="00215023" w:rsidRPr="007A4E37" w:rsidRDefault="00215023" w:rsidP="00215023">
      <w:pPr>
        <w:rPr>
          <w:b/>
          <w:color w:val="92754C" w:themeColor="text2"/>
          <w:szCs w:val="24"/>
        </w:rPr>
      </w:pPr>
      <w:r w:rsidRPr="00215023">
        <w:rPr>
          <w:rFonts w:eastAsiaTheme="majorEastAsia" w:cstheme="majorBidi"/>
          <w:color w:val="B03434"/>
          <w:sz w:val="32"/>
          <w:szCs w:val="32"/>
        </w:rPr>
        <w:t>Mission 3</w:t>
      </w:r>
      <w:r w:rsidRPr="007A4E37">
        <w:rPr>
          <w:b/>
          <w:color w:val="92754C" w:themeColor="text2"/>
          <w:szCs w:val="24"/>
        </w:rPr>
        <w:t xml:space="preserve"> : </w:t>
      </w:r>
      <w:r>
        <w:rPr>
          <w:b/>
          <w:color w:val="92754C" w:themeColor="text2"/>
          <w:szCs w:val="24"/>
        </w:rPr>
        <w:t xml:space="preserve"> </w:t>
      </w:r>
      <w:r w:rsidR="00962BA9">
        <w:rPr>
          <w:rFonts w:eastAsiaTheme="majorEastAsia" w:cstheme="majorBidi"/>
          <w:color w:val="B03434"/>
          <w:sz w:val="32"/>
          <w:szCs w:val="32"/>
        </w:rPr>
        <w:t>Résolution des difficultés d’archivage des comptes annuels</w:t>
      </w:r>
    </w:p>
    <w:p w14:paraId="53410D9A" w14:textId="2122C020" w:rsidR="00691C48" w:rsidRDefault="00962BA9" w:rsidP="00962BA9">
      <w:pPr>
        <w:rPr>
          <w:rFonts w:asciiTheme="minorHAnsi" w:hAnsiTheme="minorHAnsi" w:cstheme="minorHAnsi"/>
          <w:szCs w:val="24"/>
        </w:rPr>
      </w:pPr>
      <w:r w:rsidRPr="00691C48">
        <w:rPr>
          <w:rFonts w:asciiTheme="minorHAnsi" w:hAnsiTheme="minorHAnsi" w:cstheme="minorHAnsi"/>
          <w:szCs w:val="24"/>
        </w:rPr>
        <w:t>M. Marvelli est inquiet de la perte du fichier du dossier d’inventaire réalisé par sa comptable. Le système informatique est pour le moment très simple et composé d’un réseau en étoile composé de 8 postes.  Il a discuté avec d’autres dirigeants de PME, lors d’un séminaire sur la sécurité informatique, des formes de conservation et de restitution des informations. Il vous transmet un courriel « Sujet_SP_agencepub2_courriels.docx</w:t>
      </w:r>
      <w:r w:rsidR="00691C48">
        <w:rPr>
          <w:rFonts w:asciiTheme="minorHAnsi" w:hAnsiTheme="minorHAnsi" w:cstheme="minorHAnsi"/>
          <w:szCs w:val="24"/>
        </w:rPr>
        <w:t>.</w:t>
      </w:r>
    </w:p>
    <w:p w14:paraId="4D316277" w14:textId="77777777" w:rsidR="00691C48" w:rsidRDefault="00691C48" w:rsidP="00962BA9">
      <w:pPr>
        <w:rPr>
          <w:rFonts w:asciiTheme="minorHAnsi" w:hAnsiTheme="minorHAnsi" w:cstheme="minorHAnsi"/>
          <w:szCs w:val="24"/>
        </w:rPr>
      </w:pPr>
    </w:p>
    <w:p w14:paraId="5C96E760" w14:textId="7FE57768" w:rsidR="00962BA9" w:rsidRPr="00691C48" w:rsidRDefault="00691C48" w:rsidP="00962BA9">
      <w:pPr>
        <w:rPr>
          <w:rFonts w:asciiTheme="minorHAnsi" w:hAnsiTheme="minorHAnsi" w:cstheme="minorHAnsi"/>
          <w:b/>
          <w:szCs w:val="24"/>
          <w:u w:val="single"/>
        </w:rPr>
      </w:pPr>
      <w:r w:rsidRPr="00691C48">
        <w:rPr>
          <w:rFonts w:asciiTheme="minorHAnsi" w:hAnsiTheme="minorHAnsi" w:cstheme="minorHAnsi"/>
          <w:b/>
          <w:szCs w:val="24"/>
        </w:rPr>
        <w:t>Vous répondrez aux demandes de M. Marvelli par courriel.</w:t>
      </w:r>
    </w:p>
    <w:p w14:paraId="33DAE61E" w14:textId="2FB77F6F" w:rsidR="00215023" w:rsidRPr="00057633" w:rsidRDefault="00215023" w:rsidP="00215023">
      <w:bookmarkStart w:id="12" w:name="_Hlk182552606"/>
    </w:p>
    <w:bookmarkEnd w:id="12"/>
    <w:p w14:paraId="6FBAEB75" w14:textId="7242F161" w:rsidR="00A1413F" w:rsidRDefault="00A1413F">
      <w:pPr>
        <w:spacing w:after="160"/>
        <w:jc w:val="left"/>
        <w:rPr>
          <w:sz w:val="16"/>
          <w:szCs w:val="16"/>
        </w:rPr>
      </w:pPr>
      <w:r>
        <w:rPr>
          <w:sz w:val="16"/>
          <w:szCs w:val="16"/>
        </w:rPr>
        <w:br w:type="page"/>
      </w:r>
    </w:p>
    <w:p w14:paraId="0D3302AA" w14:textId="77777777" w:rsidR="00215023" w:rsidRPr="00265EB3" w:rsidRDefault="00215023" w:rsidP="00215023">
      <w:pPr>
        <w:rPr>
          <w:sz w:val="16"/>
          <w:szCs w:val="16"/>
        </w:rPr>
      </w:pPr>
    </w:p>
    <w:p w14:paraId="70E7CA2F" w14:textId="77777777" w:rsidR="00215023" w:rsidRPr="005E4AF9" w:rsidRDefault="00215023" w:rsidP="00215023">
      <w:pPr>
        <w:rPr>
          <w:b/>
          <w:color w:val="92754C" w:themeColor="text2"/>
          <w:u w:val="single"/>
        </w:rPr>
      </w:pPr>
      <w:r w:rsidRPr="00215023">
        <w:rPr>
          <w:rFonts w:eastAsiaTheme="majorEastAsia" w:cstheme="majorBidi"/>
          <w:b/>
          <w:color w:val="B03434"/>
          <w:sz w:val="32"/>
          <w:szCs w:val="32"/>
        </w:rPr>
        <w:t>Les compétences ciblées et les résultats attendus :</w:t>
      </w:r>
    </w:p>
    <w:p w14:paraId="07444F75" w14:textId="77777777" w:rsidR="00215023" w:rsidRPr="00265EB3" w:rsidRDefault="00215023" w:rsidP="00215023">
      <w:pPr>
        <w:rPr>
          <w:sz w:val="16"/>
          <w:szCs w:val="16"/>
        </w:rPr>
      </w:pPr>
    </w:p>
    <w:p w14:paraId="62A90202" w14:textId="56734B48" w:rsidR="00215023" w:rsidRDefault="00215023" w:rsidP="00215023">
      <w:pPr>
        <w:rPr>
          <w:rFonts w:cs="Arial"/>
          <w:b/>
          <w:szCs w:val="24"/>
        </w:rPr>
      </w:pPr>
      <w:r w:rsidRPr="00715720">
        <w:rPr>
          <w:rFonts w:cs="Arial"/>
          <w:b/>
          <w:szCs w:val="24"/>
        </w:rPr>
        <w:t>Compétences principales des activités</w:t>
      </w:r>
      <w:r>
        <w:rPr>
          <w:rFonts w:cs="Arial"/>
          <w:b/>
          <w:szCs w:val="24"/>
        </w:rPr>
        <w:t xml:space="preserve"> 2.3, </w:t>
      </w:r>
      <w:r w:rsidR="00962BA9">
        <w:rPr>
          <w:rFonts w:cs="Arial"/>
          <w:b/>
          <w:szCs w:val="24"/>
        </w:rPr>
        <w:t>2.6</w:t>
      </w:r>
      <w:r>
        <w:rPr>
          <w:rFonts w:cs="Arial"/>
          <w:b/>
          <w:szCs w:val="24"/>
        </w:rPr>
        <w:t xml:space="preserve">, </w:t>
      </w:r>
      <w:r w:rsidR="00962BA9">
        <w:rPr>
          <w:rFonts w:cs="Arial"/>
          <w:b/>
          <w:szCs w:val="24"/>
        </w:rPr>
        <w:t>3</w:t>
      </w:r>
      <w:r>
        <w:rPr>
          <w:rFonts w:cs="Arial"/>
          <w:b/>
          <w:szCs w:val="24"/>
        </w:rPr>
        <w:t>.1</w:t>
      </w:r>
      <w:r w:rsidR="00962BA9">
        <w:rPr>
          <w:rFonts w:cs="Arial"/>
          <w:b/>
          <w:szCs w:val="24"/>
        </w:rPr>
        <w:t>, 3.</w:t>
      </w:r>
      <w:r>
        <w:rPr>
          <w:rFonts w:cs="Arial"/>
          <w:b/>
          <w:szCs w:val="24"/>
        </w:rPr>
        <w:t>3</w:t>
      </w:r>
      <w:r w:rsidR="00962BA9">
        <w:rPr>
          <w:rFonts w:cs="Arial"/>
          <w:b/>
          <w:szCs w:val="24"/>
        </w:rPr>
        <w:t xml:space="preserve"> et 7.3</w:t>
      </w:r>
    </w:p>
    <w:p w14:paraId="08BF0403" w14:textId="77777777" w:rsidR="00215023" w:rsidRPr="00265EB3" w:rsidRDefault="00215023" w:rsidP="00215023">
      <w:pPr>
        <w:rPr>
          <w:rFonts w:cs="Arial"/>
          <w:b/>
          <w:sz w:val="16"/>
          <w:szCs w:val="16"/>
        </w:rPr>
      </w:pPr>
    </w:p>
    <w:p w14:paraId="04FA627A" w14:textId="2736A3FD" w:rsidR="00962BA9" w:rsidRDefault="00962BA9" w:rsidP="00215023">
      <w:pPr>
        <w:pStyle w:val="Paragraphedeliste"/>
        <w:numPr>
          <w:ilvl w:val="0"/>
          <w:numId w:val="19"/>
        </w:numPr>
        <w:spacing w:line="240" w:lineRule="auto"/>
        <w:ind w:left="426" w:right="-144"/>
        <w:jc w:val="left"/>
        <w:rPr>
          <w:color w:val="634D4D" w:themeColor="text1"/>
        </w:rPr>
      </w:pPr>
      <w:r w:rsidRPr="00962BA9">
        <w:rPr>
          <w:color w:val="634D4D" w:themeColor="text1"/>
        </w:rPr>
        <w:t>Réalisation des opérations d’inventaire</w:t>
      </w:r>
    </w:p>
    <w:p w14:paraId="763DF3DA" w14:textId="60822103" w:rsidR="00962BA9" w:rsidRPr="00962BA9" w:rsidRDefault="00962BA9" w:rsidP="00215023">
      <w:pPr>
        <w:pStyle w:val="Paragraphedeliste"/>
        <w:numPr>
          <w:ilvl w:val="0"/>
          <w:numId w:val="19"/>
        </w:numPr>
        <w:spacing w:line="240" w:lineRule="auto"/>
        <w:ind w:left="426" w:right="-144"/>
        <w:jc w:val="left"/>
        <w:rPr>
          <w:color w:val="634D4D" w:themeColor="text1"/>
        </w:rPr>
      </w:pPr>
      <w:r>
        <w:rPr>
          <w:color w:val="634D4D" w:themeColor="text1"/>
        </w:rPr>
        <w:t>Utilisation d’un document professionnel d’inventaire</w:t>
      </w:r>
    </w:p>
    <w:p w14:paraId="7EB5BB1F" w14:textId="77777777" w:rsidR="00691C48" w:rsidRPr="00962BA9" w:rsidRDefault="00691C48" w:rsidP="00691C48">
      <w:pPr>
        <w:pStyle w:val="Paragraphedeliste"/>
        <w:numPr>
          <w:ilvl w:val="0"/>
          <w:numId w:val="19"/>
        </w:numPr>
        <w:spacing w:line="240" w:lineRule="auto"/>
        <w:ind w:left="426" w:right="-144"/>
        <w:jc w:val="left"/>
        <w:rPr>
          <w:color w:val="634D4D" w:themeColor="text1"/>
        </w:rPr>
      </w:pPr>
      <w:r w:rsidRPr="00962BA9">
        <w:rPr>
          <w:color w:val="634D4D" w:themeColor="text1"/>
        </w:rPr>
        <w:t>Recherche de règlementations fiscales.</w:t>
      </w:r>
    </w:p>
    <w:p w14:paraId="01C400A5" w14:textId="77777777" w:rsidR="00691C48" w:rsidRDefault="00691C48" w:rsidP="00691C48">
      <w:pPr>
        <w:pStyle w:val="Paragraphedeliste"/>
        <w:numPr>
          <w:ilvl w:val="0"/>
          <w:numId w:val="19"/>
        </w:numPr>
        <w:spacing w:line="240" w:lineRule="auto"/>
        <w:ind w:left="426" w:right="-144"/>
        <w:jc w:val="left"/>
        <w:rPr>
          <w:color w:val="634D4D" w:themeColor="text1"/>
        </w:rPr>
      </w:pPr>
      <w:r>
        <w:rPr>
          <w:color w:val="634D4D" w:themeColor="text1"/>
        </w:rPr>
        <w:t xml:space="preserve">Calcul du résultat comptable </w:t>
      </w:r>
    </w:p>
    <w:p w14:paraId="611D4236" w14:textId="77777777" w:rsidR="00691C48" w:rsidRPr="00962BA9" w:rsidRDefault="00691C48" w:rsidP="00691C48">
      <w:pPr>
        <w:pStyle w:val="Paragraphedeliste"/>
        <w:numPr>
          <w:ilvl w:val="0"/>
          <w:numId w:val="19"/>
        </w:numPr>
        <w:spacing w:line="240" w:lineRule="auto"/>
        <w:ind w:left="426" w:right="-144"/>
        <w:jc w:val="left"/>
        <w:rPr>
          <w:color w:val="634D4D" w:themeColor="text1"/>
        </w:rPr>
      </w:pPr>
      <w:r>
        <w:rPr>
          <w:color w:val="634D4D" w:themeColor="text1"/>
        </w:rPr>
        <w:t>Application du résultat des recherches pour la réalisation d’un</w:t>
      </w:r>
      <w:r w:rsidRPr="00962BA9">
        <w:rPr>
          <w:color w:val="634D4D" w:themeColor="text1"/>
        </w:rPr>
        <w:t xml:space="preserve"> </w:t>
      </w:r>
      <w:r>
        <w:rPr>
          <w:color w:val="634D4D" w:themeColor="text1"/>
        </w:rPr>
        <w:t>calcul de résultat fiscal</w:t>
      </w:r>
    </w:p>
    <w:p w14:paraId="40C69201" w14:textId="493322BF" w:rsidR="00215023" w:rsidRPr="00962BA9" w:rsidRDefault="00962BA9" w:rsidP="00215023">
      <w:pPr>
        <w:pStyle w:val="Paragraphedeliste"/>
        <w:numPr>
          <w:ilvl w:val="0"/>
          <w:numId w:val="19"/>
        </w:numPr>
        <w:spacing w:line="240" w:lineRule="auto"/>
        <w:ind w:left="426" w:right="-144"/>
        <w:jc w:val="left"/>
        <w:rPr>
          <w:color w:val="634D4D" w:themeColor="text1"/>
        </w:rPr>
      </w:pPr>
      <w:r>
        <w:rPr>
          <w:color w:val="634D4D" w:themeColor="text1"/>
        </w:rPr>
        <w:t xml:space="preserve">Réalisation d’un document fiscal professionnel </w:t>
      </w:r>
      <w:proofErr w:type="spellStart"/>
      <w:r>
        <w:rPr>
          <w:color w:val="634D4D" w:themeColor="text1"/>
        </w:rPr>
        <w:t>CERFA</w:t>
      </w:r>
      <w:proofErr w:type="spellEnd"/>
      <w:r>
        <w:rPr>
          <w:color w:val="634D4D" w:themeColor="text1"/>
        </w:rPr>
        <w:t xml:space="preserve"> </w:t>
      </w:r>
    </w:p>
    <w:p w14:paraId="4251E99D" w14:textId="0BF65CF9" w:rsidR="00215023" w:rsidRDefault="00962BA9" w:rsidP="00215023">
      <w:pPr>
        <w:pStyle w:val="Paragraphedeliste"/>
        <w:numPr>
          <w:ilvl w:val="0"/>
          <w:numId w:val="19"/>
        </w:numPr>
        <w:spacing w:line="240" w:lineRule="auto"/>
        <w:ind w:left="426" w:right="-144"/>
        <w:jc w:val="left"/>
        <w:rPr>
          <w:bCs/>
          <w:color w:val="634D4D" w:themeColor="text1"/>
        </w:rPr>
      </w:pPr>
      <w:r>
        <w:rPr>
          <w:bCs/>
          <w:color w:val="634D4D" w:themeColor="text1"/>
        </w:rPr>
        <w:t xml:space="preserve">Calcul de l’imposition sur les sociétés </w:t>
      </w:r>
    </w:p>
    <w:p w14:paraId="05598285" w14:textId="34D5C6AD" w:rsidR="00962BA9" w:rsidRPr="00962BA9" w:rsidRDefault="00962BA9" w:rsidP="00215023">
      <w:pPr>
        <w:pStyle w:val="Paragraphedeliste"/>
        <w:numPr>
          <w:ilvl w:val="0"/>
          <w:numId w:val="19"/>
        </w:numPr>
        <w:spacing w:line="240" w:lineRule="auto"/>
        <w:ind w:left="426" w:right="-144"/>
        <w:jc w:val="left"/>
        <w:rPr>
          <w:bCs/>
          <w:color w:val="634D4D" w:themeColor="text1"/>
        </w:rPr>
      </w:pPr>
      <w:r>
        <w:rPr>
          <w:bCs/>
          <w:color w:val="634D4D" w:themeColor="text1"/>
        </w:rPr>
        <w:t>Réalisation d’un échéancier fiscal d’impôt sur les sociétés</w:t>
      </w:r>
    </w:p>
    <w:p w14:paraId="5B7BF5FD" w14:textId="124B64A9" w:rsidR="00215023" w:rsidRPr="00B2381C" w:rsidRDefault="00691C48" w:rsidP="00215023">
      <w:pPr>
        <w:pStyle w:val="Paragraphedeliste"/>
        <w:numPr>
          <w:ilvl w:val="0"/>
          <w:numId w:val="19"/>
        </w:numPr>
        <w:spacing w:line="240" w:lineRule="auto"/>
        <w:ind w:left="426" w:right="-144"/>
        <w:jc w:val="left"/>
        <w:rPr>
          <w:bCs/>
          <w:color w:val="634D4D" w:themeColor="text1"/>
        </w:rPr>
      </w:pPr>
      <w:r>
        <w:rPr>
          <w:bCs/>
          <w:color w:val="634D4D" w:themeColor="text1"/>
        </w:rPr>
        <w:t>Recherches concernant les notions de sauvegarde, d’archivage et de stockage et application à la société d’un moyen de stockage adapté.</w:t>
      </w:r>
    </w:p>
    <w:p w14:paraId="3D98CF77" w14:textId="77777777" w:rsidR="00215023" w:rsidRPr="00265EB3" w:rsidRDefault="00215023" w:rsidP="00215023">
      <w:pPr>
        <w:rPr>
          <w:sz w:val="16"/>
          <w:szCs w:val="16"/>
        </w:rPr>
      </w:pPr>
    </w:p>
    <w:p w14:paraId="2A5BD8EE" w14:textId="77777777" w:rsidR="00215023" w:rsidRPr="00906118" w:rsidRDefault="00215023" w:rsidP="00215023">
      <w:pPr>
        <w:rPr>
          <w:rFonts w:cs="Arial"/>
          <w:b/>
          <w:szCs w:val="24"/>
        </w:rPr>
      </w:pPr>
      <w:r w:rsidRPr="00906118">
        <w:rPr>
          <w:rFonts w:cs="Arial"/>
          <w:b/>
          <w:szCs w:val="24"/>
        </w:rPr>
        <w:t>Résultats attendus</w:t>
      </w:r>
    </w:p>
    <w:p w14:paraId="209DEDFE" w14:textId="77777777" w:rsidR="00215023" w:rsidRPr="00301086" w:rsidRDefault="00215023" w:rsidP="00215023">
      <w:pPr>
        <w:rPr>
          <w:rFonts w:cs="Arial"/>
          <w:b/>
          <w:sz w:val="10"/>
          <w:szCs w:val="10"/>
        </w:rPr>
      </w:pPr>
    </w:p>
    <w:tbl>
      <w:tblPr>
        <w:tblStyle w:val="Grilledutableau"/>
        <w:tblW w:w="9577" w:type="dxa"/>
        <w:jc w:val="center"/>
        <w:tblLayout w:type="fixed"/>
        <w:tblLook w:val="04A0" w:firstRow="1" w:lastRow="0" w:firstColumn="1" w:lastColumn="0" w:noHBand="0" w:noVBand="1"/>
      </w:tblPr>
      <w:tblGrid>
        <w:gridCol w:w="737"/>
        <w:gridCol w:w="737"/>
        <w:gridCol w:w="751"/>
        <w:gridCol w:w="823"/>
        <w:gridCol w:w="823"/>
        <w:gridCol w:w="5706"/>
      </w:tblGrid>
      <w:tr w:rsidR="00906118" w:rsidRPr="00B945A2" w14:paraId="1ABCF578" w14:textId="77777777" w:rsidTr="00906118">
        <w:trPr>
          <w:jc w:val="center"/>
        </w:trPr>
        <w:tc>
          <w:tcPr>
            <w:tcW w:w="737" w:type="dxa"/>
            <w:shd w:val="clear" w:color="auto" w:fill="E1D9D9" w:themeFill="accent1" w:themeFillTint="33"/>
            <w:vAlign w:val="center"/>
          </w:tcPr>
          <w:p w14:paraId="65BFE058" w14:textId="05A8EECB" w:rsidR="00906118" w:rsidRPr="00A6473A" w:rsidRDefault="00906118" w:rsidP="002562B9">
            <w:pPr>
              <w:jc w:val="center"/>
              <w:rPr>
                <w:b/>
                <w:sz w:val="16"/>
                <w:szCs w:val="16"/>
              </w:rPr>
            </w:pPr>
            <w:r w:rsidRPr="00A6473A">
              <w:rPr>
                <w:b/>
                <w:sz w:val="16"/>
                <w:szCs w:val="16"/>
              </w:rPr>
              <w:t xml:space="preserve">Activité </w:t>
            </w:r>
            <w:r>
              <w:rPr>
                <w:b/>
                <w:sz w:val="16"/>
                <w:szCs w:val="16"/>
              </w:rPr>
              <w:t>2.</w:t>
            </w:r>
            <w:r w:rsidR="00D9207A">
              <w:rPr>
                <w:b/>
                <w:sz w:val="16"/>
                <w:szCs w:val="16"/>
              </w:rPr>
              <w:t>3</w:t>
            </w:r>
          </w:p>
        </w:tc>
        <w:tc>
          <w:tcPr>
            <w:tcW w:w="737" w:type="dxa"/>
            <w:shd w:val="clear" w:color="auto" w:fill="E1D9D9" w:themeFill="accent1" w:themeFillTint="33"/>
            <w:vAlign w:val="center"/>
          </w:tcPr>
          <w:p w14:paraId="0D0E7D38" w14:textId="1A98279B" w:rsidR="00906118" w:rsidRPr="00A6473A" w:rsidRDefault="00906118" w:rsidP="002562B9">
            <w:pPr>
              <w:jc w:val="center"/>
              <w:rPr>
                <w:b/>
                <w:sz w:val="16"/>
                <w:szCs w:val="16"/>
              </w:rPr>
            </w:pPr>
            <w:r w:rsidRPr="00A6473A">
              <w:rPr>
                <w:b/>
                <w:sz w:val="16"/>
                <w:szCs w:val="16"/>
              </w:rPr>
              <w:t xml:space="preserve">Activité </w:t>
            </w:r>
            <w:r>
              <w:rPr>
                <w:b/>
                <w:sz w:val="16"/>
                <w:szCs w:val="16"/>
              </w:rPr>
              <w:t>2.</w:t>
            </w:r>
            <w:r w:rsidR="00E3507F">
              <w:rPr>
                <w:b/>
                <w:sz w:val="16"/>
                <w:szCs w:val="16"/>
              </w:rPr>
              <w:t>6</w:t>
            </w:r>
          </w:p>
        </w:tc>
        <w:tc>
          <w:tcPr>
            <w:tcW w:w="751" w:type="dxa"/>
            <w:shd w:val="clear" w:color="auto" w:fill="E1D9D9" w:themeFill="accent1" w:themeFillTint="33"/>
          </w:tcPr>
          <w:p w14:paraId="47F19515" w14:textId="16960940" w:rsidR="00906118" w:rsidRPr="00A6473A" w:rsidRDefault="00906118" w:rsidP="002562B9">
            <w:pPr>
              <w:jc w:val="center"/>
              <w:rPr>
                <w:b/>
                <w:sz w:val="16"/>
                <w:szCs w:val="16"/>
              </w:rPr>
            </w:pPr>
            <w:r w:rsidRPr="00A6473A">
              <w:rPr>
                <w:b/>
                <w:sz w:val="16"/>
                <w:szCs w:val="16"/>
              </w:rPr>
              <w:t xml:space="preserve">Activité </w:t>
            </w:r>
            <w:r w:rsidR="00B34E5F">
              <w:rPr>
                <w:b/>
                <w:sz w:val="16"/>
                <w:szCs w:val="16"/>
              </w:rPr>
              <w:t>3.1</w:t>
            </w:r>
          </w:p>
        </w:tc>
        <w:tc>
          <w:tcPr>
            <w:tcW w:w="823" w:type="dxa"/>
            <w:shd w:val="clear" w:color="auto" w:fill="E1D9D9" w:themeFill="accent1" w:themeFillTint="33"/>
          </w:tcPr>
          <w:p w14:paraId="19F1292A" w14:textId="57B63E1E" w:rsidR="00906118" w:rsidRPr="00A6473A" w:rsidRDefault="00906118" w:rsidP="002562B9">
            <w:pPr>
              <w:jc w:val="center"/>
              <w:rPr>
                <w:b/>
                <w:sz w:val="16"/>
                <w:szCs w:val="16"/>
              </w:rPr>
            </w:pPr>
            <w:r w:rsidRPr="00A6473A">
              <w:rPr>
                <w:b/>
                <w:sz w:val="16"/>
                <w:szCs w:val="16"/>
              </w:rPr>
              <w:t xml:space="preserve">Activité </w:t>
            </w:r>
            <w:r w:rsidR="009C4372">
              <w:rPr>
                <w:b/>
                <w:sz w:val="16"/>
                <w:szCs w:val="16"/>
              </w:rPr>
              <w:t>3.3</w:t>
            </w:r>
          </w:p>
        </w:tc>
        <w:tc>
          <w:tcPr>
            <w:tcW w:w="823" w:type="dxa"/>
            <w:shd w:val="clear" w:color="auto" w:fill="E1D9D9" w:themeFill="accent1" w:themeFillTint="33"/>
            <w:vAlign w:val="center"/>
          </w:tcPr>
          <w:p w14:paraId="53C4DE43" w14:textId="77777777" w:rsidR="00906118" w:rsidRPr="00A6473A" w:rsidRDefault="00906118" w:rsidP="002562B9">
            <w:pPr>
              <w:jc w:val="center"/>
              <w:rPr>
                <w:b/>
                <w:sz w:val="16"/>
                <w:szCs w:val="16"/>
              </w:rPr>
            </w:pPr>
            <w:r w:rsidRPr="00A6473A">
              <w:rPr>
                <w:b/>
                <w:sz w:val="16"/>
                <w:szCs w:val="16"/>
              </w:rPr>
              <w:t>Activité 7.</w:t>
            </w:r>
            <w:r>
              <w:rPr>
                <w:b/>
                <w:sz w:val="16"/>
                <w:szCs w:val="16"/>
              </w:rPr>
              <w:t>3</w:t>
            </w:r>
          </w:p>
        </w:tc>
        <w:tc>
          <w:tcPr>
            <w:tcW w:w="5706" w:type="dxa"/>
            <w:shd w:val="clear" w:color="auto" w:fill="E1D9D9" w:themeFill="accent1" w:themeFillTint="33"/>
            <w:vAlign w:val="center"/>
          </w:tcPr>
          <w:p w14:paraId="428F9E69" w14:textId="77777777" w:rsidR="00906118" w:rsidRPr="00B945A2" w:rsidRDefault="00906118" w:rsidP="002562B9">
            <w:pPr>
              <w:jc w:val="center"/>
              <w:rPr>
                <w:b/>
                <w:sz w:val="20"/>
                <w:szCs w:val="20"/>
              </w:rPr>
            </w:pPr>
            <w:r>
              <w:rPr>
                <w:b/>
                <w:sz w:val="20"/>
                <w:szCs w:val="20"/>
              </w:rPr>
              <w:t>Résultats attendus</w:t>
            </w:r>
          </w:p>
        </w:tc>
      </w:tr>
      <w:tr w:rsidR="00906118" w14:paraId="0A8BC580" w14:textId="77777777" w:rsidTr="00D9207A">
        <w:trPr>
          <w:trHeight w:val="556"/>
          <w:jc w:val="center"/>
        </w:trPr>
        <w:tc>
          <w:tcPr>
            <w:tcW w:w="737" w:type="dxa"/>
            <w:vAlign w:val="center"/>
          </w:tcPr>
          <w:p w14:paraId="5E21AF78" w14:textId="48DFEC83" w:rsidR="00906118" w:rsidRPr="00A8562D" w:rsidRDefault="00906118" w:rsidP="002562B9">
            <w:pPr>
              <w:jc w:val="center"/>
              <w:rPr>
                <w:sz w:val="20"/>
                <w:szCs w:val="20"/>
              </w:rPr>
            </w:pPr>
            <w:r>
              <w:rPr>
                <w:sz w:val="20"/>
                <w:szCs w:val="20"/>
              </w:rPr>
              <w:t>2.</w:t>
            </w:r>
            <w:r w:rsidR="00D9207A">
              <w:rPr>
                <w:sz w:val="20"/>
                <w:szCs w:val="20"/>
              </w:rPr>
              <w:t>3</w:t>
            </w:r>
            <w:r>
              <w:rPr>
                <w:sz w:val="20"/>
                <w:szCs w:val="20"/>
              </w:rPr>
              <w:t>.1</w:t>
            </w:r>
          </w:p>
        </w:tc>
        <w:tc>
          <w:tcPr>
            <w:tcW w:w="737" w:type="dxa"/>
            <w:vAlign w:val="center"/>
          </w:tcPr>
          <w:p w14:paraId="4D55753F" w14:textId="77777777" w:rsidR="00906118" w:rsidRPr="00A8562D" w:rsidRDefault="00906118" w:rsidP="002562B9">
            <w:pPr>
              <w:jc w:val="center"/>
              <w:rPr>
                <w:sz w:val="20"/>
                <w:szCs w:val="20"/>
              </w:rPr>
            </w:pPr>
          </w:p>
        </w:tc>
        <w:tc>
          <w:tcPr>
            <w:tcW w:w="751" w:type="dxa"/>
            <w:vAlign w:val="center"/>
          </w:tcPr>
          <w:p w14:paraId="5AD73A54" w14:textId="77777777" w:rsidR="00906118" w:rsidRPr="00A8562D" w:rsidRDefault="00906118" w:rsidP="002562B9">
            <w:pPr>
              <w:jc w:val="center"/>
              <w:rPr>
                <w:sz w:val="20"/>
                <w:szCs w:val="20"/>
              </w:rPr>
            </w:pPr>
          </w:p>
        </w:tc>
        <w:tc>
          <w:tcPr>
            <w:tcW w:w="823" w:type="dxa"/>
          </w:tcPr>
          <w:p w14:paraId="0DE59072" w14:textId="77777777" w:rsidR="00906118" w:rsidRPr="00A8562D" w:rsidRDefault="00906118" w:rsidP="002562B9">
            <w:pPr>
              <w:jc w:val="center"/>
              <w:rPr>
                <w:sz w:val="20"/>
                <w:szCs w:val="20"/>
              </w:rPr>
            </w:pPr>
          </w:p>
        </w:tc>
        <w:tc>
          <w:tcPr>
            <w:tcW w:w="823" w:type="dxa"/>
            <w:vAlign w:val="center"/>
          </w:tcPr>
          <w:p w14:paraId="3AE3166B" w14:textId="77777777" w:rsidR="00906118" w:rsidRPr="00A8562D" w:rsidRDefault="00906118" w:rsidP="002562B9">
            <w:pPr>
              <w:jc w:val="center"/>
              <w:rPr>
                <w:sz w:val="20"/>
                <w:szCs w:val="20"/>
              </w:rPr>
            </w:pPr>
          </w:p>
        </w:tc>
        <w:tc>
          <w:tcPr>
            <w:tcW w:w="5706" w:type="dxa"/>
            <w:vAlign w:val="center"/>
          </w:tcPr>
          <w:p w14:paraId="34DFD8C5" w14:textId="28BC13FF" w:rsidR="00906118" w:rsidRPr="00B945A2" w:rsidRDefault="00E3507F" w:rsidP="002562B9">
            <w:pPr>
              <w:rPr>
                <w:sz w:val="20"/>
                <w:szCs w:val="20"/>
              </w:rPr>
            </w:pPr>
            <w:r>
              <w:rPr>
                <w:sz w:val="20"/>
                <w:szCs w:val="20"/>
              </w:rPr>
              <w:t>Reconstitution</w:t>
            </w:r>
            <w:r w:rsidR="00906118">
              <w:rPr>
                <w:sz w:val="20"/>
                <w:szCs w:val="20"/>
              </w:rPr>
              <w:t xml:space="preserve"> </w:t>
            </w:r>
            <w:r w:rsidR="00D9207A">
              <w:rPr>
                <w:sz w:val="20"/>
                <w:szCs w:val="20"/>
              </w:rPr>
              <w:t xml:space="preserve">des écritures de stocks, de clients douteux, </w:t>
            </w:r>
            <w:r>
              <w:rPr>
                <w:sz w:val="20"/>
                <w:szCs w:val="20"/>
              </w:rPr>
              <w:t xml:space="preserve">et remplissage du dossier d’inventaire. Vérification avec la balance dans le </w:t>
            </w:r>
            <w:proofErr w:type="spellStart"/>
            <w:r>
              <w:rPr>
                <w:sz w:val="20"/>
                <w:szCs w:val="20"/>
              </w:rPr>
              <w:t>PGI</w:t>
            </w:r>
            <w:proofErr w:type="spellEnd"/>
            <w:r>
              <w:rPr>
                <w:sz w:val="20"/>
                <w:szCs w:val="20"/>
              </w:rPr>
              <w:t>.</w:t>
            </w:r>
          </w:p>
        </w:tc>
      </w:tr>
      <w:tr w:rsidR="00906118" w14:paraId="4A2A7326" w14:textId="77777777" w:rsidTr="00906118">
        <w:trPr>
          <w:jc w:val="center"/>
        </w:trPr>
        <w:tc>
          <w:tcPr>
            <w:tcW w:w="737" w:type="dxa"/>
            <w:vAlign w:val="center"/>
          </w:tcPr>
          <w:p w14:paraId="2F24815D" w14:textId="359A656B" w:rsidR="00906118" w:rsidRPr="00A8562D" w:rsidRDefault="00D9207A" w:rsidP="002562B9">
            <w:pPr>
              <w:jc w:val="center"/>
              <w:rPr>
                <w:sz w:val="20"/>
                <w:szCs w:val="20"/>
              </w:rPr>
            </w:pPr>
            <w:r>
              <w:rPr>
                <w:sz w:val="20"/>
                <w:szCs w:val="20"/>
              </w:rPr>
              <w:t>2.3.2</w:t>
            </w:r>
          </w:p>
        </w:tc>
        <w:tc>
          <w:tcPr>
            <w:tcW w:w="737" w:type="dxa"/>
            <w:vAlign w:val="center"/>
          </w:tcPr>
          <w:p w14:paraId="268399AA" w14:textId="37904B02" w:rsidR="00906118" w:rsidRPr="00A8562D" w:rsidRDefault="00906118" w:rsidP="002562B9">
            <w:pPr>
              <w:jc w:val="center"/>
              <w:rPr>
                <w:sz w:val="20"/>
                <w:szCs w:val="20"/>
              </w:rPr>
            </w:pPr>
            <w:r>
              <w:rPr>
                <w:sz w:val="20"/>
                <w:szCs w:val="20"/>
              </w:rPr>
              <w:t>.</w:t>
            </w:r>
          </w:p>
        </w:tc>
        <w:tc>
          <w:tcPr>
            <w:tcW w:w="751" w:type="dxa"/>
            <w:vAlign w:val="center"/>
          </w:tcPr>
          <w:p w14:paraId="3100F16A" w14:textId="77777777" w:rsidR="00906118" w:rsidRPr="00FD1E7B" w:rsidRDefault="00906118" w:rsidP="002562B9">
            <w:pPr>
              <w:jc w:val="center"/>
              <w:rPr>
                <w:sz w:val="20"/>
                <w:szCs w:val="20"/>
              </w:rPr>
            </w:pPr>
          </w:p>
        </w:tc>
        <w:tc>
          <w:tcPr>
            <w:tcW w:w="823" w:type="dxa"/>
          </w:tcPr>
          <w:p w14:paraId="0C3A49A6" w14:textId="77777777" w:rsidR="00906118" w:rsidRPr="00A8562D" w:rsidRDefault="00906118" w:rsidP="002562B9">
            <w:pPr>
              <w:jc w:val="center"/>
              <w:rPr>
                <w:i/>
                <w:sz w:val="20"/>
                <w:szCs w:val="20"/>
              </w:rPr>
            </w:pPr>
          </w:p>
        </w:tc>
        <w:tc>
          <w:tcPr>
            <w:tcW w:w="823" w:type="dxa"/>
            <w:vAlign w:val="center"/>
          </w:tcPr>
          <w:p w14:paraId="33282C7D" w14:textId="77777777" w:rsidR="00906118" w:rsidRPr="00A8562D" w:rsidRDefault="00906118" w:rsidP="002562B9">
            <w:pPr>
              <w:jc w:val="center"/>
              <w:rPr>
                <w:i/>
                <w:sz w:val="20"/>
                <w:szCs w:val="20"/>
              </w:rPr>
            </w:pPr>
          </w:p>
        </w:tc>
        <w:tc>
          <w:tcPr>
            <w:tcW w:w="5706" w:type="dxa"/>
            <w:vAlign w:val="center"/>
          </w:tcPr>
          <w:p w14:paraId="273F8051" w14:textId="24B49556" w:rsidR="00906118" w:rsidRPr="0057445F" w:rsidRDefault="00D9207A" w:rsidP="002562B9">
            <w:pPr>
              <w:rPr>
                <w:sz w:val="20"/>
                <w:szCs w:val="20"/>
              </w:rPr>
            </w:pPr>
            <w:r>
              <w:rPr>
                <w:sz w:val="20"/>
                <w:szCs w:val="20"/>
              </w:rPr>
              <w:t xml:space="preserve">Reprise des éléments de </w:t>
            </w:r>
            <w:proofErr w:type="spellStart"/>
            <w:r>
              <w:rPr>
                <w:sz w:val="20"/>
                <w:szCs w:val="20"/>
              </w:rPr>
              <w:t>AGENCEPUB</w:t>
            </w:r>
            <w:proofErr w:type="spellEnd"/>
            <w:r>
              <w:rPr>
                <w:sz w:val="20"/>
                <w:szCs w:val="20"/>
              </w:rPr>
              <w:t xml:space="preserve"> partie 1 si cela est fait pur recopie dans le dossier d’inventaire</w:t>
            </w:r>
            <w:r w:rsidR="00E3507F">
              <w:rPr>
                <w:sz w:val="20"/>
                <w:szCs w:val="20"/>
              </w:rPr>
              <w:t xml:space="preserve">. Vérification avec la balance dans le </w:t>
            </w:r>
            <w:proofErr w:type="spellStart"/>
            <w:r w:rsidR="00E3507F">
              <w:rPr>
                <w:sz w:val="20"/>
                <w:szCs w:val="20"/>
              </w:rPr>
              <w:t>PGI</w:t>
            </w:r>
            <w:proofErr w:type="spellEnd"/>
            <w:r w:rsidR="00E3507F">
              <w:rPr>
                <w:sz w:val="20"/>
                <w:szCs w:val="20"/>
              </w:rPr>
              <w:t>.</w:t>
            </w:r>
          </w:p>
        </w:tc>
      </w:tr>
      <w:tr w:rsidR="00906118" w:rsidRPr="00853684" w14:paraId="20D3C4F2" w14:textId="77777777" w:rsidTr="00906118">
        <w:trPr>
          <w:jc w:val="center"/>
        </w:trPr>
        <w:tc>
          <w:tcPr>
            <w:tcW w:w="737" w:type="dxa"/>
            <w:vAlign w:val="center"/>
          </w:tcPr>
          <w:p w14:paraId="59905CD5" w14:textId="65950061" w:rsidR="00906118" w:rsidRPr="00853684" w:rsidRDefault="00D9207A" w:rsidP="002562B9">
            <w:pPr>
              <w:jc w:val="center"/>
              <w:rPr>
                <w:sz w:val="20"/>
                <w:szCs w:val="20"/>
              </w:rPr>
            </w:pPr>
            <w:r>
              <w:rPr>
                <w:sz w:val="20"/>
                <w:szCs w:val="20"/>
              </w:rPr>
              <w:t>2.3.3</w:t>
            </w:r>
          </w:p>
        </w:tc>
        <w:tc>
          <w:tcPr>
            <w:tcW w:w="737" w:type="dxa"/>
            <w:vAlign w:val="center"/>
          </w:tcPr>
          <w:p w14:paraId="12464407" w14:textId="479977C8" w:rsidR="00906118" w:rsidRPr="00853684" w:rsidRDefault="00906118" w:rsidP="002562B9">
            <w:pPr>
              <w:jc w:val="center"/>
              <w:rPr>
                <w:sz w:val="20"/>
                <w:szCs w:val="20"/>
              </w:rPr>
            </w:pPr>
          </w:p>
        </w:tc>
        <w:tc>
          <w:tcPr>
            <w:tcW w:w="751" w:type="dxa"/>
            <w:vAlign w:val="center"/>
          </w:tcPr>
          <w:p w14:paraId="71195C65" w14:textId="77777777" w:rsidR="00906118" w:rsidRPr="00853684" w:rsidRDefault="00906118" w:rsidP="002562B9">
            <w:pPr>
              <w:jc w:val="center"/>
              <w:rPr>
                <w:sz w:val="20"/>
                <w:szCs w:val="20"/>
              </w:rPr>
            </w:pPr>
          </w:p>
        </w:tc>
        <w:tc>
          <w:tcPr>
            <w:tcW w:w="823" w:type="dxa"/>
          </w:tcPr>
          <w:p w14:paraId="74FA9496" w14:textId="77777777" w:rsidR="00906118" w:rsidRPr="00853684" w:rsidRDefault="00906118" w:rsidP="002562B9">
            <w:pPr>
              <w:jc w:val="center"/>
              <w:rPr>
                <w:sz w:val="20"/>
                <w:szCs w:val="20"/>
              </w:rPr>
            </w:pPr>
          </w:p>
        </w:tc>
        <w:tc>
          <w:tcPr>
            <w:tcW w:w="823" w:type="dxa"/>
            <w:vAlign w:val="center"/>
          </w:tcPr>
          <w:p w14:paraId="4C232F1C" w14:textId="77777777" w:rsidR="00906118" w:rsidRPr="00853684" w:rsidRDefault="00906118" w:rsidP="002562B9">
            <w:pPr>
              <w:jc w:val="center"/>
              <w:rPr>
                <w:sz w:val="20"/>
                <w:szCs w:val="20"/>
              </w:rPr>
            </w:pPr>
          </w:p>
        </w:tc>
        <w:tc>
          <w:tcPr>
            <w:tcW w:w="5706" w:type="dxa"/>
            <w:vAlign w:val="center"/>
          </w:tcPr>
          <w:p w14:paraId="4A65073E" w14:textId="1108A26C" w:rsidR="00906118" w:rsidRPr="00853684" w:rsidRDefault="00E3507F" w:rsidP="002562B9">
            <w:pPr>
              <w:rPr>
                <w:sz w:val="20"/>
                <w:szCs w:val="20"/>
              </w:rPr>
            </w:pPr>
            <w:r>
              <w:rPr>
                <w:sz w:val="20"/>
                <w:szCs w:val="20"/>
              </w:rPr>
              <w:t xml:space="preserve">Traitement des factures pour l’enregistrement des charges à payer et des charges constatées d’avance. Vérification avec la balance dans le </w:t>
            </w:r>
            <w:proofErr w:type="spellStart"/>
            <w:r>
              <w:rPr>
                <w:sz w:val="20"/>
                <w:szCs w:val="20"/>
              </w:rPr>
              <w:t>PGI</w:t>
            </w:r>
            <w:proofErr w:type="spellEnd"/>
            <w:r>
              <w:rPr>
                <w:sz w:val="20"/>
                <w:szCs w:val="20"/>
              </w:rPr>
              <w:t>.</w:t>
            </w:r>
          </w:p>
        </w:tc>
      </w:tr>
      <w:tr w:rsidR="00D9207A" w:rsidRPr="00853684" w14:paraId="7F0B88EC" w14:textId="77777777" w:rsidTr="00906118">
        <w:trPr>
          <w:jc w:val="center"/>
        </w:trPr>
        <w:tc>
          <w:tcPr>
            <w:tcW w:w="737" w:type="dxa"/>
            <w:vAlign w:val="center"/>
          </w:tcPr>
          <w:p w14:paraId="751D4447" w14:textId="417311F9" w:rsidR="00D9207A" w:rsidRPr="00853684" w:rsidRDefault="00D9207A" w:rsidP="002562B9">
            <w:pPr>
              <w:jc w:val="center"/>
              <w:rPr>
                <w:sz w:val="20"/>
                <w:szCs w:val="20"/>
              </w:rPr>
            </w:pPr>
            <w:r>
              <w:rPr>
                <w:sz w:val="20"/>
                <w:szCs w:val="20"/>
              </w:rPr>
              <w:t>2.3.4</w:t>
            </w:r>
          </w:p>
        </w:tc>
        <w:tc>
          <w:tcPr>
            <w:tcW w:w="737" w:type="dxa"/>
            <w:vAlign w:val="center"/>
          </w:tcPr>
          <w:p w14:paraId="7ED152AC" w14:textId="77777777" w:rsidR="00D9207A" w:rsidRPr="00853684" w:rsidRDefault="00D9207A" w:rsidP="002562B9">
            <w:pPr>
              <w:jc w:val="center"/>
              <w:rPr>
                <w:sz w:val="20"/>
                <w:szCs w:val="20"/>
              </w:rPr>
            </w:pPr>
          </w:p>
        </w:tc>
        <w:tc>
          <w:tcPr>
            <w:tcW w:w="751" w:type="dxa"/>
            <w:vAlign w:val="center"/>
          </w:tcPr>
          <w:p w14:paraId="3F5D8C7E" w14:textId="77777777" w:rsidR="00D9207A" w:rsidRDefault="00D9207A" w:rsidP="002562B9">
            <w:pPr>
              <w:jc w:val="center"/>
              <w:rPr>
                <w:sz w:val="20"/>
                <w:szCs w:val="20"/>
              </w:rPr>
            </w:pPr>
          </w:p>
        </w:tc>
        <w:tc>
          <w:tcPr>
            <w:tcW w:w="823" w:type="dxa"/>
          </w:tcPr>
          <w:p w14:paraId="02E388EE" w14:textId="77777777" w:rsidR="00D9207A" w:rsidRPr="00853684" w:rsidRDefault="00D9207A" w:rsidP="002562B9">
            <w:pPr>
              <w:jc w:val="center"/>
              <w:rPr>
                <w:sz w:val="20"/>
                <w:szCs w:val="20"/>
              </w:rPr>
            </w:pPr>
          </w:p>
        </w:tc>
        <w:tc>
          <w:tcPr>
            <w:tcW w:w="823" w:type="dxa"/>
            <w:vAlign w:val="center"/>
          </w:tcPr>
          <w:p w14:paraId="6E08CD0D" w14:textId="77777777" w:rsidR="00D9207A" w:rsidRPr="00853684" w:rsidRDefault="00D9207A" w:rsidP="002562B9">
            <w:pPr>
              <w:jc w:val="center"/>
              <w:rPr>
                <w:sz w:val="20"/>
                <w:szCs w:val="20"/>
              </w:rPr>
            </w:pPr>
          </w:p>
        </w:tc>
        <w:tc>
          <w:tcPr>
            <w:tcW w:w="5706" w:type="dxa"/>
            <w:vAlign w:val="center"/>
          </w:tcPr>
          <w:p w14:paraId="62AF6D93" w14:textId="5B05BC1E" w:rsidR="00D9207A" w:rsidRDefault="00E3507F" w:rsidP="002562B9">
            <w:pPr>
              <w:rPr>
                <w:sz w:val="20"/>
                <w:szCs w:val="20"/>
              </w:rPr>
            </w:pPr>
            <w:r>
              <w:rPr>
                <w:sz w:val="20"/>
                <w:szCs w:val="20"/>
              </w:rPr>
              <w:t xml:space="preserve">Reconstitution d’une provision pour risque (litige). Vérification avec la balance dans le </w:t>
            </w:r>
            <w:proofErr w:type="spellStart"/>
            <w:r>
              <w:rPr>
                <w:sz w:val="20"/>
                <w:szCs w:val="20"/>
              </w:rPr>
              <w:t>PGI</w:t>
            </w:r>
            <w:proofErr w:type="spellEnd"/>
            <w:r>
              <w:rPr>
                <w:sz w:val="20"/>
                <w:szCs w:val="20"/>
              </w:rPr>
              <w:t>.</w:t>
            </w:r>
          </w:p>
        </w:tc>
      </w:tr>
      <w:tr w:rsidR="00D9207A" w:rsidRPr="00853684" w14:paraId="4994EC62" w14:textId="77777777" w:rsidTr="00906118">
        <w:trPr>
          <w:jc w:val="center"/>
        </w:trPr>
        <w:tc>
          <w:tcPr>
            <w:tcW w:w="737" w:type="dxa"/>
            <w:vAlign w:val="center"/>
          </w:tcPr>
          <w:p w14:paraId="7890D4D8" w14:textId="0D5EBED4" w:rsidR="00D9207A" w:rsidRPr="00853684" w:rsidRDefault="00D9207A" w:rsidP="002562B9">
            <w:pPr>
              <w:jc w:val="center"/>
              <w:rPr>
                <w:sz w:val="20"/>
                <w:szCs w:val="20"/>
              </w:rPr>
            </w:pPr>
            <w:r>
              <w:rPr>
                <w:sz w:val="20"/>
                <w:szCs w:val="20"/>
              </w:rPr>
              <w:t>2.3.5</w:t>
            </w:r>
          </w:p>
        </w:tc>
        <w:tc>
          <w:tcPr>
            <w:tcW w:w="737" w:type="dxa"/>
            <w:vAlign w:val="center"/>
          </w:tcPr>
          <w:p w14:paraId="67426045" w14:textId="77777777" w:rsidR="00D9207A" w:rsidRPr="00853684" w:rsidRDefault="00D9207A" w:rsidP="002562B9">
            <w:pPr>
              <w:jc w:val="center"/>
              <w:rPr>
                <w:sz w:val="20"/>
                <w:szCs w:val="20"/>
              </w:rPr>
            </w:pPr>
          </w:p>
        </w:tc>
        <w:tc>
          <w:tcPr>
            <w:tcW w:w="751" w:type="dxa"/>
            <w:vAlign w:val="center"/>
          </w:tcPr>
          <w:p w14:paraId="7874365E" w14:textId="77777777" w:rsidR="00D9207A" w:rsidRDefault="00D9207A" w:rsidP="002562B9">
            <w:pPr>
              <w:jc w:val="center"/>
              <w:rPr>
                <w:sz w:val="20"/>
                <w:szCs w:val="20"/>
              </w:rPr>
            </w:pPr>
          </w:p>
        </w:tc>
        <w:tc>
          <w:tcPr>
            <w:tcW w:w="823" w:type="dxa"/>
          </w:tcPr>
          <w:p w14:paraId="1D56A54B" w14:textId="77777777" w:rsidR="00D9207A" w:rsidRPr="00853684" w:rsidRDefault="00D9207A" w:rsidP="002562B9">
            <w:pPr>
              <w:jc w:val="center"/>
              <w:rPr>
                <w:sz w:val="20"/>
                <w:szCs w:val="20"/>
              </w:rPr>
            </w:pPr>
          </w:p>
        </w:tc>
        <w:tc>
          <w:tcPr>
            <w:tcW w:w="823" w:type="dxa"/>
            <w:vAlign w:val="center"/>
          </w:tcPr>
          <w:p w14:paraId="200FEC84" w14:textId="77777777" w:rsidR="00D9207A" w:rsidRPr="00853684" w:rsidRDefault="00D9207A" w:rsidP="002562B9">
            <w:pPr>
              <w:jc w:val="center"/>
              <w:rPr>
                <w:sz w:val="20"/>
                <w:szCs w:val="20"/>
              </w:rPr>
            </w:pPr>
          </w:p>
        </w:tc>
        <w:tc>
          <w:tcPr>
            <w:tcW w:w="5706" w:type="dxa"/>
            <w:vAlign w:val="center"/>
          </w:tcPr>
          <w:p w14:paraId="1DF13542" w14:textId="2A88277B" w:rsidR="00D9207A" w:rsidRDefault="00E3507F" w:rsidP="002562B9">
            <w:pPr>
              <w:rPr>
                <w:sz w:val="20"/>
                <w:szCs w:val="20"/>
              </w:rPr>
            </w:pPr>
            <w:r>
              <w:rPr>
                <w:sz w:val="20"/>
                <w:szCs w:val="20"/>
              </w:rPr>
              <w:t>Remplissage du dossier d’inventaire comme moyen de preuve des écritures avec calculs et écritures correspondantes.</w:t>
            </w:r>
          </w:p>
        </w:tc>
      </w:tr>
      <w:tr w:rsidR="00D9207A" w:rsidRPr="00853684" w14:paraId="24DC3FD7" w14:textId="77777777" w:rsidTr="00906118">
        <w:trPr>
          <w:jc w:val="center"/>
        </w:trPr>
        <w:tc>
          <w:tcPr>
            <w:tcW w:w="737" w:type="dxa"/>
            <w:vAlign w:val="center"/>
          </w:tcPr>
          <w:p w14:paraId="713D4969" w14:textId="77777777" w:rsidR="00D9207A" w:rsidRPr="00853684" w:rsidRDefault="00D9207A" w:rsidP="002562B9">
            <w:pPr>
              <w:jc w:val="center"/>
              <w:rPr>
                <w:sz w:val="20"/>
                <w:szCs w:val="20"/>
              </w:rPr>
            </w:pPr>
          </w:p>
        </w:tc>
        <w:tc>
          <w:tcPr>
            <w:tcW w:w="737" w:type="dxa"/>
            <w:vAlign w:val="center"/>
          </w:tcPr>
          <w:p w14:paraId="57362ADE" w14:textId="1A2BD0FB" w:rsidR="00D9207A" w:rsidRPr="00853684" w:rsidRDefault="00E3507F" w:rsidP="002562B9">
            <w:pPr>
              <w:jc w:val="center"/>
              <w:rPr>
                <w:sz w:val="20"/>
                <w:szCs w:val="20"/>
              </w:rPr>
            </w:pPr>
            <w:r>
              <w:rPr>
                <w:sz w:val="20"/>
                <w:szCs w:val="20"/>
              </w:rPr>
              <w:t>2.6.1</w:t>
            </w:r>
          </w:p>
        </w:tc>
        <w:tc>
          <w:tcPr>
            <w:tcW w:w="751" w:type="dxa"/>
            <w:vAlign w:val="center"/>
          </w:tcPr>
          <w:p w14:paraId="54176BE0" w14:textId="77777777" w:rsidR="00D9207A" w:rsidRDefault="00D9207A" w:rsidP="002562B9">
            <w:pPr>
              <w:jc w:val="center"/>
              <w:rPr>
                <w:sz w:val="20"/>
                <w:szCs w:val="20"/>
              </w:rPr>
            </w:pPr>
          </w:p>
        </w:tc>
        <w:tc>
          <w:tcPr>
            <w:tcW w:w="823" w:type="dxa"/>
          </w:tcPr>
          <w:p w14:paraId="2192596D" w14:textId="77777777" w:rsidR="00D9207A" w:rsidRPr="00853684" w:rsidRDefault="00D9207A" w:rsidP="002562B9">
            <w:pPr>
              <w:jc w:val="center"/>
              <w:rPr>
                <w:sz w:val="20"/>
                <w:szCs w:val="20"/>
              </w:rPr>
            </w:pPr>
          </w:p>
        </w:tc>
        <w:tc>
          <w:tcPr>
            <w:tcW w:w="823" w:type="dxa"/>
            <w:vAlign w:val="center"/>
          </w:tcPr>
          <w:p w14:paraId="067D7767" w14:textId="77777777" w:rsidR="00D9207A" w:rsidRPr="00853684" w:rsidRDefault="00D9207A" w:rsidP="002562B9">
            <w:pPr>
              <w:jc w:val="center"/>
              <w:rPr>
                <w:sz w:val="20"/>
                <w:szCs w:val="20"/>
              </w:rPr>
            </w:pPr>
          </w:p>
        </w:tc>
        <w:tc>
          <w:tcPr>
            <w:tcW w:w="5706" w:type="dxa"/>
            <w:vAlign w:val="center"/>
          </w:tcPr>
          <w:p w14:paraId="165A64DD" w14:textId="345C77C2" w:rsidR="00D9207A" w:rsidRDefault="00E3507F" w:rsidP="002562B9">
            <w:pPr>
              <w:rPr>
                <w:sz w:val="20"/>
                <w:szCs w:val="20"/>
              </w:rPr>
            </w:pPr>
            <w:r>
              <w:rPr>
                <w:sz w:val="20"/>
                <w:szCs w:val="20"/>
              </w:rPr>
              <w:t>Définitions des notions de base (</w:t>
            </w:r>
            <w:r w:rsidR="00B34E5F">
              <w:rPr>
                <w:sz w:val="20"/>
                <w:szCs w:val="20"/>
              </w:rPr>
              <w:t xml:space="preserve">sauvegarde, </w:t>
            </w:r>
            <w:r>
              <w:rPr>
                <w:sz w:val="20"/>
                <w:szCs w:val="20"/>
              </w:rPr>
              <w:t>archivag</w:t>
            </w:r>
            <w:r w:rsidR="00B34E5F">
              <w:rPr>
                <w:sz w:val="20"/>
                <w:szCs w:val="20"/>
              </w:rPr>
              <w:t>e</w:t>
            </w:r>
            <w:r>
              <w:rPr>
                <w:sz w:val="20"/>
                <w:szCs w:val="20"/>
              </w:rPr>
              <w:t>, s</w:t>
            </w:r>
            <w:r w:rsidR="00B34E5F">
              <w:rPr>
                <w:sz w:val="20"/>
                <w:szCs w:val="20"/>
              </w:rPr>
              <w:t>t</w:t>
            </w:r>
            <w:r>
              <w:rPr>
                <w:sz w:val="20"/>
                <w:szCs w:val="20"/>
              </w:rPr>
              <w:t>ockage</w:t>
            </w:r>
            <w:r w:rsidR="00B34E5F">
              <w:rPr>
                <w:sz w:val="20"/>
                <w:szCs w:val="20"/>
              </w:rPr>
              <w:t>)</w:t>
            </w:r>
            <w:r w:rsidR="006F5EAC">
              <w:rPr>
                <w:sz w:val="20"/>
                <w:szCs w:val="20"/>
              </w:rPr>
              <w:t>.</w:t>
            </w:r>
          </w:p>
        </w:tc>
      </w:tr>
      <w:tr w:rsidR="00906118" w:rsidRPr="00853684" w14:paraId="7BB3F628" w14:textId="77777777" w:rsidTr="00906118">
        <w:trPr>
          <w:jc w:val="center"/>
        </w:trPr>
        <w:tc>
          <w:tcPr>
            <w:tcW w:w="737" w:type="dxa"/>
            <w:vAlign w:val="center"/>
          </w:tcPr>
          <w:p w14:paraId="77372F35" w14:textId="77777777" w:rsidR="00906118" w:rsidRPr="00853684" w:rsidRDefault="00906118" w:rsidP="002562B9">
            <w:pPr>
              <w:jc w:val="center"/>
              <w:rPr>
                <w:sz w:val="20"/>
                <w:szCs w:val="20"/>
              </w:rPr>
            </w:pPr>
          </w:p>
        </w:tc>
        <w:tc>
          <w:tcPr>
            <w:tcW w:w="737" w:type="dxa"/>
            <w:vAlign w:val="center"/>
          </w:tcPr>
          <w:p w14:paraId="1B1B0668" w14:textId="77777777" w:rsidR="00906118" w:rsidRPr="00853684" w:rsidRDefault="00906118" w:rsidP="002562B9">
            <w:pPr>
              <w:jc w:val="center"/>
              <w:rPr>
                <w:sz w:val="20"/>
                <w:szCs w:val="20"/>
              </w:rPr>
            </w:pPr>
          </w:p>
        </w:tc>
        <w:tc>
          <w:tcPr>
            <w:tcW w:w="751" w:type="dxa"/>
            <w:vAlign w:val="center"/>
          </w:tcPr>
          <w:p w14:paraId="5FCA0EC3" w14:textId="31E21D1C" w:rsidR="00906118" w:rsidRPr="00853684" w:rsidRDefault="00B34E5F" w:rsidP="002562B9">
            <w:pPr>
              <w:jc w:val="center"/>
              <w:rPr>
                <w:sz w:val="20"/>
                <w:szCs w:val="20"/>
              </w:rPr>
            </w:pPr>
            <w:r>
              <w:rPr>
                <w:sz w:val="20"/>
                <w:szCs w:val="20"/>
              </w:rPr>
              <w:t>3.1.1</w:t>
            </w:r>
          </w:p>
        </w:tc>
        <w:tc>
          <w:tcPr>
            <w:tcW w:w="823" w:type="dxa"/>
          </w:tcPr>
          <w:p w14:paraId="65A5490C" w14:textId="77777777" w:rsidR="00906118" w:rsidRPr="00853684" w:rsidRDefault="00906118" w:rsidP="002562B9">
            <w:pPr>
              <w:jc w:val="center"/>
              <w:rPr>
                <w:sz w:val="20"/>
                <w:szCs w:val="20"/>
              </w:rPr>
            </w:pPr>
          </w:p>
        </w:tc>
        <w:tc>
          <w:tcPr>
            <w:tcW w:w="823" w:type="dxa"/>
            <w:vAlign w:val="center"/>
          </w:tcPr>
          <w:p w14:paraId="10F03504" w14:textId="77777777" w:rsidR="00906118" w:rsidRPr="00853684" w:rsidRDefault="00906118" w:rsidP="002562B9">
            <w:pPr>
              <w:jc w:val="center"/>
              <w:rPr>
                <w:sz w:val="20"/>
                <w:szCs w:val="20"/>
              </w:rPr>
            </w:pPr>
          </w:p>
        </w:tc>
        <w:tc>
          <w:tcPr>
            <w:tcW w:w="5706" w:type="dxa"/>
            <w:vAlign w:val="center"/>
          </w:tcPr>
          <w:p w14:paraId="1A604E99" w14:textId="440AFEFA" w:rsidR="00906118" w:rsidRPr="00853684" w:rsidRDefault="009C4372" w:rsidP="002562B9">
            <w:pPr>
              <w:rPr>
                <w:sz w:val="20"/>
                <w:szCs w:val="20"/>
              </w:rPr>
            </w:pPr>
            <w:r>
              <w:rPr>
                <w:sz w:val="20"/>
                <w:szCs w:val="20"/>
              </w:rPr>
              <w:t>Réalisation d’une recherche fiscale adaptée à la situation pour répondre aux calculs du résultat fiscal. Les demandes sont précises pour obtenir des réponses adaptées sans perte de temps.</w:t>
            </w:r>
          </w:p>
        </w:tc>
      </w:tr>
      <w:tr w:rsidR="009C4372" w:rsidRPr="00853684" w14:paraId="6DD85F38" w14:textId="77777777" w:rsidTr="00906118">
        <w:trPr>
          <w:jc w:val="center"/>
        </w:trPr>
        <w:tc>
          <w:tcPr>
            <w:tcW w:w="737" w:type="dxa"/>
            <w:vAlign w:val="center"/>
          </w:tcPr>
          <w:p w14:paraId="712E28C0" w14:textId="77777777" w:rsidR="009C4372" w:rsidRPr="00853684" w:rsidRDefault="009C4372" w:rsidP="002562B9">
            <w:pPr>
              <w:jc w:val="center"/>
              <w:rPr>
                <w:sz w:val="20"/>
                <w:szCs w:val="20"/>
              </w:rPr>
            </w:pPr>
          </w:p>
        </w:tc>
        <w:tc>
          <w:tcPr>
            <w:tcW w:w="737" w:type="dxa"/>
            <w:vAlign w:val="center"/>
          </w:tcPr>
          <w:p w14:paraId="12DE3920" w14:textId="77777777" w:rsidR="009C4372" w:rsidRPr="00853684" w:rsidRDefault="009C4372" w:rsidP="002562B9">
            <w:pPr>
              <w:jc w:val="center"/>
              <w:rPr>
                <w:sz w:val="20"/>
                <w:szCs w:val="20"/>
              </w:rPr>
            </w:pPr>
          </w:p>
        </w:tc>
        <w:tc>
          <w:tcPr>
            <w:tcW w:w="751" w:type="dxa"/>
            <w:vAlign w:val="center"/>
          </w:tcPr>
          <w:p w14:paraId="72423F56" w14:textId="77777777" w:rsidR="009C4372" w:rsidRDefault="009C4372" w:rsidP="002562B9">
            <w:pPr>
              <w:jc w:val="center"/>
              <w:rPr>
                <w:sz w:val="20"/>
                <w:szCs w:val="20"/>
              </w:rPr>
            </w:pPr>
          </w:p>
        </w:tc>
        <w:tc>
          <w:tcPr>
            <w:tcW w:w="823" w:type="dxa"/>
          </w:tcPr>
          <w:p w14:paraId="7284C7B7" w14:textId="2EE267E4" w:rsidR="009C4372" w:rsidRDefault="009C4372" w:rsidP="002562B9">
            <w:pPr>
              <w:jc w:val="center"/>
              <w:rPr>
                <w:sz w:val="20"/>
                <w:szCs w:val="20"/>
              </w:rPr>
            </w:pPr>
            <w:r>
              <w:rPr>
                <w:sz w:val="20"/>
                <w:szCs w:val="20"/>
              </w:rPr>
              <w:t>3.3.1</w:t>
            </w:r>
          </w:p>
        </w:tc>
        <w:tc>
          <w:tcPr>
            <w:tcW w:w="823" w:type="dxa"/>
            <w:vAlign w:val="center"/>
          </w:tcPr>
          <w:p w14:paraId="6AEEB2E3" w14:textId="77777777" w:rsidR="009C4372" w:rsidRPr="00853684" w:rsidRDefault="009C4372" w:rsidP="002562B9">
            <w:pPr>
              <w:jc w:val="center"/>
              <w:rPr>
                <w:sz w:val="20"/>
                <w:szCs w:val="20"/>
              </w:rPr>
            </w:pPr>
          </w:p>
        </w:tc>
        <w:tc>
          <w:tcPr>
            <w:tcW w:w="5706" w:type="dxa"/>
            <w:vAlign w:val="center"/>
          </w:tcPr>
          <w:p w14:paraId="62518E99" w14:textId="1E6F5EB5" w:rsidR="009C4372" w:rsidRDefault="009C4372" w:rsidP="002562B9">
            <w:pPr>
              <w:rPr>
                <w:sz w:val="20"/>
                <w:szCs w:val="20"/>
              </w:rPr>
            </w:pPr>
            <w:r>
              <w:rPr>
                <w:sz w:val="20"/>
                <w:szCs w:val="20"/>
              </w:rPr>
              <w:t>Recherche pour obtenir les éléments de l’imposition précis de l’entité avec le taux d’IS.</w:t>
            </w:r>
          </w:p>
        </w:tc>
      </w:tr>
      <w:tr w:rsidR="009C4372" w:rsidRPr="00853684" w14:paraId="5BE45322" w14:textId="77777777" w:rsidTr="00906118">
        <w:trPr>
          <w:jc w:val="center"/>
        </w:trPr>
        <w:tc>
          <w:tcPr>
            <w:tcW w:w="737" w:type="dxa"/>
            <w:vAlign w:val="center"/>
          </w:tcPr>
          <w:p w14:paraId="227EB2A5" w14:textId="77777777" w:rsidR="009C4372" w:rsidRPr="00853684" w:rsidRDefault="009C4372" w:rsidP="002562B9">
            <w:pPr>
              <w:jc w:val="center"/>
              <w:rPr>
                <w:sz w:val="20"/>
                <w:szCs w:val="20"/>
              </w:rPr>
            </w:pPr>
          </w:p>
        </w:tc>
        <w:tc>
          <w:tcPr>
            <w:tcW w:w="737" w:type="dxa"/>
            <w:vAlign w:val="center"/>
          </w:tcPr>
          <w:p w14:paraId="71983037" w14:textId="77777777" w:rsidR="009C4372" w:rsidRPr="00853684" w:rsidRDefault="009C4372" w:rsidP="002562B9">
            <w:pPr>
              <w:jc w:val="center"/>
              <w:rPr>
                <w:sz w:val="20"/>
                <w:szCs w:val="20"/>
              </w:rPr>
            </w:pPr>
          </w:p>
        </w:tc>
        <w:tc>
          <w:tcPr>
            <w:tcW w:w="751" w:type="dxa"/>
            <w:vAlign w:val="center"/>
          </w:tcPr>
          <w:p w14:paraId="767EAABC" w14:textId="77777777" w:rsidR="009C4372" w:rsidRDefault="009C4372" w:rsidP="002562B9">
            <w:pPr>
              <w:jc w:val="center"/>
              <w:rPr>
                <w:sz w:val="20"/>
                <w:szCs w:val="20"/>
              </w:rPr>
            </w:pPr>
          </w:p>
        </w:tc>
        <w:tc>
          <w:tcPr>
            <w:tcW w:w="823" w:type="dxa"/>
          </w:tcPr>
          <w:p w14:paraId="7468D8C4" w14:textId="7B8FB9F4" w:rsidR="009C4372" w:rsidRDefault="009C4372" w:rsidP="002562B9">
            <w:pPr>
              <w:jc w:val="center"/>
              <w:rPr>
                <w:sz w:val="20"/>
                <w:szCs w:val="20"/>
              </w:rPr>
            </w:pPr>
            <w:r>
              <w:rPr>
                <w:sz w:val="20"/>
                <w:szCs w:val="20"/>
              </w:rPr>
              <w:t>3.3.2</w:t>
            </w:r>
          </w:p>
        </w:tc>
        <w:tc>
          <w:tcPr>
            <w:tcW w:w="823" w:type="dxa"/>
            <w:vAlign w:val="center"/>
          </w:tcPr>
          <w:p w14:paraId="7550DBC0" w14:textId="77777777" w:rsidR="009C4372" w:rsidRPr="00853684" w:rsidRDefault="009C4372" w:rsidP="002562B9">
            <w:pPr>
              <w:jc w:val="center"/>
              <w:rPr>
                <w:sz w:val="20"/>
                <w:szCs w:val="20"/>
              </w:rPr>
            </w:pPr>
          </w:p>
        </w:tc>
        <w:tc>
          <w:tcPr>
            <w:tcW w:w="5706" w:type="dxa"/>
            <w:vAlign w:val="center"/>
          </w:tcPr>
          <w:p w14:paraId="3A0B3B07" w14:textId="6E752697" w:rsidR="009C4372" w:rsidRDefault="009C4372" w:rsidP="002562B9">
            <w:pPr>
              <w:rPr>
                <w:sz w:val="20"/>
                <w:szCs w:val="20"/>
              </w:rPr>
            </w:pPr>
            <w:r>
              <w:rPr>
                <w:sz w:val="20"/>
                <w:szCs w:val="20"/>
              </w:rPr>
              <w:t xml:space="preserve">Calcul du résultat comptable à partir du </w:t>
            </w:r>
            <w:proofErr w:type="spellStart"/>
            <w:r>
              <w:rPr>
                <w:sz w:val="20"/>
                <w:szCs w:val="20"/>
              </w:rPr>
              <w:t>PGI</w:t>
            </w:r>
            <w:proofErr w:type="spellEnd"/>
            <w:r>
              <w:rPr>
                <w:sz w:val="20"/>
                <w:szCs w:val="20"/>
              </w:rPr>
              <w:t xml:space="preserve"> (réalisation du compte de résultat), prise en compte des éléments fiscaux pour le calcul du bénéfice imposable.</w:t>
            </w:r>
          </w:p>
        </w:tc>
      </w:tr>
      <w:tr w:rsidR="009C4372" w:rsidRPr="00853684" w14:paraId="53E0DBCF" w14:textId="77777777" w:rsidTr="00906118">
        <w:trPr>
          <w:jc w:val="center"/>
        </w:trPr>
        <w:tc>
          <w:tcPr>
            <w:tcW w:w="737" w:type="dxa"/>
            <w:vAlign w:val="center"/>
          </w:tcPr>
          <w:p w14:paraId="1F231598" w14:textId="77777777" w:rsidR="009C4372" w:rsidRPr="00853684" w:rsidRDefault="009C4372" w:rsidP="002562B9">
            <w:pPr>
              <w:jc w:val="center"/>
              <w:rPr>
                <w:sz w:val="20"/>
                <w:szCs w:val="20"/>
              </w:rPr>
            </w:pPr>
          </w:p>
        </w:tc>
        <w:tc>
          <w:tcPr>
            <w:tcW w:w="737" w:type="dxa"/>
            <w:vAlign w:val="center"/>
          </w:tcPr>
          <w:p w14:paraId="20002BA8" w14:textId="77777777" w:rsidR="009C4372" w:rsidRPr="00853684" w:rsidRDefault="009C4372" w:rsidP="002562B9">
            <w:pPr>
              <w:jc w:val="center"/>
              <w:rPr>
                <w:sz w:val="20"/>
                <w:szCs w:val="20"/>
              </w:rPr>
            </w:pPr>
          </w:p>
        </w:tc>
        <w:tc>
          <w:tcPr>
            <w:tcW w:w="751" w:type="dxa"/>
            <w:vAlign w:val="center"/>
          </w:tcPr>
          <w:p w14:paraId="419791CA" w14:textId="77777777" w:rsidR="009C4372" w:rsidRDefault="009C4372" w:rsidP="002562B9">
            <w:pPr>
              <w:jc w:val="center"/>
              <w:rPr>
                <w:sz w:val="20"/>
                <w:szCs w:val="20"/>
              </w:rPr>
            </w:pPr>
          </w:p>
        </w:tc>
        <w:tc>
          <w:tcPr>
            <w:tcW w:w="823" w:type="dxa"/>
          </w:tcPr>
          <w:p w14:paraId="6EC0D057" w14:textId="2206B7CA" w:rsidR="009C4372" w:rsidRDefault="009C4372" w:rsidP="002562B9">
            <w:pPr>
              <w:jc w:val="center"/>
              <w:rPr>
                <w:sz w:val="20"/>
                <w:szCs w:val="20"/>
              </w:rPr>
            </w:pPr>
            <w:r>
              <w:rPr>
                <w:sz w:val="20"/>
                <w:szCs w:val="20"/>
              </w:rPr>
              <w:t>3.3.3</w:t>
            </w:r>
          </w:p>
        </w:tc>
        <w:tc>
          <w:tcPr>
            <w:tcW w:w="823" w:type="dxa"/>
            <w:vAlign w:val="center"/>
          </w:tcPr>
          <w:p w14:paraId="76059143" w14:textId="77777777" w:rsidR="009C4372" w:rsidRPr="00853684" w:rsidRDefault="009C4372" w:rsidP="002562B9">
            <w:pPr>
              <w:jc w:val="center"/>
              <w:rPr>
                <w:sz w:val="20"/>
                <w:szCs w:val="20"/>
              </w:rPr>
            </w:pPr>
          </w:p>
        </w:tc>
        <w:tc>
          <w:tcPr>
            <w:tcW w:w="5706" w:type="dxa"/>
            <w:vAlign w:val="center"/>
          </w:tcPr>
          <w:p w14:paraId="4EA2BAB0" w14:textId="177A2769" w:rsidR="009C4372" w:rsidRDefault="009C4372" w:rsidP="002562B9">
            <w:pPr>
              <w:rPr>
                <w:sz w:val="20"/>
                <w:szCs w:val="20"/>
              </w:rPr>
            </w:pPr>
            <w:r>
              <w:rPr>
                <w:sz w:val="20"/>
                <w:szCs w:val="20"/>
              </w:rPr>
              <w:t xml:space="preserve">Réalisation du </w:t>
            </w:r>
            <w:proofErr w:type="spellStart"/>
            <w:r>
              <w:rPr>
                <w:sz w:val="20"/>
                <w:szCs w:val="20"/>
              </w:rPr>
              <w:t>CERFA</w:t>
            </w:r>
            <w:proofErr w:type="spellEnd"/>
            <w:r>
              <w:rPr>
                <w:sz w:val="20"/>
                <w:szCs w:val="20"/>
              </w:rPr>
              <w:t xml:space="preserve"> 2058 (sur tableur) à partir des informations calculées et du document fournis.</w:t>
            </w:r>
          </w:p>
        </w:tc>
      </w:tr>
      <w:tr w:rsidR="009C4372" w:rsidRPr="00853684" w14:paraId="14FD663B" w14:textId="77777777" w:rsidTr="00906118">
        <w:trPr>
          <w:jc w:val="center"/>
        </w:trPr>
        <w:tc>
          <w:tcPr>
            <w:tcW w:w="737" w:type="dxa"/>
            <w:vAlign w:val="center"/>
          </w:tcPr>
          <w:p w14:paraId="4D1BC597" w14:textId="77777777" w:rsidR="009C4372" w:rsidRPr="00853684" w:rsidRDefault="009C4372" w:rsidP="002562B9">
            <w:pPr>
              <w:jc w:val="center"/>
              <w:rPr>
                <w:sz w:val="20"/>
                <w:szCs w:val="20"/>
              </w:rPr>
            </w:pPr>
          </w:p>
        </w:tc>
        <w:tc>
          <w:tcPr>
            <w:tcW w:w="737" w:type="dxa"/>
            <w:vAlign w:val="center"/>
          </w:tcPr>
          <w:p w14:paraId="3D78168F" w14:textId="77777777" w:rsidR="009C4372" w:rsidRPr="00853684" w:rsidRDefault="009C4372" w:rsidP="002562B9">
            <w:pPr>
              <w:jc w:val="center"/>
              <w:rPr>
                <w:sz w:val="20"/>
                <w:szCs w:val="20"/>
              </w:rPr>
            </w:pPr>
          </w:p>
        </w:tc>
        <w:tc>
          <w:tcPr>
            <w:tcW w:w="751" w:type="dxa"/>
            <w:vAlign w:val="center"/>
          </w:tcPr>
          <w:p w14:paraId="43064A95" w14:textId="77777777" w:rsidR="009C4372" w:rsidRDefault="009C4372" w:rsidP="002562B9">
            <w:pPr>
              <w:jc w:val="center"/>
              <w:rPr>
                <w:sz w:val="20"/>
                <w:szCs w:val="20"/>
              </w:rPr>
            </w:pPr>
          </w:p>
        </w:tc>
        <w:tc>
          <w:tcPr>
            <w:tcW w:w="823" w:type="dxa"/>
          </w:tcPr>
          <w:p w14:paraId="63681FC7" w14:textId="3CC49A10" w:rsidR="009C4372" w:rsidRDefault="009C4372" w:rsidP="002562B9">
            <w:pPr>
              <w:jc w:val="center"/>
              <w:rPr>
                <w:sz w:val="20"/>
                <w:szCs w:val="20"/>
              </w:rPr>
            </w:pPr>
            <w:r>
              <w:rPr>
                <w:sz w:val="20"/>
                <w:szCs w:val="20"/>
              </w:rPr>
              <w:t>3.3.4</w:t>
            </w:r>
          </w:p>
        </w:tc>
        <w:tc>
          <w:tcPr>
            <w:tcW w:w="823" w:type="dxa"/>
            <w:vAlign w:val="center"/>
          </w:tcPr>
          <w:p w14:paraId="2C97F37B" w14:textId="77777777" w:rsidR="009C4372" w:rsidRPr="00853684" w:rsidRDefault="009C4372" w:rsidP="002562B9">
            <w:pPr>
              <w:jc w:val="center"/>
              <w:rPr>
                <w:sz w:val="20"/>
                <w:szCs w:val="20"/>
              </w:rPr>
            </w:pPr>
          </w:p>
        </w:tc>
        <w:tc>
          <w:tcPr>
            <w:tcW w:w="5706" w:type="dxa"/>
            <w:vAlign w:val="center"/>
          </w:tcPr>
          <w:p w14:paraId="5C647585" w14:textId="0EEFB9D7" w:rsidR="009C4372" w:rsidRDefault="009C4372" w:rsidP="002562B9">
            <w:pPr>
              <w:rPr>
                <w:sz w:val="20"/>
                <w:szCs w:val="20"/>
              </w:rPr>
            </w:pPr>
            <w:r>
              <w:rPr>
                <w:sz w:val="20"/>
                <w:szCs w:val="20"/>
              </w:rPr>
              <w:t>Calcul de l’impôt sur les sociétés et des acomptes et préparation de l’échéancier fiscal</w:t>
            </w:r>
            <w:r w:rsidR="006F5EAC">
              <w:rPr>
                <w:sz w:val="20"/>
                <w:szCs w:val="20"/>
              </w:rPr>
              <w:t>. Remplissage du dossier d’inventaire.</w:t>
            </w:r>
          </w:p>
        </w:tc>
      </w:tr>
      <w:tr w:rsidR="009C4372" w:rsidRPr="00853684" w14:paraId="7C0C9BD9" w14:textId="77777777" w:rsidTr="00906118">
        <w:trPr>
          <w:jc w:val="center"/>
        </w:trPr>
        <w:tc>
          <w:tcPr>
            <w:tcW w:w="737" w:type="dxa"/>
            <w:vAlign w:val="center"/>
          </w:tcPr>
          <w:p w14:paraId="5847A306" w14:textId="77777777" w:rsidR="009C4372" w:rsidRPr="00853684" w:rsidRDefault="009C4372" w:rsidP="002562B9">
            <w:pPr>
              <w:jc w:val="center"/>
              <w:rPr>
                <w:sz w:val="20"/>
                <w:szCs w:val="20"/>
              </w:rPr>
            </w:pPr>
          </w:p>
        </w:tc>
        <w:tc>
          <w:tcPr>
            <w:tcW w:w="737" w:type="dxa"/>
            <w:vAlign w:val="center"/>
          </w:tcPr>
          <w:p w14:paraId="4F4602DB" w14:textId="77777777" w:rsidR="009C4372" w:rsidRPr="00853684" w:rsidRDefault="009C4372" w:rsidP="002562B9">
            <w:pPr>
              <w:jc w:val="center"/>
              <w:rPr>
                <w:sz w:val="20"/>
                <w:szCs w:val="20"/>
              </w:rPr>
            </w:pPr>
          </w:p>
        </w:tc>
        <w:tc>
          <w:tcPr>
            <w:tcW w:w="751" w:type="dxa"/>
            <w:vAlign w:val="center"/>
          </w:tcPr>
          <w:p w14:paraId="4BE8780E" w14:textId="77777777" w:rsidR="009C4372" w:rsidRDefault="009C4372" w:rsidP="002562B9">
            <w:pPr>
              <w:jc w:val="center"/>
              <w:rPr>
                <w:sz w:val="20"/>
                <w:szCs w:val="20"/>
              </w:rPr>
            </w:pPr>
          </w:p>
        </w:tc>
        <w:tc>
          <w:tcPr>
            <w:tcW w:w="823" w:type="dxa"/>
          </w:tcPr>
          <w:p w14:paraId="30528B87" w14:textId="23B3BFCE" w:rsidR="009C4372" w:rsidRDefault="006F5EAC" w:rsidP="002562B9">
            <w:pPr>
              <w:jc w:val="center"/>
              <w:rPr>
                <w:sz w:val="20"/>
                <w:szCs w:val="20"/>
              </w:rPr>
            </w:pPr>
            <w:r>
              <w:rPr>
                <w:sz w:val="20"/>
                <w:szCs w:val="20"/>
              </w:rPr>
              <w:t>3.3.5</w:t>
            </w:r>
          </w:p>
        </w:tc>
        <w:tc>
          <w:tcPr>
            <w:tcW w:w="823" w:type="dxa"/>
            <w:vAlign w:val="center"/>
          </w:tcPr>
          <w:p w14:paraId="69BF76BC" w14:textId="77777777" w:rsidR="009C4372" w:rsidRPr="00853684" w:rsidRDefault="009C4372" w:rsidP="002562B9">
            <w:pPr>
              <w:jc w:val="center"/>
              <w:rPr>
                <w:sz w:val="20"/>
                <w:szCs w:val="20"/>
              </w:rPr>
            </w:pPr>
          </w:p>
        </w:tc>
        <w:tc>
          <w:tcPr>
            <w:tcW w:w="5706" w:type="dxa"/>
            <w:vAlign w:val="center"/>
          </w:tcPr>
          <w:p w14:paraId="713AE914" w14:textId="1DB93317" w:rsidR="009C4372" w:rsidRDefault="006F5EAC" w:rsidP="002562B9">
            <w:pPr>
              <w:rPr>
                <w:sz w:val="20"/>
                <w:szCs w:val="20"/>
              </w:rPr>
            </w:pPr>
            <w:r>
              <w:rPr>
                <w:sz w:val="20"/>
                <w:szCs w:val="20"/>
              </w:rPr>
              <w:t xml:space="preserve">Réalisation de l’écriture de l’IS sur le </w:t>
            </w:r>
            <w:proofErr w:type="spellStart"/>
            <w:r>
              <w:rPr>
                <w:sz w:val="20"/>
                <w:szCs w:val="20"/>
              </w:rPr>
              <w:t>PGI</w:t>
            </w:r>
            <w:proofErr w:type="spellEnd"/>
            <w:r>
              <w:rPr>
                <w:sz w:val="20"/>
                <w:szCs w:val="20"/>
              </w:rPr>
              <w:t xml:space="preserve"> en relation avec les calculs et les éléments préalables. Impression de la balance après écriture pour vérification des comptes en rapport avec le dossier d’inventaire.</w:t>
            </w:r>
          </w:p>
        </w:tc>
      </w:tr>
      <w:tr w:rsidR="00906118" w:rsidRPr="00853684" w14:paraId="19B38798" w14:textId="77777777" w:rsidTr="00906118">
        <w:trPr>
          <w:jc w:val="center"/>
        </w:trPr>
        <w:tc>
          <w:tcPr>
            <w:tcW w:w="737" w:type="dxa"/>
            <w:vAlign w:val="center"/>
          </w:tcPr>
          <w:p w14:paraId="41F74DAC" w14:textId="77777777" w:rsidR="00906118" w:rsidRPr="00853684" w:rsidRDefault="00906118" w:rsidP="002562B9">
            <w:pPr>
              <w:jc w:val="center"/>
              <w:rPr>
                <w:sz w:val="20"/>
                <w:szCs w:val="20"/>
              </w:rPr>
            </w:pPr>
          </w:p>
        </w:tc>
        <w:tc>
          <w:tcPr>
            <w:tcW w:w="737" w:type="dxa"/>
            <w:vAlign w:val="center"/>
          </w:tcPr>
          <w:p w14:paraId="476BA41D" w14:textId="77777777" w:rsidR="00906118" w:rsidRPr="00853684" w:rsidRDefault="00906118" w:rsidP="002562B9">
            <w:pPr>
              <w:jc w:val="center"/>
              <w:rPr>
                <w:sz w:val="20"/>
                <w:szCs w:val="20"/>
              </w:rPr>
            </w:pPr>
          </w:p>
        </w:tc>
        <w:tc>
          <w:tcPr>
            <w:tcW w:w="751" w:type="dxa"/>
            <w:vAlign w:val="center"/>
          </w:tcPr>
          <w:p w14:paraId="650AC64C" w14:textId="77777777" w:rsidR="00906118" w:rsidRDefault="00906118" w:rsidP="002562B9">
            <w:pPr>
              <w:jc w:val="center"/>
              <w:rPr>
                <w:sz w:val="20"/>
                <w:szCs w:val="20"/>
              </w:rPr>
            </w:pPr>
          </w:p>
        </w:tc>
        <w:tc>
          <w:tcPr>
            <w:tcW w:w="823" w:type="dxa"/>
          </w:tcPr>
          <w:p w14:paraId="69662F6B" w14:textId="561516D6" w:rsidR="00906118" w:rsidRPr="00853684" w:rsidRDefault="00906118" w:rsidP="002562B9">
            <w:pPr>
              <w:jc w:val="center"/>
              <w:rPr>
                <w:sz w:val="20"/>
                <w:szCs w:val="20"/>
              </w:rPr>
            </w:pPr>
          </w:p>
        </w:tc>
        <w:tc>
          <w:tcPr>
            <w:tcW w:w="823" w:type="dxa"/>
            <w:vAlign w:val="center"/>
          </w:tcPr>
          <w:p w14:paraId="10360599" w14:textId="2A9FF8B6" w:rsidR="00906118" w:rsidRPr="00853684" w:rsidRDefault="006F5EAC" w:rsidP="002562B9">
            <w:pPr>
              <w:jc w:val="center"/>
              <w:rPr>
                <w:sz w:val="20"/>
                <w:szCs w:val="20"/>
              </w:rPr>
            </w:pPr>
            <w:r>
              <w:rPr>
                <w:sz w:val="20"/>
                <w:szCs w:val="20"/>
              </w:rPr>
              <w:t>7.3.3</w:t>
            </w:r>
          </w:p>
        </w:tc>
        <w:tc>
          <w:tcPr>
            <w:tcW w:w="5706" w:type="dxa"/>
            <w:vAlign w:val="center"/>
          </w:tcPr>
          <w:p w14:paraId="03817D60" w14:textId="67EF2EE4" w:rsidR="00906118" w:rsidRPr="00853684" w:rsidRDefault="006F5EAC" w:rsidP="002562B9">
            <w:pPr>
              <w:rPr>
                <w:sz w:val="20"/>
                <w:szCs w:val="20"/>
              </w:rPr>
            </w:pPr>
            <w:r>
              <w:rPr>
                <w:sz w:val="20"/>
                <w:szCs w:val="20"/>
              </w:rPr>
              <w:t xml:space="preserve">Proposer une solution de stockage des sauvegardes pour sécuriser le système de l’entité en tenant compte des </w:t>
            </w:r>
            <w:r w:rsidR="00037A92">
              <w:rPr>
                <w:sz w:val="20"/>
                <w:szCs w:val="20"/>
              </w:rPr>
              <w:t>contraintes</w:t>
            </w:r>
            <w:r>
              <w:rPr>
                <w:sz w:val="20"/>
                <w:szCs w:val="20"/>
              </w:rPr>
              <w:t xml:space="preserve"> données par le chef d’entreprise.</w:t>
            </w:r>
          </w:p>
        </w:tc>
      </w:tr>
      <w:tr w:rsidR="00906118" w:rsidRPr="007728FF" w14:paraId="2F9969A9" w14:textId="77777777" w:rsidTr="00906118">
        <w:trPr>
          <w:jc w:val="center"/>
        </w:trPr>
        <w:tc>
          <w:tcPr>
            <w:tcW w:w="737" w:type="dxa"/>
            <w:shd w:val="clear" w:color="auto" w:fill="E2EFD9" w:themeFill="accent6" w:themeFillTint="33"/>
            <w:vAlign w:val="center"/>
          </w:tcPr>
          <w:p w14:paraId="1765A325" w14:textId="77777777" w:rsidR="00906118" w:rsidRPr="007728FF" w:rsidRDefault="00906118" w:rsidP="002562B9">
            <w:pPr>
              <w:jc w:val="center"/>
              <w:rPr>
                <w:iCs/>
                <w:sz w:val="20"/>
                <w:szCs w:val="20"/>
              </w:rPr>
            </w:pPr>
          </w:p>
        </w:tc>
        <w:tc>
          <w:tcPr>
            <w:tcW w:w="737" w:type="dxa"/>
            <w:shd w:val="clear" w:color="auto" w:fill="E2EFD9" w:themeFill="accent6" w:themeFillTint="33"/>
            <w:vAlign w:val="center"/>
          </w:tcPr>
          <w:p w14:paraId="31307C83" w14:textId="77777777" w:rsidR="00906118" w:rsidRPr="007728FF" w:rsidRDefault="00906118" w:rsidP="002562B9">
            <w:pPr>
              <w:jc w:val="center"/>
              <w:rPr>
                <w:iCs/>
                <w:sz w:val="20"/>
                <w:szCs w:val="20"/>
              </w:rPr>
            </w:pPr>
          </w:p>
        </w:tc>
        <w:tc>
          <w:tcPr>
            <w:tcW w:w="751" w:type="dxa"/>
            <w:shd w:val="clear" w:color="auto" w:fill="E2EFD9" w:themeFill="accent6" w:themeFillTint="33"/>
            <w:vAlign w:val="center"/>
          </w:tcPr>
          <w:p w14:paraId="357907C4" w14:textId="77777777" w:rsidR="00906118" w:rsidRPr="007728FF" w:rsidRDefault="00906118" w:rsidP="002562B9">
            <w:pPr>
              <w:jc w:val="center"/>
              <w:rPr>
                <w:iCs/>
                <w:sz w:val="20"/>
                <w:szCs w:val="20"/>
              </w:rPr>
            </w:pPr>
          </w:p>
        </w:tc>
        <w:tc>
          <w:tcPr>
            <w:tcW w:w="823" w:type="dxa"/>
            <w:shd w:val="clear" w:color="auto" w:fill="E2EFD9" w:themeFill="accent6" w:themeFillTint="33"/>
          </w:tcPr>
          <w:p w14:paraId="7F2BB308" w14:textId="77777777" w:rsidR="00906118" w:rsidRPr="007728FF" w:rsidRDefault="00906118" w:rsidP="002562B9">
            <w:pPr>
              <w:jc w:val="center"/>
              <w:rPr>
                <w:iCs/>
                <w:sz w:val="20"/>
                <w:szCs w:val="20"/>
              </w:rPr>
            </w:pPr>
          </w:p>
        </w:tc>
        <w:tc>
          <w:tcPr>
            <w:tcW w:w="823" w:type="dxa"/>
            <w:shd w:val="clear" w:color="auto" w:fill="E2EFD9" w:themeFill="accent6" w:themeFillTint="33"/>
            <w:vAlign w:val="center"/>
          </w:tcPr>
          <w:p w14:paraId="4A802906" w14:textId="3A058991" w:rsidR="00906118" w:rsidRPr="007728FF" w:rsidRDefault="00906118" w:rsidP="002562B9">
            <w:pPr>
              <w:jc w:val="center"/>
              <w:rPr>
                <w:iCs/>
                <w:sz w:val="20"/>
                <w:szCs w:val="20"/>
              </w:rPr>
            </w:pPr>
          </w:p>
        </w:tc>
        <w:tc>
          <w:tcPr>
            <w:tcW w:w="5706" w:type="dxa"/>
            <w:shd w:val="clear" w:color="auto" w:fill="E2EFD9" w:themeFill="accent6" w:themeFillTint="33"/>
            <w:vAlign w:val="center"/>
          </w:tcPr>
          <w:p w14:paraId="31B2B368" w14:textId="0219FCD8" w:rsidR="00906118" w:rsidRPr="007728FF" w:rsidRDefault="00906118" w:rsidP="002562B9">
            <w:pPr>
              <w:rPr>
                <w:iCs/>
                <w:sz w:val="20"/>
                <w:szCs w:val="20"/>
              </w:rPr>
            </w:pPr>
          </w:p>
        </w:tc>
      </w:tr>
    </w:tbl>
    <w:p w14:paraId="2B7739CF" w14:textId="77777777" w:rsidR="00215023" w:rsidRPr="005B44C2" w:rsidRDefault="00215023" w:rsidP="00215023">
      <w:pPr>
        <w:rPr>
          <w:i/>
        </w:rPr>
      </w:pPr>
    </w:p>
    <w:p w14:paraId="01F34282" w14:textId="5A6B12B6" w:rsidR="00D9207A" w:rsidRDefault="00D9207A" w:rsidP="00215023">
      <w:pPr>
        <w:rPr>
          <w:rFonts w:eastAsiaTheme="majorEastAsia" w:cstheme="majorBidi"/>
          <w:b/>
          <w:color w:val="B03434"/>
          <w:sz w:val="32"/>
          <w:szCs w:val="32"/>
        </w:rPr>
      </w:pPr>
    </w:p>
    <w:p w14:paraId="58B9A3A9" w14:textId="64C8788A" w:rsidR="006F5EAC" w:rsidRDefault="006F5EAC" w:rsidP="00215023">
      <w:pPr>
        <w:rPr>
          <w:rFonts w:eastAsiaTheme="majorEastAsia" w:cstheme="majorBidi"/>
          <w:b/>
          <w:color w:val="B03434"/>
          <w:sz w:val="32"/>
          <w:szCs w:val="32"/>
        </w:rPr>
      </w:pPr>
    </w:p>
    <w:p w14:paraId="79C5206B" w14:textId="1A79A45B" w:rsidR="006F5EAC" w:rsidRDefault="006F5EAC" w:rsidP="00215023">
      <w:pPr>
        <w:rPr>
          <w:rFonts w:eastAsiaTheme="majorEastAsia" w:cstheme="majorBidi"/>
          <w:b/>
          <w:color w:val="B03434"/>
          <w:sz w:val="32"/>
          <w:szCs w:val="32"/>
        </w:rPr>
      </w:pPr>
    </w:p>
    <w:p w14:paraId="47A2F7B9" w14:textId="77777777" w:rsidR="006F5EAC" w:rsidRDefault="006F5EAC" w:rsidP="00215023">
      <w:pPr>
        <w:rPr>
          <w:rFonts w:eastAsiaTheme="majorEastAsia" w:cstheme="majorBidi"/>
          <w:b/>
          <w:color w:val="B03434"/>
          <w:sz w:val="32"/>
          <w:szCs w:val="32"/>
        </w:rPr>
      </w:pPr>
    </w:p>
    <w:p w14:paraId="275391A1" w14:textId="7B338146" w:rsidR="00215023" w:rsidRPr="00215023" w:rsidRDefault="00215023" w:rsidP="00215023">
      <w:pPr>
        <w:rPr>
          <w:rFonts w:eastAsiaTheme="majorEastAsia" w:cstheme="majorBidi"/>
          <w:b/>
          <w:color w:val="B03434"/>
          <w:sz w:val="32"/>
          <w:szCs w:val="32"/>
        </w:rPr>
      </w:pPr>
      <w:r w:rsidRPr="00215023">
        <w:rPr>
          <w:rFonts w:eastAsiaTheme="majorEastAsia" w:cstheme="majorBidi"/>
          <w:b/>
          <w:color w:val="B03434"/>
          <w:sz w:val="32"/>
          <w:szCs w:val="32"/>
        </w:rPr>
        <w:lastRenderedPageBreak/>
        <w:t>Les productions attendues :</w:t>
      </w:r>
    </w:p>
    <w:p w14:paraId="4C0694AB" w14:textId="68DE4EE1" w:rsidR="00215023" w:rsidRDefault="00215023" w:rsidP="00215023">
      <w:pPr>
        <w:pStyle w:val="Paragraphedeliste"/>
        <w:numPr>
          <w:ilvl w:val="0"/>
          <w:numId w:val="21"/>
        </w:numPr>
        <w:spacing w:line="240" w:lineRule="auto"/>
        <w:rPr>
          <w:color w:val="634D4D" w:themeColor="text1"/>
        </w:rPr>
      </w:pPr>
      <w:r w:rsidRPr="000B3254">
        <w:rPr>
          <w:color w:val="634D4D" w:themeColor="text1"/>
        </w:rPr>
        <w:t xml:space="preserve">Comptabilité : </w:t>
      </w:r>
      <w:r w:rsidR="00037A92">
        <w:rPr>
          <w:color w:val="634D4D" w:themeColor="text1"/>
        </w:rPr>
        <w:t>d</w:t>
      </w:r>
      <w:r w:rsidR="006F5EAC">
        <w:rPr>
          <w:color w:val="634D4D" w:themeColor="text1"/>
        </w:rPr>
        <w:t xml:space="preserve">ossier d’inventaire avec les onglets stocks, clients </w:t>
      </w:r>
      <w:proofErr w:type="spellStart"/>
      <w:r w:rsidR="006F5EAC">
        <w:rPr>
          <w:color w:val="634D4D" w:themeColor="text1"/>
        </w:rPr>
        <w:t>fourn</w:t>
      </w:r>
      <w:proofErr w:type="spellEnd"/>
      <w:r w:rsidR="006F5EAC">
        <w:rPr>
          <w:color w:val="634D4D" w:themeColor="text1"/>
        </w:rPr>
        <w:t xml:space="preserve">, charges à payer, </w:t>
      </w:r>
      <w:proofErr w:type="spellStart"/>
      <w:r w:rsidR="006F5EAC">
        <w:rPr>
          <w:color w:val="634D4D" w:themeColor="text1"/>
        </w:rPr>
        <w:t>CCA</w:t>
      </w:r>
      <w:proofErr w:type="spellEnd"/>
      <w:r w:rsidR="006F5EAC">
        <w:rPr>
          <w:color w:val="634D4D" w:themeColor="text1"/>
        </w:rPr>
        <w:t xml:space="preserve"> et </w:t>
      </w:r>
      <w:proofErr w:type="spellStart"/>
      <w:r w:rsidR="006F5EAC">
        <w:rPr>
          <w:color w:val="634D4D" w:themeColor="text1"/>
        </w:rPr>
        <w:t>PCA</w:t>
      </w:r>
      <w:proofErr w:type="spellEnd"/>
      <w:r w:rsidR="006F5EAC">
        <w:rPr>
          <w:color w:val="634D4D" w:themeColor="text1"/>
        </w:rPr>
        <w:t>, immob.</w:t>
      </w:r>
      <w:r>
        <w:rPr>
          <w:color w:val="634D4D" w:themeColor="text1"/>
        </w:rPr>
        <w:t xml:space="preserve">, </w:t>
      </w:r>
      <w:proofErr w:type="spellStart"/>
      <w:r w:rsidR="006F5EAC">
        <w:rPr>
          <w:color w:val="634D4D" w:themeColor="text1"/>
        </w:rPr>
        <w:t>financ</w:t>
      </w:r>
      <w:proofErr w:type="spellEnd"/>
      <w:r w:rsidR="006F5EAC">
        <w:rPr>
          <w:color w:val="634D4D" w:themeColor="text1"/>
        </w:rPr>
        <w:t xml:space="preserve">, prov, impôts participation et </w:t>
      </w:r>
      <w:proofErr w:type="gramStart"/>
      <w:r w:rsidR="009636A6">
        <w:rPr>
          <w:color w:val="634D4D" w:themeColor="text1"/>
        </w:rPr>
        <w:t>IS</w:t>
      </w:r>
      <w:r w:rsidR="006F5EAC">
        <w:rPr>
          <w:color w:val="634D4D" w:themeColor="text1"/>
        </w:rPr>
        <w:t>..</w:t>
      </w:r>
      <w:proofErr w:type="gramEnd"/>
    </w:p>
    <w:p w14:paraId="485BE8B4" w14:textId="350BABD3" w:rsidR="006F5EAC" w:rsidRPr="006F5EAC" w:rsidRDefault="003B0BBD" w:rsidP="006F5EAC">
      <w:pPr>
        <w:spacing w:line="240" w:lineRule="auto"/>
        <w:ind w:firstLine="708"/>
        <w:rPr>
          <w:color w:val="634D4D" w:themeColor="text1"/>
        </w:rPr>
      </w:pPr>
      <w:r>
        <w:rPr>
          <w:color w:val="634D4D" w:themeColor="text1"/>
        </w:rPr>
        <w:t>Edition de la b</w:t>
      </w:r>
      <w:r w:rsidR="006F5EAC">
        <w:rPr>
          <w:color w:val="634D4D" w:themeColor="text1"/>
        </w:rPr>
        <w:t>alance finale.</w:t>
      </w:r>
    </w:p>
    <w:p w14:paraId="33825364" w14:textId="04CBE478" w:rsidR="00215023" w:rsidRDefault="006F5EAC" w:rsidP="00215023">
      <w:pPr>
        <w:pStyle w:val="Paragraphedeliste"/>
        <w:numPr>
          <w:ilvl w:val="0"/>
          <w:numId w:val="21"/>
        </w:numPr>
        <w:spacing w:line="240" w:lineRule="auto"/>
        <w:rPr>
          <w:color w:val="634D4D" w:themeColor="text1"/>
        </w:rPr>
      </w:pPr>
      <w:r>
        <w:rPr>
          <w:color w:val="634D4D" w:themeColor="text1"/>
        </w:rPr>
        <w:t xml:space="preserve">Fiscalité : </w:t>
      </w:r>
      <w:r w:rsidR="00037A92">
        <w:rPr>
          <w:color w:val="634D4D" w:themeColor="text1"/>
        </w:rPr>
        <w:t>n</w:t>
      </w:r>
      <w:r w:rsidR="00215023">
        <w:rPr>
          <w:color w:val="634D4D" w:themeColor="text1"/>
        </w:rPr>
        <w:t xml:space="preserve">ote de synthèse </w:t>
      </w:r>
      <w:r>
        <w:rPr>
          <w:color w:val="634D4D" w:themeColor="text1"/>
        </w:rPr>
        <w:t xml:space="preserve">sur les spécificités de taux d’IS pour la SARL, sur les éléments </w:t>
      </w:r>
      <w:r w:rsidR="008820FA">
        <w:rPr>
          <w:color w:val="634D4D" w:themeColor="text1"/>
        </w:rPr>
        <w:t xml:space="preserve">concernant </w:t>
      </w:r>
      <w:r w:rsidR="008820FA" w:rsidRPr="008820FA">
        <w:rPr>
          <w:color w:val="634D4D" w:themeColor="text1"/>
        </w:rPr>
        <w:t>limites de déductibilité des amortissements des véhicules de tourisme, de la déductibilité des amendes et pénalités, de la limitation de déductibilité des intérêts de comptes courants et du taux actuel à utiliser, sur la déductibilité de la taxe sur les véhicules des sociétés constituée de la taxe annuelle sur les émissions de CO2 et de la taxe annuelle sur les émissions de polluants atmosphériques de l’année</w:t>
      </w:r>
      <w:r w:rsidR="00FA3D42">
        <w:rPr>
          <w:color w:val="634D4D" w:themeColor="text1"/>
        </w:rPr>
        <w:t>.</w:t>
      </w:r>
    </w:p>
    <w:p w14:paraId="65066644" w14:textId="0E30705F" w:rsidR="00F46998" w:rsidRDefault="00F46998" w:rsidP="00F46998">
      <w:pPr>
        <w:pStyle w:val="Paragraphedeliste"/>
        <w:numPr>
          <w:ilvl w:val="0"/>
          <w:numId w:val="21"/>
        </w:numPr>
        <w:spacing w:line="240" w:lineRule="auto"/>
        <w:rPr>
          <w:color w:val="634D4D" w:themeColor="text1"/>
        </w:rPr>
      </w:pPr>
      <w:r>
        <w:rPr>
          <w:color w:val="634D4D" w:themeColor="text1"/>
        </w:rPr>
        <w:t xml:space="preserve">Fiscalité : onglet IS </w:t>
      </w:r>
      <w:r w:rsidR="009636A6">
        <w:rPr>
          <w:color w:val="634D4D" w:themeColor="text1"/>
        </w:rPr>
        <w:t xml:space="preserve">du dossier d’inventaire </w:t>
      </w:r>
      <w:r>
        <w:rPr>
          <w:color w:val="634D4D" w:themeColor="text1"/>
        </w:rPr>
        <w:t xml:space="preserve">et </w:t>
      </w:r>
      <w:proofErr w:type="spellStart"/>
      <w:r w:rsidR="00BB3FC9">
        <w:rPr>
          <w:color w:val="634D4D" w:themeColor="text1"/>
        </w:rPr>
        <w:t>CERFA</w:t>
      </w:r>
      <w:proofErr w:type="spellEnd"/>
      <w:r>
        <w:rPr>
          <w:color w:val="634D4D" w:themeColor="text1"/>
        </w:rPr>
        <w:t xml:space="preserve"> 2058 (calcul du bénéfice imposable, réintégrations, calcul de l’IS), échéancier fiscal d’IS.</w:t>
      </w:r>
      <w:r w:rsidR="00DF48DA" w:rsidRPr="00DF48DA">
        <w:rPr>
          <w:color w:val="634D4D" w:themeColor="text1"/>
        </w:rPr>
        <w:t xml:space="preserve"> </w:t>
      </w:r>
      <w:r w:rsidR="00DF48DA">
        <w:rPr>
          <w:color w:val="634D4D" w:themeColor="text1"/>
        </w:rPr>
        <w:t>Écriture d’impôt sur les sociétés</w:t>
      </w:r>
    </w:p>
    <w:p w14:paraId="2A0A1DC1" w14:textId="361B2F0E" w:rsidR="00215023" w:rsidRPr="000B3254" w:rsidRDefault="00F46998" w:rsidP="00215023">
      <w:pPr>
        <w:pStyle w:val="Paragraphedeliste"/>
        <w:numPr>
          <w:ilvl w:val="0"/>
          <w:numId w:val="21"/>
        </w:numPr>
        <w:spacing w:line="240" w:lineRule="auto"/>
        <w:rPr>
          <w:color w:val="634D4D" w:themeColor="text1"/>
        </w:rPr>
      </w:pPr>
      <w:r>
        <w:rPr>
          <w:color w:val="634D4D" w:themeColor="text1"/>
        </w:rPr>
        <w:t>Un</w:t>
      </w:r>
      <w:r w:rsidR="00215023">
        <w:rPr>
          <w:color w:val="634D4D" w:themeColor="text1"/>
        </w:rPr>
        <w:t xml:space="preserve"> courriel de réponse </w:t>
      </w:r>
      <w:r>
        <w:rPr>
          <w:color w:val="634D4D" w:themeColor="text1"/>
        </w:rPr>
        <w:t>à destination du gérant concernant la sécurité informatique.</w:t>
      </w:r>
    </w:p>
    <w:p w14:paraId="72DA296A" w14:textId="5386C5EE" w:rsidR="00215023" w:rsidRDefault="00215023">
      <w:pPr>
        <w:spacing w:after="160"/>
        <w:jc w:val="left"/>
        <w:rPr>
          <w:rFonts w:eastAsiaTheme="majorEastAsia" w:cstheme="majorBidi"/>
          <w:b/>
          <w:color w:val="B03434"/>
          <w:sz w:val="32"/>
          <w:szCs w:val="32"/>
        </w:rPr>
      </w:pPr>
    </w:p>
    <w:sectPr w:rsidR="00215023" w:rsidSect="00A70EBB">
      <w:headerReference w:type="default" r:id="rId7"/>
      <w:footerReference w:type="default" r:id="rId8"/>
      <w:headerReference w:type="first" r:id="rId9"/>
      <w:footerReference w:type="first" r:id="rId10"/>
      <w:type w:val="continuous"/>
      <w:pgSz w:w="11906" w:h="16838"/>
      <w:pgMar w:top="1135"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8494" w14:textId="77777777" w:rsidR="005B7427" w:rsidRDefault="005B7427" w:rsidP="00DA69BE">
      <w:pPr>
        <w:spacing w:line="240" w:lineRule="auto"/>
      </w:pPr>
      <w:r>
        <w:separator/>
      </w:r>
    </w:p>
  </w:endnote>
  <w:endnote w:type="continuationSeparator" w:id="0">
    <w:p w14:paraId="5EE6F8A7" w14:textId="77777777" w:rsidR="005B7427" w:rsidRDefault="005B7427" w:rsidP="00DA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D6037" w14:textId="0D1D73BD" w:rsidR="003F15C1" w:rsidRDefault="009D4438">
    <w:pPr>
      <w:pStyle w:val="Pieddepage"/>
    </w:pPr>
    <w:r w:rsidRPr="00E93E27">
      <w:rPr>
        <w:noProof/>
      </w:rPr>
      <w:drawing>
        <wp:anchor distT="0" distB="0" distL="114300" distR="114300" simplePos="0" relativeHeight="251675648" behindDoc="1" locked="0" layoutInCell="1" allowOverlap="1" wp14:anchorId="0990C881" wp14:editId="1268B1D7">
          <wp:simplePos x="0" y="0"/>
          <wp:positionH relativeFrom="column">
            <wp:posOffset>6414135</wp:posOffset>
          </wp:positionH>
          <wp:positionV relativeFrom="paragraph">
            <wp:posOffset>-53037</wp:posOffset>
          </wp:positionV>
          <wp:extent cx="394970" cy="681355"/>
          <wp:effectExtent l="0" t="0" r="5080" b="4445"/>
          <wp:wrapNone/>
          <wp:docPr id="578653745" name="Image 578653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94970" cy="681355"/>
                  </a:xfrm>
                  <a:prstGeom prst="rect">
                    <a:avLst/>
                  </a:prstGeom>
                </pic:spPr>
              </pic:pic>
            </a:graphicData>
          </a:graphic>
          <wp14:sizeRelH relativeFrom="margin">
            <wp14:pctWidth>0</wp14:pctWidth>
          </wp14:sizeRelH>
          <wp14:sizeRelV relativeFrom="margin">
            <wp14:pctHeight>0</wp14:pctHeight>
          </wp14:sizeRelV>
        </wp:anchor>
      </w:drawing>
    </w:r>
    <w:r w:rsidR="00114AF3" w:rsidRPr="00114AF3">
      <w:rPr>
        <w:noProof/>
        <w:color w:val="634D4D"/>
      </w:rPr>
      <w:drawing>
        <wp:anchor distT="0" distB="0" distL="114300" distR="114300" simplePos="0" relativeHeight="251660288" behindDoc="0" locked="0" layoutInCell="1" allowOverlap="1" wp14:anchorId="557B48B1" wp14:editId="75A081FE">
          <wp:simplePos x="0" y="0"/>
          <wp:positionH relativeFrom="column">
            <wp:posOffset>3711452</wp:posOffset>
          </wp:positionH>
          <wp:positionV relativeFrom="paragraph">
            <wp:posOffset>1270</wp:posOffset>
          </wp:positionV>
          <wp:extent cx="465446" cy="170597"/>
          <wp:effectExtent l="0" t="0" r="0" b="1270"/>
          <wp:wrapNone/>
          <wp:docPr id="1132970962"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hyperlink r:id="rId3" w:history="1">
      <w:r w:rsidR="00114AF3" w:rsidRPr="00114AF3">
        <w:rPr>
          <w:rStyle w:val="Lienhypertexte"/>
          <w:color w:val="634D4D"/>
        </w:rPr>
        <w:t>www.crcf-edu.fr</w:t>
      </w:r>
    </w:hyperlink>
    <w:r w:rsidR="00114AF3">
      <w:tab/>
    </w:r>
    <w:r w:rsidR="00037A92">
      <w:t xml:space="preserve">janvier </w:t>
    </w:r>
    <w:r w:rsidR="00906118">
      <w:t>202</w:t>
    </w:r>
    <w:r w:rsidR="00C85913">
      <w:t>6</w:t>
    </w:r>
    <w:r w:rsidR="00114AF3">
      <w:t xml:space="preserve"> – v1.0</w:t>
    </w:r>
    <w:r w:rsidR="00114AF3">
      <w:tab/>
    </w:r>
    <w:r w:rsidR="00114AF3" w:rsidRPr="003F7A48">
      <w:t xml:space="preserve">Page </w:t>
    </w:r>
    <w:r w:rsidR="00114AF3" w:rsidRPr="003F7A48">
      <w:rPr>
        <w:rStyle w:val="Numrodepage"/>
      </w:rPr>
      <w:fldChar w:fldCharType="begin"/>
    </w:r>
    <w:r w:rsidR="00114AF3" w:rsidRPr="003F7A48">
      <w:rPr>
        <w:rStyle w:val="Numrodepage"/>
      </w:rPr>
      <w:instrText xml:space="preserve"> PAGE </w:instrText>
    </w:r>
    <w:r w:rsidR="00114AF3" w:rsidRPr="003F7A48">
      <w:rPr>
        <w:rStyle w:val="Numrodepage"/>
      </w:rPr>
      <w:fldChar w:fldCharType="separate"/>
    </w:r>
    <w:r w:rsidR="00114AF3">
      <w:rPr>
        <w:rStyle w:val="Numrodepage"/>
      </w:rPr>
      <w:t>1</w:t>
    </w:r>
    <w:r w:rsidR="00114AF3" w:rsidRPr="003F7A48">
      <w:rPr>
        <w:rStyle w:val="Numrodepage"/>
      </w:rPr>
      <w:fldChar w:fldCharType="end"/>
    </w:r>
    <w:r w:rsidR="00114AF3" w:rsidRPr="003F7A48">
      <w:rPr>
        <w:rStyle w:val="Numrodepage"/>
      </w:rPr>
      <w:t>/</w:t>
    </w:r>
    <w:r w:rsidR="00114AF3" w:rsidRPr="003F7A48">
      <w:rPr>
        <w:rStyle w:val="Numrodepage"/>
      </w:rPr>
      <w:fldChar w:fldCharType="begin"/>
    </w:r>
    <w:r w:rsidR="00114AF3" w:rsidRPr="003F7A48">
      <w:rPr>
        <w:rStyle w:val="Numrodepage"/>
      </w:rPr>
      <w:instrText xml:space="preserve"> NUMPAGES </w:instrText>
    </w:r>
    <w:r w:rsidR="00114AF3" w:rsidRPr="003F7A48">
      <w:rPr>
        <w:rStyle w:val="Numrodepage"/>
      </w:rPr>
      <w:fldChar w:fldCharType="separate"/>
    </w:r>
    <w:r w:rsidR="00114AF3">
      <w:rPr>
        <w:rStyle w:val="Numrodepage"/>
      </w:rPr>
      <w:t>2</w:t>
    </w:r>
    <w:r w:rsidR="00114AF3" w:rsidRPr="003F7A48">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E77A" w14:textId="5A303083" w:rsidR="003F15C1" w:rsidRPr="001458D6" w:rsidRDefault="009D4438">
    <w:pPr>
      <w:pStyle w:val="Pieddepage"/>
      <w:rPr>
        <w:color w:val="634D4D"/>
      </w:rPr>
    </w:pPr>
    <w:r w:rsidRPr="00E93E27">
      <w:rPr>
        <w:noProof/>
      </w:rPr>
      <w:drawing>
        <wp:anchor distT="0" distB="0" distL="114300" distR="114300" simplePos="0" relativeHeight="251673600" behindDoc="1" locked="0" layoutInCell="1" allowOverlap="1" wp14:anchorId="22AB0002" wp14:editId="152C0719">
          <wp:simplePos x="0" y="0"/>
          <wp:positionH relativeFrom="column">
            <wp:posOffset>6423973</wp:posOffset>
          </wp:positionH>
          <wp:positionV relativeFrom="paragraph">
            <wp:posOffset>-67310</wp:posOffset>
          </wp:positionV>
          <wp:extent cx="394970" cy="681355"/>
          <wp:effectExtent l="0" t="0" r="5080" b="4445"/>
          <wp:wrapNone/>
          <wp:docPr id="375049117" name="Image 37504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394970" cy="681355"/>
                  </a:xfrm>
                  <a:prstGeom prst="rect">
                    <a:avLst/>
                  </a:prstGeom>
                </pic:spPr>
              </pic:pic>
            </a:graphicData>
          </a:graphic>
          <wp14:sizeRelH relativeFrom="margin">
            <wp14:pctWidth>0</wp14:pctWidth>
          </wp14:sizeRelH>
          <wp14:sizeRelV relativeFrom="margin">
            <wp14:pctHeight>0</wp14:pctHeight>
          </wp14:sizeRelV>
        </wp:anchor>
      </w:drawing>
    </w:r>
    <w:r w:rsidR="00CA2B66" w:rsidRPr="001458D6">
      <w:rPr>
        <w:noProof/>
        <w:color w:val="634D4D"/>
      </w:rPr>
      <w:drawing>
        <wp:anchor distT="0" distB="0" distL="114300" distR="114300" simplePos="0" relativeHeight="251664384" behindDoc="0" locked="0" layoutInCell="1" allowOverlap="1" wp14:anchorId="551910AA" wp14:editId="3DA127A5">
          <wp:simplePos x="0" y="0"/>
          <wp:positionH relativeFrom="column">
            <wp:posOffset>3668907</wp:posOffset>
          </wp:positionH>
          <wp:positionV relativeFrom="paragraph">
            <wp:posOffset>-635</wp:posOffset>
          </wp:positionV>
          <wp:extent cx="465446" cy="170597"/>
          <wp:effectExtent l="0" t="0" r="0" b="1270"/>
          <wp:wrapNone/>
          <wp:docPr id="94952693"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2"/>
                  <a:stretch>
                    <a:fillRect/>
                  </a:stretch>
                </pic:blipFill>
                <pic:spPr>
                  <a:xfrm>
                    <a:off x="0" y="0"/>
                    <a:ext cx="465446" cy="170597"/>
                  </a:xfrm>
                  <a:prstGeom prst="rect">
                    <a:avLst/>
                  </a:prstGeom>
                </pic:spPr>
              </pic:pic>
            </a:graphicData>
          </a:graphic>
          <wp14:sizeRelV relativeFrom="margin">
            <wp14:pctHeight>0</wp14:pctHeight>
          </wp14:sizeRelV>
        </wp:anchor>
      </w:drawing>
    </w:r>
    <w:hyperlink r:id="rId3" w:history="1">
      <w:r w:rsidR="00CA2B66" w:rsidRPr="001458D6">
        <w:rPr>
          <w:rStyle w:val="Lienhypertexte"/>
          <w:color w:val="634D4D"/>
        </w:rPr>
        <w:t>www.crcf-edu.fr</w:t>
      </w:r>
    </w:hyperlink>
    <w:r w:rsidR="00CA2B66" w:rsidRPr="001458D6">
      <w:rPr>
        <w:color w:val="634D4D"/>
      </w:rPr>
      <w:tab/>
    </w:r>
    <w:r w:rsidR="008D5F6E">
      <w:rPr>
        <w:color w:val="634D4D"/>
      </w:rPr>
      <w:t>janvier 2026</w:t>
    </w:r>
    <w:r w:rsidR="00CA2B66" w:rsidRPr="001458D6">
      <w:rPr>
        <w:color w:val="634D4D"/>
      </w:rPr>
      <w:t xml:space="preserve"> – v1.0</w:t>
    </w:r>
    <w:r w:rsidR="00CA2B66" w:rsidRPr="001458D6">
      <w:rPr>
        <w:color w:val="634D4D"/>
      </w:rPr>
      <w:tab/>
      <w:t xml:space="preserve">Page </w:t>
    </w:r>
    <w:r w:rsidR="00CA2B66" w:rsidRPr="001458D6">
      <w:rPr>
        <w:rStyle w:val="Numrodepage"/>
        <w:color w:val="634D4D"/>
      </w:rPr>
      <w:fldChar w:fldCharType="begin"/>
    </w:r>
    <w:r w:rsidR="00CA2B66" w:rsidRPr="001458D6">
      <w:rPr>
        <w:rStyle w:val="Numrodepage"/>
        <w:color w:val="634D4D"/>
      </w:rPr>
      <w:instrText xml:space="preserve"> PAGE </w:instrText>
    </w:r>
    <w:r w:rsidR="00CA2B66" w:rsidRPr="001458D6">
      <w:rPr>
        <w:rStyle w:val="Numrodepage"/>
        <w:color w:val="634D4D"/>
      </w:rPr>
      <w:fldChar w:fldCharType="separate"/>
    </w:r>
    <w:r w:rsidR="00CA2B66" w:rsidRPr="001458D6">
      <w:rPr>
        <w:rStyle w:val="Numrodepage"/>
        <w:color w:val="634D4D"/>
      </w:rPr>
      <w:t>2</w:t>
    </w:r>
    <w:r w:rsidR="00CA2B66" w:rsidRPr="001458D6">
      <w:rPr>
        <w:rStyle w:val="Numrodepage"/>
        <w:color w:val="634D4D"/>
      </w:rPr>
      <w:fldChar w:fldCharType="end"/>
    </w:r>
    <w:r w:rsidR="00CA2B66" w:rsidRPr="001458D6">
      <w:rPr>
        <w:rStyle w:val="Numrodepage"/>
        <w:color w:val="634D4D"/>
      </w:rPr>
      <w:t>/</w:t>
    </w:r>
    <w:r w:rsidR="00CA2B66" w:rsidRPr="001458D6">
      <w:rPr>
        <w:rStyle w:val="Numrodepage"/>
        <w:color w:val="634D4D"/>
      </w:rPr>
      <w:fldChar w:fldCharType="begin"/>
    </w:r>
    <w:r w:rsidR="00CA2B66" w:rsidRPr="001458D6">
      <w:rPr>
        <w:rStyle w:val="Numrodepage"/>
        <w:color w:val="634D4D"/>
      </w:rPr>
      <w:instrText xml:space="preserve"> NUMPAGES </w:instrText>
    </w:r>
    <w:r w:rsidR="00CA2B66" w:rsidRPr="001458D6">
      <w:rPr>
        <w:rStyle w:val="Numrodepage"/>
        <w:color w:val="634D4D"/>
      </w:rPr>
      <w:fldChar w:fldCharType="separate"/>
    </w:r>
    <w:r w:rsidR="00CA2B66" w:rsidRPr="001458D6">
      <w:rPr>
        <w:rStyle w:val="Numrodepage"/>
        <w:color w:val="634D4D"/>
      </w:rPr>
      <w:t>2</w:t>
    </w:r>
    <w:r w:rsidR="00CA2B66" w:rsidRPr="001458D6">
      <w:rPr>
        <w:rStyle w:val="Numrodepage"/>
        <w:color w:val="63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36D5" w14:textId="77777777" w:rsidR="005B7427" w:rsidRDefault="005B7427" w:rsidP="00DA69BE">
      <w:pPr>
        <w:spacing w:line="240" w:lineRule="auto"/>
      </w:pPr>
      <w:r>
        <w:separator/>
      </w:r>
    </w:p>
  </w:footnote>
  <w:footnote w:type="continuationSeparator" w:id="0">
    <w:p w14:paraId="1AA09CFB" w14:textId="77777777" w:rsidR="005B7427" w:rsidRDefault="005B7427" w:rsidP="00DA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BC5C" w14:textId="77777777" w:rsidR="00DA69BE" w:rsidRDefault="00E93E27">
    <w:pPr>
      <w:pStyle w:val="En-tte"/>
    </w:pPr>
    <w:r w:rsidRPr="00E93E27">
      <w:rPr>
        <w:noProof/>
      </w:rPr>
      <w:drawing>
        <wp:anchor distT="0" distB="0" distL="114300" distR="114300" simplePos="0" relativeHeight="251671552" behindDoc="1" locked="0" layoutInCell="1" allowOverlap="1" wp14:anchorId="153D6274" wp14:editId="6EF6B529">
          <wp:simplePos x="0" y="0"/>
          <wp:positionH relativeFrom="column">
            <wp:posOffset>-705163</wp:posOffset>
          </wp:positionH>
          <wp:positionV relativeFrom="paragraph">
            <wp:posOffset>-450215</wp:posOffset>
          </wp:positionV>
          <wp:extent cx="462915" cy="10699845"/>
          <wp:effectExtent l="0" t="0" r="0" b="6350"/>
          <wp:wrapNone/>
          <wp:docPr id="1452508069" name="Image 1452508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r w:rsidR="006A2C5F">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94F1" w14:textId="77777777" w:rsidR="003F15C1" w:rsidRDefault="00E93E27">
    <w:pPr>
      <w:pStyle w:val="En-tte"/>
    </w:pPr>
    <w:r w:rsidRPr="00E93E27">
      <w:rPr>
        <w:noProof/>
      </w:rPr>
      <w:drawing>
        <wp:anchor distT="0" distB="0" distL="114300" distR="114300" simplePos="0" relativeHeight="251670528" behindDoc="1" locked="0" layoutInCell="1" allowOverlap="1" wp14:anchorId="29A7E95B" wp14:editId="29B01A1B">
          <wp:simplePos x="0" y="0"/>
          <wp:positionH relativeFrom="column">
            <wp:posOffset>-704537</wp:posOffset>
          </wp:positionH>
          <wp:positionV relativeFrom="paragraph">
            <wp:posOffset>-463550</wp:posOffset>
          </wp:positionV>
          <wp:extent cx="462915" cy="10699845"/>
          <wp:effectExtent l="0" t="0" r="0" b="6350"/>
          <wp:wrapNone/>
          <wp:docPr id="394622233" name="Image 39462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2915" cy="10699845"/>
                  </a:xfrm>
                  <a:prstGeom prst="rect">
                    <a:avLst/>
                  </a:prstGeom>
                </pic:spPr>
              </pic:pic>
            </a:graphicData>
          </a:graphic>
          <wp14:sizeRelV relativeFrom="margin">
            <wp14:pctHeight>0</wp14:pctHeight>
          </wp14:sizeRelV>
        </wp:anchor>
      </w:drawing>
    </w:r>
    <w:r w:rsidR="00CA2B66">
      <w:rPr>
        <w:noProof/>
      </w:rPr>
      <w:drawing>
        <wp:anchor distT="0" distB="0" distL="114300" distR="114300" simplePos="0" relativeHeight="251662336" behindDoc="0" locked="0" layoutInCell="1" allowOverlap="1" wp14:anchorId="63E653AD" wp14:editId="1624F3D5">
          <wp:simplePos x="0" y="0"/>
          <wp:positionH relativeFrom="column">
            <wp:posOffset>1470660</wp:posOffset>
          </wp:positionH>
          <wp:positionV relativeFrom="paragraph">
            <wp:posOffset>-250190</wp:posOffset>
          </wp:positionV>
          <wp:extent cx="3248025" cy="464051"/>
          <wp:effectExtent l="0" t="0" r="0" b="0"/>
          <wp:wrapNone/>
          <wp:docPr id="210771392" name="Image 21077139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8025" cy="46405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47099888" o:spid="_x0000_i1025" type="#_x0000_t75" style="width:12pt;height:12pt;visibility:visible;mso-wrap-style:square" o:bullet="t">
        <v:imagedata r:id="rId1" o:title=""/>
      </v:shape>
    </w:pict>
  </w:numPicBullet>
  <w:numPicBullet w:numPicBulletId="1">
    <w:pict>
      <v:shape id="Image 356667077" o:spid="_x0000_i1026" type="#_x0000_t75" style="width:159.75pt;height:156pt;visibility:visible;mso-wrap-style:square" o:bullet="t">
        <v:imagedata r:id="rId2" o:title=""/>
      </v:shape>
    </w:pict>
  </w:numPicBullet>
  <w:abstractNum w:abstractNumId="0" w15:restartNumberingAfterBreak="0">
    <w:nsid w:val="01677573"/>
    <w:multiLevelType w:val="hybridMultilevel"/>
    <w:tmpl w:val="F40C178A"/>
    <w:lvl w:ilvl="0" w:tplc="07769546">
      <w:start w:val="1"/>
      <w:numFmt w:val="decimal"/>
      <w:pStyle w:val="Titre2"/>
      <w:lvlText w:val="%1."/>
      <w:lvlJc w:val="left"/>
      <w:pPr>
        <w:ind w:left="720" w:hanging="360"/>
      </w:pPr>
      <w:rPr>
        <w:rFonts w:ascii="Tw Cen MT" w:hAnsi="Tw Cen MT" w:hint="default"/>
        <w:b w:val="0"/>
        <w:i w:val="0"/>
        <w:strike w:val="0"/>
        <w:dstrike w:val="0"/>
        <w:color w:val="634D4D"/>
        <w:sz w:val="2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5E44FE"/>
    <w:multiLevelType w:val="multilevel"/>
    <w:tmpl w:val="2DF0C15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w Cen MT" w:hAnsi="Tw Cen MT" w:hint="default"/>
        <w:b w:val="0"/>
        <w:i w:val="0"/>
        <w:color w:val="CCA876"/>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9D325A"/>
    <w:multiLevelType w:val="hybridMultilevel"/>
    <w:tmpl w:val="DB004840"/>
    <w:lvl w:ilvl="0" w:tplc="EFD089A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5F7AF9"/>
    <w:multiLevelType w:val="hybridMultilevel"/>
    <w:tmpl w:val="E6CCAD90"/>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12054A"/>
    <w:multiLevelType w:val="hybridMultilevel"/>
    <w:tmpl w:val="2C6234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1012FC"/>
    <w:multiLevelType w:val="multilevel"/>
    <w:tmpl w:val="7C38E20C"/>
    <w:lvl w:ilvl="0">
      <w:start w:val="1"/>
      <w:numFmt w:val="lowerLetter"/>
      <w:lvlText w:val="%1."/>
      <w:lvlJc w:val="left"/>
      <w:pPr>
        <w:ind w:left="2136" w:hanging="360"/>
      </w:pPr>
      <w:rPr>
        <w:rFonts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6" w15:restartNumberingAfterBreak="0">
    <w:nsid w:val="1CA46F58"/>
    <w:multiLevelType w:val="hybridMultilevel"/>
    <w:tmpl w:val="9C6450E6"/>
    <w:lvl w:ilvl="0" w:tplc="400EBF3A">
      <w:start w:val="1"/>
      <w:numFmt w:val="bullet"/>
      <w:lvlText w:val=""/>
      <w:lvlPicBulletId w:val="1"/>
      <w:lvlJc w:val="left"/>
      <w:pPr>
        <w:ind w:left="720" w:hanging="360"/>
      </w:pPr>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671EBB"/>
    <w:multiLevelType w:val="hybridMultilevel"/>
    <w:tmpl w:val="5C5001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4256BA"/>
    <w:multiLevelType w:val="hybridMultilevel"/>
    <w:tmpl w:val="306AE1BA"/>
    <w:lvl w:ilvl="0" w:tplc="2EFCC52E">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860B72"/>
    <w:multiLevelType w:val="hybridMultilevel"/>
    <w:tmpl w:val="BE44F1C2"/>
    <w:lvl w:ilvl="0" w:tplc="A4A6E5AA">
      <w:start w:val="1"/>
      <w:numFmt w:val="decimal"/>
      <w:pStyle w:val="Titre3"/>
      <w:lvlText w:val="%1)"/>
      <w:lvlJc w:val="left"/>
      <w:pPr>
        <w:ind w:left="720" w:hanging="360"/>
      </w:pPr>
      <w:rPr>
        <w:rFonts w:ascii="Tw Cen MT" w:hAnsi="Tw Cen MT" w:hint="default"/>
        <w:b w:val="0"/>
        <w:i w:val="0"/>
        <w:strike w:val="0"/>
        <w:dstrike w:val="0"/>
        <w:color w:val="CCA876"/>
        <w:sz w:val="24"/>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3929D9"/>
    <w:multiLevelType w:val="hybridMultilevel"/>
    <w:tmpl w:val="450C3F88"/>
    <w:lvl w:ilvl="0" w:tplc="01DEE9D6">
      <w:start w:val="1"/>
      <w:numFmt w:val="decimal"/>
      <w:lvlText w:val="%1."/>
      <w:lvlJc w:val="left"/>
      <w:pPr>
        <w:ind w:left="720" w:hanging="360"/>
      </w:pPr>
      <w:rPr>
        <w:rFonts w:ascii="Tw Cen MT" w:hAnsi="Tw Cen MT" w:hint="default"/>
        <w:b w:val="0"/>
        <w:i w:val="0"/>
        <w:strike w:val="0"/>
        <w:dstrike w:val="0"/>
        <w:color w:val="92754C"/>
        <w:sz w:val="22"/>
        <w:vertAlign w:val="baseline"/>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1AB1C32"/>
    <w:multiLevelType w:val="hybridMultilevel"/>
    <w:tmpl w:val="C16036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C637C7"/>
    <w:multiLevelType w:val="multilevel"/>
    <w:tmpl w:val="33A000F4"/>
    <w:lvl w:ilvl="0">
      <w:start w:val="1"/>
      <w:numFmt w:val="lowerLetter"/>
      <w:pStyle w:val="Titre4"/>
      <w:lvlText w:val="1.%1"/>
      <w:lvlJc w:val="left"/>
      <w:pPr>
        <w:ind w:left="2136" w:hanging="360"/>
      </w:pPr>
      <w:rPr>
        <w:rFonts w:ascii="Tw Cen MT" w:hAnsi="Tw Cen MT" w:hint="default"/>
        <w:b w:val="0"/>
        <w:i w:val="0"/>
        <w:strike w:val="0"/>
        <w:dstrike w:val="0"/>
        <w:color w:val="CCA876"/>
        <w:sz w:val="24"/>
        <w:vertAlign w:val="baseline"/>
      </w:rPr>
    </w:lvl>
    <w:lvl w:ilvl="1">
      <w:start w:val="1"/>
      <w:numFmt w:val="lowerLetter"/>
      <w:lvlText w:val="%2."/>
      <w:lvlJc w:val="left"/>
      <w:pPr>
        <w:ind w:left="2856" w:hanging="360"/>
      </w:pPr>
      <w:rPr>
        <w:rFonts w:hint="default"/>
      </w:rPr>
    </w:lvl>
    <w:lvl w:ilvl="2">
      <w:start w:val="1"/>
      <w:numFmt w:val="lowerRoman"/>
      <w:lvlText w:val="%3."/>
      <w:lvlJc w:val="right"/>
      <w:pPr>
        <w:ind w:left="3576" w:hanging="180"/>
      </w:pPr>
      <w:rPr>
        <w:rFonts w:hint="default"/>
      </w:rPr>
    </w:lvl>
    <w:lvl w:ilvl="3">
      <w:start w:val="1"/>
      <w:numFmt w:val="decimal"/>
      <w:lvlText w:val="%4."/>
      <w:lvlJc w:val="left"/>
      <w:pPr>
        <w:ind w:left="4296" w:hanging="360"/>
      </w:pPr>
      <w:rPr>
        <w:rFonts w:hint="default"/>
      </w:rPr>
    </w:lvl>
    <w:lvl w:ilvl="4">
      <w:start w:val="1"/>
      <w:numFmt w:val="lowerLetter"/>
      <w:lvlText w:val="%5."/>
      <w:lvlJc w:val="left"/>
      <w:pPr>
        <w:ind w:left="5016" w:hanging="360"/>
      </w:pPr>
      <w:rPr>
        <w:rFonts w:hint="default"/>
      </w:rPr>
    </w:lvl>
    <w:lvl w:ilvl="5">
      <w:start w:val="1"/>
      <w:numFmt w:val="lowerRoman"/>
      <w:lvlText w:val="%6."/>
      <w:lvlJc w:val="right"/>
      <w:pPr>
        <w:ind w:left="5736" w:hanging="180"/>
      </w:pPr>
      <w:rPr>
        <w:rFonts w:hint="default"/>
      </w:rPr>
    </w:lvl>
    <w:lvl w:ilvl="6">
      <w:start w:val="1"/>
      <w:numFmt w:val="decimal"/>
      <w:lvlText w:val="%7."/>
      <w:lvlJc w:val="left"/>
      <w:pPr>
        <w:ind w:left="6456" w:hanging="360"/>
      </w:pPr>
      <w:rPr>
        <w:rFonts w:hint="default"/>
      </w:rPr>
    </w:lvl>
    <w:lvl w:ilvl="7">
      <w:start w:val="1"/>
      <w:numFmt w:val="lowerLetter"/>
      <w:lvlText w:val="%8."/>
      <w:lvlJc w:val="left"/>
      <w:pPr>
        <w:ind w:left="7176" w:hanging="360"/>
      </w:pPr>
      <w:rPr>
        <w:rFonts w:hint="default"/>
      </w:rPr>
    </w:lvl>
    <w:lvl w:ilvl="8">
      <w:start w:val="1"/>
      <w:numFmt w:val="lowerRoman"/>
      <w:lvlText w:val="%9."/>
      <w:lvlJc w:val="right"/>
      <w:pPr>
        <w:ind w:left="7896" w:hanging="180"/>
      </w:pPr>
      <w:rPr>
        <w:rFonts w:hint="default"/>
      </w:rPr>
    </w:lvl>
  </w:abstractNum>
  <w:abstractNum w:abstractNumId="13" w15:restartNumberingAfterBreak="0">
    <w:nsid w:val="33C415D8"/>
    <w:multiLevelType w:val="multilevel"/>
    <w:tmpl w:val="4F4A4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405AC"/>
    <w:multiLevelType w:val="hybridMultilevel"/>
    <w:tmpl w:val="AC92FF66"/>
    <w:lvl w:ilvl="0" w:tplc="400EBF3A">
      <w:start w:val="1"/>
      <w:numFmt w:val="bullet"/>
      <w:lvlText w:val=""/>
      <w:lvlPicBulletId w:val="1"/>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1B4B70"/>
    <w:multiLevelType w:val="hybridMultilevel"/>
    <w:tmpl w:val="FD46F678"/>
    <w:lvl w:ilvl="0" w:tplc="626ADC32">
      <w:start w:val="1"/>
      <w:numFmt w:val="bullet"/>
      <w:lvlText w:val=""/>
      <w:lvlPicBulletId w:val="1"/>
      <w:lvlJc w:val="left"/>
      <w:rPr>
        <w:rFonts w:ascii="Symbol" w:hAnsi="Symbol"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6C81A40"/>
    <w:multiLevelType w:val="hybridMultilevel"/>
    <w:tmpl w:val="94BC974A"/>
    <w:lvl w:ilvl="0" w:tplc="9B3CCEF0">
      <w:start w:val="1"/>
      <w:numFmt w:val="bullet"/>
      <w:suff w:val="space"/>
      <w:lvlText w:val=""/>
      <w:lvlPicBulletId w:val="1"/>
      <w:lvlJc w:val="left"/>
      <w:pPr>
        <w:ind w:left="0"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0961C6"/>
    <w:multiLevelType w:val="hybridMultilevel"/>
    <w:tmpl w:val="6178D71A"/>
    <w:lvl w:ilvl="0" w:tplc="400EBF3A">
      <w:start w:val="1"/>
      <w:numFmt w:val="bullet"/>
      <w:lvlText w:val=""/>
      <w:lvlPicBulletId w:val="1"/>
      <w:lvlJc w:val="left"/>
      <w:pPr>
        <w:ind w:left="720" w:hanging="363"/>
      </w:pPr>
      <w:rPr>
        <w:rFonts w:ascii="Symbol" w:hAnsi="Symbol" w:hint="default"/>
        <w:color w:val="auto"/>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1B0FCD"/>
    <w:multiLevelType w:val="hybridMultilevel"/>
    <w:tmpl w:val="D86E7208"/>
    <w:lvl w:ilvl="0" w:tplc="A6E2D5AC">
      <w:start w:val="1"/>
      <w:numFmt w:val="bullet"/>
      <w:suff w:val="space"/>
      <w:lvlText w:val=""/>
      <w:lvlPicBulletId w:val="1"/>
      <w:lvlJc w:val="left"/>
      <w:pPr>
        <w:ind w:left="284" w:firstLine="0"/>
      </w:pPr>
      <w:rPr>
        <w:rFonts w:ascii="Symbol" w:hAnsi="Symbol" w:hint="default"/>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9A1687"/>
    <w:multiLevelType w:val="multilevel"/>
    <w:tmpl w:val="F93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C54EBA"/>
    <w:multiLevelType w:val="hybridMultilevel"/>
    <w:tmpl w:val="D1646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DC65EF9"/>
    <w:multiLevelType w:val="hybridMultilevel"/>
    <w:tmpl w:val="00DC4E3C"/>
    <w:lvl w:ilvl="0" w:tplc="BA2EFB2A">
      <w:numFmt w:val="bullet"/>
      <w:lvlText w:val="-"/>
      <w:lvlJc w:val="left"/>
      <w:pPr>
        <w:ind w:left="720" w:hanging="360"/>
      </w:pPr>
      <w:rPr>
        <w:rFonts w:ascii="Tw Cen MT" w:eastAsiaTheme="minorHAnsi" w:hAnsi="Tw Cen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1456526">
    <w:abstractNumId w:val="19"/>
  </w:num>
  <w:num w:numId="2" w16cid:durableId="219093361">
    <w:abstractNumId w:val="13"/>
  </w:num>
  <w:num w:numId="3" w16cid:durableId="1934969304">
    <w:abstractNumId w:val="15"/>
  </w:num>
  <w:num w:numId="4" w16cid:durableId="1714846645">
    <w:abstractNumId w:val="10"/>
  </w:num>
  <w:num w:numId="5" w16cid:durableId="1649090476">
    <w:abstractNumId w:val="16"/>
  </w:num>
  <w:num w:numId="6" w16cid:durableId="1904022902">
    <w:abstractNumId w:val="18"/>
  </w:num>
  <w:num w:numId="7" w16cid:durableId="714475689">
    <w:abstractNumId w:val="17"/>
  </w:num>
  <w:num w:numId="8" w16cid:durableId="29648533">
    <w:abstractNumId w:val="2"/>
  </w:num>
  <w:num w:numId="9" w16cid:durableId="327560234">
    <w:abstractNumId w:val="0"/>
  </w:num>
  <w:num w:numId="10" w16cid:durableId="1571574481">
    <w:abstractNumId w:val="9"/>
  </w:num>
  <w:num w:numId="11" w16cid:durableId="928392573">
    <w:abstractNumId w:val="9"/>
    <w:lvlOverride w:ilvl="0">
      <w:startOverride w:val="1"/>
    </w:lvlOverride>
  </w:num>
  <w:num w:numId="12" w16cid:durableId="1055588475">
    <w:abstractNumId w:val="1"/>
  </w:num>
  <w:num w:numId="13" w16cid:durableId="709719184">
    <w:abstractNumId w:val="12"/>
  </w:num>
  <w:num w:numId="14" w16cid:durableId="10186439">
    <w:abstractNumId w:val="5"/>
  </w:num>
  <w:num w:numId="15" w16cid:durableId="291444571">
    <w:abstractNumId w:val="3"/>
  </w:num>
  <w:num w:numId="16" w16cid:durableId="784227361">
    <w:abstractNumId w:val="14"/>
  </w:num>
  <w:num w:numId="17" w16cid:durableId="1386177852">
    <w:abstractNumId w:val="6"/>
  </w:num>
  <w:num w:numId="18" w16cid:durableId="1891649996">
    <w:abstractNumId w:val="21"/>
  </w:num>
  <w:num w:numId="19" w16cid:durableId="337117908">
    <w:abstractNumId w:val="20"/>
  </w:num>
  <w:num w:numId="20" w16cid:durableId="1806703464">
    <w:abstractNumId w:val="8"/>
  </w:num>
  <w:num w:numId="21" w16cid:durableId="1703941749">
    <w:abstractNumId w:val="4"/>
  </w:num>
  <w:num w:numId="22" w16cid:durableId="1174608297">
    <w:abstractNumId w:val="11"/>
  </w:num>
  <w:num w:numId="23" w16cid:durableId="8326005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F8"/>
    <w:rsid w:val="00011FCB"/>
    <w:rsid w:val="00024D75"/>
    <w:rsid w:val="00025327"/>
    <w:rsid w:val="00026781"/>
    <w:rsid w:val="00037A92"/>
    <w:rsid w:val="000B3C12"/>
    <w:rsid w:val="000C04C2"/>
    <w:rsid w:val="000D666B"/>
    <w:rsid w:val="00114AF3"/>
    <w:rsid w:val="00130658"/>
    <w:rsid w:val="001458D6"/>
    <w:rsid w:val="001670BA"/>
    <w:rsid w:val="001C00E0"/>
    <w:rsid w:val="001D77A0"/>
    <w:rsid w:val="001E0893"/>
    <w:rsid w:val="001E542A"/>
    <w:rsid w:val="00215023"/>
    <w:rsid w:val="002264A2"/>
    <w:rsid w:val="002515BC"/>
    <w:rsid w:val="00273067"/>
    <w:rsid w:val="0028250A"/>
    <w:rsid w:val="002A35F9"/>
    <w:rsid w:val="002B50A4"/>
    <w:rsid w:val="002C33EA"/>
    <w:rsid w:val="002E5814"/>
    <w:rsid w:val="00351C77"/>
    <w:rsid w:val="00360AF8"/>
    <w:rsid w:val="003B0BBD"/>
    <w:rsid w:val="003E7FCC"/>
    <w:rsid w:val="003F15C1"/>
    <w:rsid w:val="003F1DF6"/>
    <w:rsid w:val="003F6F1A"/>
    <w:rsid w:val="004454A2"/>
    <w:rsid w:val="00462976"/>
    <w:rsid w:val="004B64CA"/>
    <w:rsid w:val="004B75D4"/>
    <w:rsid w:val="004D0A75"/>
    <w:rsid w:val="004D20E3"/>
    <w:rsid w:val="004F665E"/>
    <w:rsid w:val="004F6C4B"/>
    <w:rsid w:val="0051377C"/>
    <w:rsid w:val="0052295E"/>
    <w:rsid w:val="0053442F"/>
    <w:rsid w:val="00592950"/>
    <w:rsid w:val="005A6F2C"/>
    <w:rsid w:val="005B7427"/>
    <w:rsid w:val="005C7693"/>
    <w:rsid w:val="0060710E"/>
    <w:rsid w:val="0063425B"/>
    <w:rsid w:val="00677652"/>
    <w:rsid w:val="00691C48"/>
    <w:rsid w:val="006A2C5F"/>
    <w:rsid w:val="006A75EF"/>
    <w:rsid w:val="006C1B26"/>
    <w:rsid w:val="006F5EAC"/>
    <w:rsid w:val="006F7111"/>
    <w:rsid w:val="00713E2F"/>
    <w:rsid w:val="00743FEE"/>
    <w:rsid w:val="00753B7A"/>
    <w:rsid w:val="0075413F"/>
    <w:rsid w:val="00756D03"/>
    <w:rsid w:val="00774D6B"/>
    <w:rsid w:val="00774F8B"/>
    <w:rsid w:val="00805D62"/>
    <w:rsid w:val="0080691B"/>
    <w:rsid w:val="0080751E"/>
    <w:rsid w:val="00831B83"/>
    <w:rsid w:val="00832982"/>
    <w:rsid w:val="0085321C"/>
    <w:rsid w:val="008820FA"/>
    <w:rsid w:val="008D5F6E"/>
    <w:rsid w:val="008F5E5A"/>
    <w:rsid w:val="009026F7"/>
    <w:rsid w:val="00902A6A"/>
    <w:rsid w:val="00906118"/>
    <w:rsid w:val="009229F5"/>
    <w:rsid w:val="00962BA9"/>
    <w:rsid w:val="009636A6"/>
    <w:rsid w:val="00981F6F"/>
    <w:rsid w:val="0099046E"/>
    <w:rsid w:val="009C4372"/>
    <w:rsid w:val="009D4438"/>
    <w:rsid w:val="009F6833"/>
    <w:rsid w:val="00A04C4A"/>
    <w:rsid w:val="00A1413F"/>
    <w:rsid w:val="00A311A6"/>
    <w:rsid w:val="00A34DAA"/>
    <w:rsid w:val="00A70EBB"/>
    <w:rsid w:val="00AA0983"/>
    <w:rsid w:val="00AA4DC8"/>
    <w:rsid w:val="00AB7CFF"/>
    <w:rsid w:val="00AC6406"/>
    <w:rsid w:val="00AF208F"/>
    <w:rsid w:val="00B01185"/>
    <w:rsid w:val="00B16631"/>
    <w:rsid w:val="00B302CE"/>
    <w:rsid w:val="00B34E5F"/>
    <w:rsid w:val="00BB3FC9"/>
    <w:rsid w:val="00BB7659"/>
    <w:rsid w:val="00BC2176"/>
    <w:rsid w:val="00BE6B18"/>
    <w:rsid w:val="00BF4607"/>
    <w:rsid w:val="00C23CDB"/>
    <w:rsid w:val="00C23E11"/>
    <w:rsid w:val="00C85913"/>
    <w:rsid w:val="00CA2B66"/>
    <w:rsid w:val="00CE31DD"/>
    <w:rsid w:val="00CF2B93"/>
    <w:rsid w:val="00D07507"/>
    <w:rsid w:val="00D1045C"/>
    <w:rsid w:val="00D11B89"/>
    <w:rsid w:val="00D50850"/>
    <w:rsid w:val="00D646F9"/>
    <w:rsid w:val="00D83194"/>
    <w:rsid w:val="00D83B80"/>
    <w:rsid w:val="00D9207A"/>
    <w:rsid w:val="00DA2D28"/>
    <w:rsid w:val="00DA69BE"/>
    <w:rsid w:val="00DB0997"/>
    <w:rsid w:val="00DB1F15"/>
    <w:rsid w:val="00DC4CB3"/>
    <w:rsid w:val="00DE446E"/>
    <w:rsid w:val="00DF48DA"/>
    <w:rsid w:val="00E11CAD"/>
    <w:rsid w:val="00E3507F"/>
    <w:rsid w:val="00E43969"/>
    <w:rsid w:val="00E646A3"/>
    <w:rsid w:val="00E8119A"/>
    <w:rsid w:val="00E841A9"/>
    <w:rsid w:val="00E920A2"/>
    <w:rsid w:val="00E93E27"/>
    <w:rsid w:val="00EE714E"/>
    <w:rsid w:val="00EE7A23"/>
    <w:rsid w:val="00EF151E"/>
    <w:rsid w:val="00F10D81"/>
    <w:rsid w:val="00F31098"/>
    <w:rsid w:val="00F35722"/>
    <w:rsid w:val="00F462DC"/>
    <w:rsid w:val="00F46998"/>
    <w:rsid w:val="00F539E4"/>
    <w:rsid w:val="00F54C68"/>
    <w:rsid w:val="00F6772A"/>
    <w:rsid w:val="00F70283"/>
    <w:rsid w:val="00FA3D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CB18"/>
  <w15:chartTrackingRefBased/>
  <w15:docId w15:val="{BE067CC5-E235-4680-8AFB-8188F051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0E3"/>
    <w:pPr>
      <w:spacing w:after="0"/>
      <w:jc w:val="both"/>
    </w:pPr>
    <w:rPr>
      <w:rFonts w:ascii="Tw Cen MT" w:hAnsi="Tw Cen MT"/>
      <w:sz w:val="24"/>
    </w:rPr>
  </w:style>
  <w:style w:type="paragraph" w:styleId="Titre1">
    <w:name w:val="heading 1"/>
    <w:basedOn w:val="Normal"/>
    <w:next w:val="Normal"/>
    <w:link w:val="Titre1Car"/>
    <w:uiPriority w:val="2"/>
    <w:qFormat/>
    <w:rsid w:val="0080751E"/>
    <w:pPr>
      <w:keepNext/>
      <w:keepLines/>
      <w:numPr>
        <w:numId w:val="8"/>
      </w:numPr>
      <w:spacing w:before="240"/>
      <w:ind w:left="714" w:hanging="357"/>
      <w:outlineLvl w:val="0"/>
    </w:pPr>
    <w:rPr>
      <w:rFonts w:eastAsiaTheme="majorEastAsia" w:cstheme="majorBidi"/>
      <w:b/>
      <w:color w:val="634D4D"/>
      <w:sz w:val="32"/>
      <w:szCs w:val="32"/>
    </w:rPr>
  </w:style>
  <w:style w:type="paragraph" w:styleId="Titre2">
    <w:name w:val="heading 2"/>
    <w:basedOn w:val="Normal"/>
    <w:next w:val="Normal"/>
    <w:link w:val="Titre2Car"/>
    <w:uiPriority w:val="2"/>
    <w:unhideWhenUsed/>
    <w:qFormat/>
    <w:rsid w:val="00E920A2"/>
    <w:pPr>
      <w:keepNext/>
      <w:keepLines/>
      <w:numPr>
        <w:numId w:val="9"/>
      </w:numPr>
      <w:spacing w:before="40"/>
      <w:outlineLvl w:val="1"/>
    </w:pPr>
    <w:rPr>
      <w:rFonts w:asciiTheme="majorHAnsi" w:eastAsiaTheme="majorEastAsia" w:hAnsiTheme="majorHAnsi" w:cstheme="majorBidi"/>
      <w:b/>
      <w:color w:val="634D4D"/>
      <w:sz w:val="26"/>
      <w:szCs w:val="26"/>
    </w:rPr>
  </w:style>
  <w:style w:type="paragraph" w:styleId="Titre3">
    <w:name w:val="heading 3"/>
    <w:basedOn w:val="Normal"/>
    <w:next w:val="Normal"/>
    <w:link w:val="Titre3Car"/>
    <w:uiPriority w:val="2"/>
    <w:unhideWhenUsed/>
    <w:qFormat/>
    <w:rsid w:val="00E8119A"/>
    <w:pPr>
      <w:keepNext/>
      <w:keepLines/>
      <w:numPr>
        <w:numId w:val="10"/>
      </w:numPr>
      <w:spacing w:before="40"/>
      <w:ind w:left="1068"/>
      <w:outlineLvl w:val="2"/>
    </w:pPr>
    <w:rPr>
      <w:rFonts w:eastAsiaTheme="majorEastAsia" w:cstheme="majorBidi"/>
      <w:color w:val="CCA876"/>
      <w:szCs w:val="24"/>
    </w:rPr>
  </w:style>
  <w:style w:type="paragraph" w:styleId="Titre4">
    <w:name w:val="heading 4"/>
    <w:basedOn w:val="Normal"/>
    <w:next w:val="Normal"/>
    <w:link w:val="Titre4Car"/>
    <w:uiPriority w:val="2"/>
    <w:unhideWhenUsed/>
    <w:qFormat/>
    <w:rsid w:val="00832982"/>
    <w:pPr>
      <w:keepNext/>
      <w:keepLines/>
      <w:numPr>
        <w:numId w:val="13"/>
      </w:numPr>
      <w:spacing w:before="40"/>
      <w:outlineLvl w:val="3"/>
    </w:pPr>
    <w:rPr>
      <w:rFonts w:eastAsiaTheme="majorEastAsia" w:cstheme="majorBidi"/>
      <w:iCs/>
      <w:color w:val="CCA876"/>
    </w:rPr>
  </w:style>
  <w:style w:type="paragraph" w:styleId="Titre5">
    <w:name w:val="heading 5"/>
    <w:basedOn w:val="Normal"/>
    <w:next w:val="Normal"/>
    <w:link w:val="Titre5Car"/>
    <w:uiPriority w:val="2"/>
    <w:unhideWhenUsed/>
    <w:qFormat/>
    <w:rsid w:val="00DA2D28"/>
    <w:pPr>
      <w:keepNext/>
      <w:keepLines/>
      <w:spacing w:before="40"/>
      <w:outlineLvl w:val="4"/>
    </w:pPr>
    <w:rPr>
      <w:rFonts w:eastAsiaTheme="majorEastAsia" w:cstheme="majorBidi"/>
      <w:color w:val="CCA876"/>
    </w:rPr>
  </w:style>
  <w:style w:type="paragraph" w:styleId="Titre6">
    <w:name w:val="heading 6"/>
    <w:basedOn w:val="Normal"/>
    <w:next w:val="Normal"/>
    <w:link w:val="Titre6Car"/>
    <w:uiPriority w:val="2"/>
    <w:unhideWhenUsed/>
    <w:qFormat/>
    <w:rsid w:val="00DA2D28"/>
    <w:pPr>
      <w:keepNext/>
      <w:keepLines/>
      <w:spacing w:before="40"/>
      <w:outlineLvl w:val="5"/>
    </w:pPr>
    <w:rPr>
      <w:rFonts w:eastAsiaTheme="majorEastAsia" w:cstheme="majorBidi"/>
      <w:color w:val="CCA8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539E4"/>
    <w:rPr>
      <w:b/>
      <w:bCs/>
    </w:rPr>
  </w:style>
  <w:style w:type="paragraph" w:styleId="NormalWeb">
    <w:name w:val="Normal (Web)"/>
    <w:basedOn w:val="Normal"/>
    <w:uiPriority w:val="99"/>
    <w:semiHidden/>
    <w:unhideWhenUsed/>
    <w:rsid w:val="00F539E4"/>
    <w:pPr>
      <w:spacing w:before="100" w:beforeAutospacing="1" w:after="100" w:afterAutospacing="1" w:line="240" w:lineRule="auto"/>
    </w:pPr>
    <w:rPr>
      <w:rFonts w:ascii="Times New Roman" w:eastAsia="Times New Roman" w:hAnsi="Times New Roman" w:cs="Times New Roman"/>
      <w:szCs w:val="24"/>
      <w:lang w:eastAsia="fr-FR"/>
    </w:rPr>
  </w:style>
  <w:style w:type="character" w:styleId="Lienhypertexte">
    <w:name w:val="Hyperlink"/>
    <w:basedOn w:val="Policepardfaut"/>
    <w:uiPriority w:val="99"/>
    <w:unhideWhenUsed/>
    <w:rsid w:val="00F539E4"/>
    <w:rPr>
      <w:color w:val="0000FF"/>
      <w:u w:val="single"/>
    </w:rPr>
  </w:style>
  <w:style w:type="character" w:styleId="Accentuation">
    <w:name w:val="Emphasis"/>
    <w:basedOn w:val="Policepardfaut"/>
    <w:uiPriority w:val="20"/>
    <w:rsid w:val="00F539E4"/>
    <w:rPr>
      <w:i/>
      <w:iCs/>
    </w:rPr>
  </w:style>
  <w:style w:type="table" w:styleId="TableauListe7Couleur">
    <w:name w:val="List Table 7 Colorful"/>
    <w:basedOn w:val="TableauNormal"/>
    <w:uiPriority w:val="52"/>
    <w:rsid w:val="00F539E4"/>
    <w:pPr>
      <w:spacing w:after="0" w:line="240" w:lineRule="auto"/>
    </w:pPr>
    <w:rPr>
      <w:color w:val="634D4D"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4D4D"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4D4D"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4D4D"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4D4D" w:themeColor="text1"/>
        </w:tcBorders>
        <w:shd w:val="clear" w:color="auto" w:fill="FFFFFF" w:themeFill="background1"/>
      </w:tcPr>
    </w:tblStylePr>
    <w:tblStylePr w:type="band1Vert">
      <w:tblPr/>
      <w:tcPr>
        <w:shd w:val="clear" w:color="auto" w:fill="E1D9D9" w:themeFill="text1" w:themeFillTint="33"/>
      </w:tcPr>
    </w:tblStylePr>
    <w:tblStylePr w:type="band1Horz">
      <w:tblPr/>
      <w:tcPr>
        <w:shd w:val="clear" w:color="auto" w:fill="E1D9D9"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F539E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3">
    <w:name w:val="Grid Table 3"/>
    <w:basedOn w:val="TableauNormal"/>
    <w:uiPriority w:val="48"/>
    <w:rsid w:val="00F539E4"/>
    <w:pPr>
      <w:spacing w:after="0" w:line="240" w:lineRule="auto"/>
    </w:pPr>
    <w:tblPr>
      <w:tblStyleRowBandSize w:val="1"/>
      <w:tblStyleColBandSize w:val="1"/>
      <w:tblBorders>
        <w:top w:val="single" w:sz="4" w:space="0" w:color="A78E8E" w:themeColor="text1" w:themeTint="99"/>
        <w:left w:val="single" w:sz="4" w:space="0" w:color="A78E8E" w:themeColor="text1" w:themeTint="99"/>
        <w:bottom w:val="single" w:sz="4" w:space="0" w:color="A78E8E" w:themeColor="text1" w:themeTint="99"/>
        <w:right w:val="single" w:sz="4" w:space="0" w:color="A78E8E" w:themeColor="text1" w:themeTint="99"/>
        <w:insideH w:val="single" w:sz="4" w:space="0" w:color="A78E8E" w:themeColor="text1" w:themeTint="99"/>
        <w:insideV w:val="single" w:sz="4" w:space="0" w:color="A78E8E"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9D9" w:themeFill="text1" w:themeFillTint="33"/>
      </w:tcPr>
    </w:tblStylePr>
    <w:tblStylePr w:type="band1Horz">
      <w:tblPr/>
      <w:tcPr>
        <w:shd w:val="clear" w:color="auto" w:fill="E1D9D9" w:themeFill="text1" w:themeFillTint="33"/>
      </w:tcPr>
    </w:tblStylePr>
    <w:tblStylePr w:type="neCell">
      <w:tblPr/>
      <w:tcPr>
        <w:tcBorders>
          <w:bottom w:val="single" w:sz="4" w:space="0" w:color="A78E8E" w:themeColor="text1" w:themeTint="99"/>
        </w:tcBorders>
      </w:tcPr>
    </w:tblStylePr>
    <w:tblStylePr w:type="nwCell">
      <w:tblPr/>
      <w:tcPr>
        <w:tcBorders>
          <w:bottom w:val="single" w:sz="4" w:space="0" w:color="A78E8E" w:themeColor="text1" w:themeTint="99"/>
        </w:tcBorders>
      </w:tcPr>
    </w:tblStylePr>
    <w:tblStylePr w:type="seCell">
      <w:tblPr/>
      <w:tcPr>
        <w:tcBorders>
          <w:top w:val="single" w:sz="4" w:space="0" w:color="A78E8E" w:themeColor="text1" w:themeTint="99"/>
        </w:tcBorders>
      </w:tcPr>
    </w:tblStylePr>
    <w:tblStylePr w:type="swCell">
      <w:tblPr/>
      <w:tcPr>
        <w:tcBorders>
          <w:top w:val="single" w:sz="4" w:space="0" w:color="A78E8E" w:themeColor="text1" w:themeTint="99"/>
        </w:tcBorders>
      </w:tcPr>
    </w:tblStylePr>
  </w:style>
  <w:style w:type="table" w:styleId="TableauGrille2-Accentuation2">
    <w:name w:val="Grid Table 2 Accent 2"/>
    <w:basedOn w:val="TableauNormal"/>
    <w:uiPriority w:val="47"/>
    <w:rsid w:val="00F539E4"/>
    <w:pPr>
      <w:spacing w:after="0" w:line="240" w:lineRule="auto"/>
    </w:pPr>
    <w:tblPr>
      <w:tblStyleRowBandSize w:val="1"/>
      <w:tblStyleColBandSize w:val="1"/>
      <w:tblBorders>
        <w:top w:val="single" w:sz="2" w:space="0" w:color="E0CAAC" w:themeColor="accent2" w:themeTint="99"/>
        <w:bottom w:val="single" w:sz="2" w:space="0" w:color="E0CAAC" w:themeColor="accent2" w:themeTint="99"/>
        <w:insideH w:val="single" w:sz="2" w:space="0" w:color="E0CAAC" w:themeColor="accent2" w:themeTint="99"/>
        <w:insideV w:val="single" w:sz="2" w:space="0" w:color="E0CAAC" w:themeColor="accent2" w:themeTint="99"/>
      </w:tblBorders>
    </w:tblPr>
    <w:tblStylePr w:type="firstRow">
      <w:rPr>
        <w:b/>
        <w:bCs/>
      </w:rPr>
      <w:tblPr/>
      <w:tcPr>
        <w:tcBorders>
          <w:top w:val="nil"/>
          <w:bottom w:val="single" w:sz="12" w:space="0" w:color="E0CAAC" w:themeColor="accent2" w:themeTint="99"/>
          <w:insideH w:val="nil"/>
          <w:insideV w:val="nil"/>
        </w:tcBorders>
        <w:shd w:val="clear" w:color="auto" w:fill="FFFFFF" w:themeFill="background1"/>
      </w:tcPr>
    </w:tblStylePr>
    <w:tblStylePr w:type="lastRow">
      <w:rPr>
        <w:b/>
        <w:bCs/>
      </w:rPr>
      <w:tblPr/>
      <w:tcPr>
        <w:tcBorders>
          <w:top w:val="double" w:sz="2" w:space="0" w:color="E0CA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EDE3" w:themeFill="accent2" w:themeFillTint="33"/>
      </w:tcPr>
    </w:tblStylePr>
    <w:tblStylePr w:type="band1Horz">
      <w:tblPr/>
      <w:tcPr>
        <w:shd w:val="clear" w:color="auto" w:fill="F4EDE3" w:themeFill="accent2" w:themeFillTint="33"/>
      </w:tcPr>
    </w:tblStylePr>
  </w:style>
  <w:style w:type="table" w:styleId="TableauGrille2">
    <w:name w:val="Grid Table 2"/>
    <w:basedOn w:val="TableauNormal"/>
    <w:uiPriority w:val="47"/>
    <w:rsid w:val="00F539E4"/>
    <w:pPr>
      <w:spacing w:after="0" w:line="240" w:lineRule="auto"/>
    </w:pPr>
    <w:tblPr>
      <w:tblStyleRowBandSize w:val="1"/>
      <w:tblStyleColBandSize w:val="1"/>
      <w:tblBorders>
        <w:top w:val="single" w:sz="2" w:space="0" w:color="A78E8E" w:themeColor="text1" w:themeTint="99"/>
        <w:bottom w:val="single" w:sz="2" w:space="0" w:color="A78E8E" w:themeColor="text1" w:themeTint="99"/>
        <w:insideH w:val="single" w:sz="2" w:space="0" w:color="A78E8E" w:themeColor="text1" w:themeTint="99"/>
        <w:insideV w:val="single" w:sz="2" w:space="0" w:color="A78E8E" w:themeColor="text1" w:themeTint="99"/>
      </w:tblBorders>
    </w:tblPr>
    <w:tblStylePr w:type="firstRow">
      <w:rPr>
        <w:b/>
        <w:bCs/>
      </w:rPr>
      <w:tblPr/>
      <w:tcPr>
        <w:tcBorders>
          <w:top w:val="nil"/>
          <w:bottom w:val="single" w:sz="12" w:space="0" w:color="A78E8E" w:themeColor="text1" w:themeTint="99"/>
          <w:insideH w:val="nil"/>
          <w:insideV w:val="nil"/>
        </w:tcBorders>
        <w:shd w:val="clear" w:color="auto" w:fill="FFFFFF" w:themeFill="background1"/>
      </w:tcPr>
    </w:tblStylePr>
    <w:tblStylePr w:type="lastRow">
      <w:rPr>
        <w:b/>
        <w:bCs/>
      </w:rPr>
      <w:tblPr/>
      <w:tcPr>
        <w:tcBorders>
          <w:top w:val="double" w:sz="2" w:space="0" w:color="A78E8E"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9D9" w:themeFill="text1" w:themeFillTint="33"/>
      </w:tcPr>
    </w:tblStylePr>
    <w:tblStylePr w:type="band1Horz">
      <w:tblPr/>
      <w:tcPr>
        <w:shd w:val="clear" w:color="auto" w:fill="E1D9D9" w:themeFill="text1" w:themeFillTint="33"/>
      </w:tcPr>
    </w:tblStylePr>
  </w:style>
  <w:style w:type="table" w:styleId="TableauGrille2-Accentuation3">
    <w:name w:val="Grid Table 2 Accent 3"/>
    <w:basedOn w:val="TableauNormal"/>
    <w:uiPriority w:val="47"/>
    <w:rsid w:val="00F539E4"/>
    <w:pPr>
      <w:spacing w:after="0" w:line="240" w:lineRule="auto"/>
    </w:pPr>
    <w:tblPr>
      <w:tblStyleRowBandSize w:val="1"/>
      <w:tblStyleColBandSize w:val="1"/>
      <w:tblBorders>
        <w:top w:val="single" w:sz="2" w:space="0" w:color="EBE09B" w:themeColor="accent3" w:themeTint="99"/>
        <w:bottom w:val="single" w:sz="2" w:space="0" w:color="EBE09B" w:themeColor="accent3" w:themeTint="99"/>
        <w:insideH w:val="single" w:sz="2" w:space="0" w:color="EBE09B" w:themeColor="accent3" w:themeTint="99"/>
        <w:insideV w:val="single" w:sz="2" w:space="0" w:color="EBE09B" w:themeColor="accent3" w:themeTint="99"/>
      </w:tblBorders>
    </w:tblPr>
    <w:tblStylePr w:type="firstRow">
      <w:rPr>
        <w:b/>
        <w:bCs/>
      </w:rPr>
      <w:tblPr/>
      <w:tcPr>
        <w:tcBorders>
          <w:top w:val="nil"/>
          <w:bottom w:val="single" w:sz="12" w:space="0" w:color="EBE09B" w:themeColor="accent3" w:themeTint="99"/>
          <w:insideH w:val="nil"/>
          <w:insideV w:val="nil"/>
        </w:tcBorders>
        <w:shd w:val="clear" w:color="auto" w:fill="FFFFFF" w:themeFill="background1"/>
      </w:tcPr>
    </w:tblStylePr>
    <w:tblStylePr w:type="lastRow">
      <w:rPr>
        <w:b/>
        <w:bCs/>
      </w:rPr>
      <w:tblPr/>
      <w:tcPr>
        <w:tcBorders>
          <w:top w:val="double" w:sz="2" w:space="0" w:color="EBE0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DD" w:themeFill="accent3" w:themeFillTint="33"/>
      </w:tcPr>
    </w:tblStylePr>
    <w:tblStylePr w:type="band1Horz">
      <w:tblPr/>
      <w:tcPr>
        <w:shd w:val="clear" w:color="auto" w:fill="F8F4DD" w:themeFill="accent3" w:themeFillTint="33"/>
      </w:tcPr>
    </w:tblStylePr>
  </w:style>
  <w:style w:type="paragraph" w:styleId="En-tte">
    <w:name w:val="header"/>
    <w:basedOn w:val="Normal"/>
    <w:link w:val="En-tteCar"/>
    <w:uiPriority w:val="99"/>
    <w:unhideWhenUsed/>
    <w:rsid w:val="00DA69BE"/>
    <w:pPr>
      <w:tabs>
        <w:tab w:val="center" w:pos="4536"/>
        <w:tab w:val="right" w:pos="9072"/>
      </w:tabs>
      <w:spacing w:line="240" w:lineRule="auto"/>
    </w:pPr>
  </w:style>
  <w:style w:type="character" w:customStyle="1" w:styleId="En-tteCar">
    <w:name w:val="En-tête Car"/>
    <w:basedOn w:val="Policepardfaut"/>
    <w:link w:val="En-tte"/>
    <w:uiPriority w:val="99"/>
    <w:rsid w:val="00DA69BE"/>
  </w:style>
  <w:style w:type="paragraph" w:styleId="Pieddepage">
    <w:name w:val="footer"/>
    <w:basedOn w:val="Normal"/>
    <w:link w:val="PieddepageCar"/>
    <w:uiPriority w:val="99"/>
    <w:unhideWhenUsed/>
    <w:rsid w:val="00DA69BE"/>
    <w:pPr>
      <w:tabs>
        <w:tab w:val="center" w:pos="4536"/>
        <w:tab w:val="right" w:pos="9072"/>
      </w:tabs>
      <w:spacing w:line="240" w:lineRule="auto"/>
    </w:pPr>
  </w:style>
  <w:style w:type="character" w:customStyle="1" w:styleId="PieddepageCar">
    <w:name w:val="Pied de page Car"/>
    <w:basedOn w:val="Policepardfaut"/>
    <w:link w:val="Pieddepage"/>
    <w:uiPriority w:val="99"/>
    <w:rsid w:val="00DA69BE"/>
  </w:style>
  <w:style w:type="paragraph" w:styleId="Titre">
    <w:name w:val="Title"/>
    <w:basedOn w:val="Normal"/>
    <w:next w:val="Normal"/>
    <w:link w:val="TitreCar"/>
    <w:uiPriority w:val="10"/>
    <w:qFormat/>
    <w:rsid w:val="00DA69BE"/>
    <w:pPr>
      <w:spacing w:line="240" w:lineRule="auto"/>
      <w:contextualSpacing/>
    </w:pPr>
    <w:rPr>
      <w:rFonts w:eastAsiaTheme="majorEastAsia" w:cstheme="majorBidi"/>
      <w:b/>
      <w:color w:val="92754C"/>
      <w:spacing w:val="-10"/>
      <w:kern w:val="28"/>
      <w:sz w:val="56"/>
      <w:szCs w:val="56"/>
    </w:rPr>
  </w:style>
  <w:style w:type="character" w:customStyle="1" w:styleId="TitreCar">
    <w:name w:val="Titre Car"/>
    <w:basedOn w:val="Policepardfaut"/>
    <w:link w:val="Titre"/>
    <w:uiPriority w:val="10"/>
    <w:rsid w:val="0080751E"/>
    <w:rPr>
      <w:rFonts w:ascii="Tw Cen MT" w:eastAsiaTheme="majorEastAsia" w:hAnsi="Tw Cen MT" w:cstheme="majorBidi"/>
      <w:b/>
      <w:color w:val="92754C"/>
      <w:spacing w:val="-10"/>
      <w:kern w:val="28"/>
      <w:sz w:val="56"/>
      <w:szCs w:val="56"/>
    </w:rPr>
  </w:style>
  <w:style w:type="character" w:customStyle="1" w:styleId="Titre1Car">
    <w:name w:val="Titre 1 Car"/>
    <w:basedOn w:val="Policepardfaut"/>
    <w:link w:val="Titre1"/>
    <w:uiPriority w:val="2"/>
    <w:rsid w:val="0080751E"/>
    <w:rPr>
      <w:rFonts w:ascii="Tw Cen MT" w:eastAsiaTheme="majorEastAsia" w:hAnsi="Tw Cen MT" w:cstheme="majorBidi"/>
      <w:b/>
      <w:color w:val="634D4D"/>
      <w:sz w:val="32"/>
      <w:szCs w:val="32"/>
    </w:rPr>
  </w:style>
  <w:style w:type="character" w:customStyle="1" w:styleId="Titre2Car">
    <w:name w:val="Titre 2 Car"/>
    <w:basedOn w:val="Policepardfaut"/>
    <w:link w:val="Titre2"/>
    <w:uiPriority w:val="2"/>
    <w:rsid w:val="0080751E"/>
    <w:rPr>
      <w:rFonts w:asciiTheme="majorHAnsi" w:eastAsiaTheme="majorEastAsia" w:hAnsiTheme="majorHAnsi" w:cstheme="majorBidi"/>
      <w:b/>
      <w:color w:val="634D4D"/>
      <w:sz w:val="26"/>
      <w:szCs w:val="26"/>
    </w:rPr>
  </w:style>
  <w:style w:type="character" w:customStyle="1" w:styleId="Titre3Car">
    <w:name w:val="Titre 3 Car"/>
    <w:basedOn w:val="Policepardfaut"/>
    <w:link w:val="Titre3"/>
    <w:uiPriority w:val="2"/>
    <w:rsid w:val="0080751E"/>
    <w:rPr>
      <w:rFonts w:ascii="Tw Cen MT" w:eastAsiaTheme="majorEastAsia" w:hAnsi="Tw Cen MT" w:cstheme="majorBidi"/>
      <w:color w:val="CCA876"/>
      <w:sz w:val="24"/>
      <w:szCs w:val="24"/>
    </w:rPr>
  </w:style>
  <w:style w:type="character" w:customStyle="1" w:styleId="Titre4Car">
    <w:name w:val="Titre 4 Car"/>
    <w:basedOn w:val="Policepardfaut"/>
    <w:link w:val="Titre4"/>
    <w:uiPriority w:val="2"/>
    <w:rsid w:val="0080751E"/>
    <w:rPr>
      <w:rFonts w:ascii="Tw Cen MT" w:eastAsiaTheme="majorEastAsia" w:hAnsi="Tw Cen MT" w:cstheme="majorBidi"/>
      <w:iCs/>
      <w:color w:val="CCA876"/>
      <w:sz w:val="24"/>
    </w:rPr>
  </w:style>
  <w:style w:type="character" w:customStyle="1" w:styleId="Titre5Car">
    <w:name w:val="Titre 5 Car"/>
    <w:basedOn w:val="Policepardfaut"/>
    <w:link w:val="Titre5"/>
    <w:uiPriority w:val="2"/>
    <w:rsid w:val="0080751E"/>
    <w:rPr>
      <w:rFonts w:ascii="Tw Cen MT" w:eastAsiaTheme="majorEastAsia" w:hAnsi="Tw Cen MT" w:cstheme="majorBidi"/>
      <w:color w:val="CCA876"/>
      <w:sz w:val="24"/>
    </w:rPr>
  </w:style>
  <w:style w:type="paragraph" w:styleId="Paragraphedeliste">
    <w:name w:val="List Paragraph"/>
    <w:basedOn w:val="Normal"/>
    <w:uiPriority w:val="34"/>
    <w:qFormat/>
    <w:rsid w:val="000C04C2"/>
    <w:pPr>
      <w:ind w:left="720"/>
      <w:contextualSpacing/>
    </w:pPr>
  </w:style>
  <w:style w:type="character" w:customStyle="1" w:styleId="Titre6Car">
    <w:name w:val="Titre 6 Car"/>
    <w:basedOn w:val="Policepardfaut"/>
    <w:link w:val="Titre6"/>
    <w:uiPriority w:val="2"/>
    <w:rsid w:val="0080751E"/>
    <w:rPr>
      <w:rFonts w:ascii="Tw Cen MT" w:eastAsiaTheme="majorEastAsia" w:hAnsi="Tw Cen MT" w:cstheme="majorBidi"/>
      <w:color w:val="CCA876"/>
      <w:sz w:val="24"/>
    </w:rPr>
  </w:style>
  <w:style w:type="character" w:styleId="Rfrencelgre">
    <w:name w:val="Subtle Reference"/>
    <w:basedOn w:val="Policepardfaut"/>
    <w:uiPriority w:val="31"/>
    <w:rsid w:val="00AC6406"/>
    <w:rPr>
      <w:smallCaps/>
      <w:color w:val="A08585" w:themeColor="text1" w:themeTint="A5"/>
    </w:rPr>
  </w:style>
  <w:style w:type="character" w:styleId="Accentuationintense">
    <w:name w:val="Intense Emphasis"/>
    <w:basedOn w:val="Policepardfaut"/>
    <w:uiPriority w:val="21"/>
    <w:rsid w:val="00AC6406"/>
    <w:rPr>
      <w:i/>
      <w:iCs/>
      <w:color w:val="634D4D" w:themeColor="accent1"/>
    </w:rPr>
  </w:style>
  <w:style w:type="paragraph" w:styleId="Sous-titre">
    <w:name w:val="Subtitle"/>
    <w:basedOn w:val="Normal"/>
    <w:next w:val="Normal"/>
    <w:link w:val="Sous-titreCar"/>
    <w:uiPriority w:val="11"/>
    <w:qFormat/>
    <w:rsid w:val="00AC6406"/>
    <w:pPr>
      <w:numPr>
        <w:ilvl w:val="1"/>
      </w:numPr>
      <w:spacing w:after="160"/>
    </w:pPr>
    <w:rPr>
      <w:rFonts w:eastAsiaTheme="minorEastAsia"/>
      <w:color w:val="A08585" w:themeColor="text1" w:themeTint="A5"/>
      <w:spacing w:val="15"/>
      <w:sz w:val="22"/>
    </w:rPr>
  </w:style>
  <w:style w:type="character" w:customStyle="1" w:styleId="Sous-titreCar">
    <w:name w:val="Sous-titre Car"/>
    <w:basedOn w:val="Policepardfaut"/>
    <w:link w:val="Sous-titre"/>
    <w:uiPriority w:val="11"/>
    <w:rsid w:val="00AC6406"/>
    <w:rPr>
      <w:rFonts w:ascii="Tw Cen MT" w:eastAsiaTheme="minorEastAsia" w:hAnsi="Tw Cen MT"/>
      <w:color w:val="A08585" w:themeColor="text1" w:themeTint="A5"/>
      <w:spacing w:val="15"/>
    </w:rPr>
  </w:style>
  <w:style w:type="character" w:styleId="Numrodepage">
    <w:name w:val="page number"/>
    <w:uiPriority w:val="11"/>
    <w:rsid w:val="00114AF3"/>
    <w:rPr>
      <w:rFonts w:cs="Times New Roman"/>
    </w:rPr>
  </w:style>
  <w:style w:type="character" w:styleId="Mentionnonrsolue">
    <w:name w:val="Unresolved Mention"/>
    <w:basedOn w:val="Policepardfaut"/>
    <w:uiPriority w:val="99"/>
    <w:semiHidden/>
    <w:unhideWhenUsed/>
    <w:rsid w:val="00114AF3"/>
    <w:rPr>
      <w:color w:val="605E5C"/>
      <w:shd w:val="clear" w:color="auto" w:fill="E1DFDD"/>
    </w:rPr>
  </w:style>
  <w:style w:type="paragraph" w:customStyle="1" w:styleId="Titrenonnumrot">
    <w:name w:val="Titre non numéroté"/>
    <w:basedOn w:val="Titre1"/>
    <w:qFormat/>
    <w:rsid w:val="00E920A2"/>
    <w:pPr>
      <w:numPr>
        <w:numId w:val="0"/>
      </w:numPr>
    </w:pPr>
    <w:rPr>
      <w:color w:val="B03434"/>
    </w:rPr>
  </w:style>
  <w:style w:type="paragraph" w:customStyle="1" w:styleId="Corrig">
    <w:name w:val="Corrigé"/>
    <w:basedOn w:val="Normal"/>
    <w:uiPriority w:val="10"/>
    <w:qFormat/>
    <w:rsid w:val="00D83194"/>
    <w:rPr>
      <w:color w:val="B03434"/>
    </w:rPr>
  </w:style>
  <w:style w:type="paragraph" w:customStyle="1" w:styleId="Professeur">
    <w:name w:val="Professeur"/>
    <w:basedOn w:val="Normal"/>
    <w:uiPriority w:val="10"/>
    <w:qFormat/>
    <w:rsid w:val="00D83194"/>
    <w:rPr>
      <w:color w:val="70AD47" w:themeColor="accent6"/>
    </w:rPr>
  </w:style>
  <w:style w:type="paragraph" w:customStyle="1" w:styleId="Sous-titrenonnumrot">
    <w:name w:val="Sous-titre non numéroté"/>
    <w:basedOn w:val="Titrenonnumrot"/>
    <w:qFormat/>
    <w:rsid w:val="0080751E"/>
    <w:pPr>
      <w:spacing w:before="120"/>
    </w:pPr>
    <w:rPr>
      <w:b w:val="0"/>
    </w:rPr>
  </w:style>
  <w:style w:type="table" w:styleId="Grilledutableau">
    <w:name w:val="Table Grid"/>
    <w:basedOn w:val="TableauNormal"/>
    <w:uiPriority w:val="39"/>
    <w:rsid w:val="00351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215023"/>
    <w:pPr>
      <w:spacing w:after="0" w:line="276" w:lineRule="auto"/>
    </w:pPr>
    <w:rPr>
      <w:rFonts w:ascii="Arial" w:eastAsia="Arial" w:hAnsi="Arial" w:cs="Arial"/>
      <w:color w:val="000000"/>
      <w:lang w:eastAsia="fr-FR"/>
    </w:rPr>
  </w:style>
  <w:style w:type="paragraph" w:styleId="Rvision">
    <w:name w:val="Revision"/>
    <w:hidden/>
    <w:uiPriority w:val="99"/>
    <w:semiHidden/>
    <w:rsid w:val="0028250A"/>
    <w:pPr>
      <w:spacing w:after="0" w:line="240" w:lineRule="auto"/>
    </w:pPr>
    <w:rPr>
      <w:rFonts w:ascii="Tw Cen MT" w:hAnsi="Tw Cen MT"/>
      <w:sz w:val="24"/>
    </w:rPr>
  </w:style>
  <w:style w:type="paragraph" w:styleId="Textedebulles">
    <w:name w:val="Balloon Text"/>
    <w:basedOn w:val="Normal"/>
    <w:link w:val="TextedebullesCar"/>
    <w:uiPriority w:val="99"/>
    <w:semiHidden/>
    <w:unhideWhenUsed/>
    <w:rsid w:val="00713E2F"/>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13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278273">
      <w:bodyDiv w:val="1"/>
      <w:marLeft w:val="0"/>
      <w:marRight w:val="0"/>
      <w:marTop w:val="0"/>
      <w:marBottom w:val="0"/>
      <w:divBdr>
        <w:top w:val="none" w:sz="0" w:space="0" w:color="auto"/>
        <w:left w:val="none" w:sz="0" w:space="0" w:color="auto"/>
        <w:bottom w:val="none" w:sz="0" w:space="0" w:color="auto"/>
        <w:right w:val="none" w:sz="0" w:space="0" w:color="auto"/>
      </w:divBdr>
    </w:div>
    <w:div w:id="14998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crcf-edu.fr/" TargetMode="External"/><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www.crcf-edu.fr/"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d\philippe\agencepub%20crcf\relecture\Mod&#232;le%20pr&#233;sentation%20doc%20CRCF.dotx" TargetMode="External"/></Relationships>
</file>

<file path=word/theme/theme1.xml><?xml version="1.0" encoding="utf-8"?>
<a:theme xmlns:a="http://schemas.openxmlformats.org/drawingml/2006/main" name="Thème Office">
  <a:themeElements>
    <a:clrScheme name="CRCF">
      <a:dk1>
        <a:srgbClr val="634D4D"/>
      </a:dk1>
      <a:lt1>
        <a:srgbClr val="FFFFFF"/>
      </a:lt1>
      <a:dk2>
        <a:srgbClr val="92754C"/>
      </a:dk2>
      <a:lt2>
        <a:srgbClr val="E7E6E6"/>
      </a:lt2>
      <a:accent1>
        <a:srgbClr val="634D4D"/>
      </a:accent1>
      <a:accent2>
        <a:srgbClr val="CCA876"/>
      </a:accent2>
      <a:accent3>
        <a:srgbClr val="DFCD59"/>
      </a:accent3>
      <a:accent4>
        <a:srgbClr val="C6A64F"/>
      </a:accent4>
      <a:accent5>
        <a:srgbClr val="B0343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présentation doc CRCF.dotx</Template>
  <TotalTime>1</TotalTime>
  <Pages>5</Pages>
  <Words>1787</Words>
  <Characters>9830</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PHM</dc:creator>
  <cp:keywords/>
  <dc:description/>
  <cp:lastModifiedBy>PHM</cp:lastModifiedBy>
  <cp:revision>2</cp:revision>
  <cp:lastPrinted>2022-06-06T09:09:00Z</cp:lastPrinted>
  <dcterms:created xsi:type="dcterms:W3CDTF">2026-01-13T15:00:00Z</dcterms:created>
  <dcterms:modified xsi:type="dcterms:W3CDTF">2026-01-13T15:00:00Z</dcterms:modified>
</cp:coreProperties>
</file>