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4B2910"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C297F" w:rsidRPr="00E85C04">
        <w:rPr>
          <w:rFonts w:ascii="Arial Black" w:hAnsi="Arial Black"/>
          <w:b/>
          <w:sz w:val="24"/>
        </w:rPr>
        <w:t xml:space="preserve">essources </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A36A7F"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r w:rsidR="0032777F">
        <w:rPr>
          <w:lang w:val="nl-NL"/>
        </w:rPr>
        <w:br w:type="column"/>
      </w:r>
    </w:p>
    <w:p w:rsidR="00E24294" w:rsidRDefault="00F34367" w:rsidP="0032777F">
      <w:pPr>
        <w:pStyle w:val="Titre"/>
        <w:pBdr>
          <w:bottom w:val="single" w:sz="4" w:space="10" w:color="DDDDDD"/>
        </w:pBdr>
        <w:ind w:left="284" w:right="140"/>
      </w:pPr>
      <w:bookmarkStart w:id="0" w:name="intitulé"/>
      <w:r>
        <w:t>Ressources</w:t>
      </w:r>
      <w:bookmarkEnd w:id="0"/>
    </w:p>
    <w:p w:rsidR="00633F70" w:rsidRDefault="00E24294" w:rsidP="0032777F">
      <w:pPr>
        <w:pStyle w:val="Titre"/>
        <w:pBdr>
          <w:bottom w:val="single" w:sz="4" w:space="10" w:color="DDDDDD"/>
        </w:pBdr>
        <w:ind w:left="284" w:right="140"/>
      </w:pPr>
      <w:r>
        <w:t>CAS NUPRIER - STMG</w:t>
      </w:r>
    </w:p>
    <w:p w:rsidR="0032777F" w:rsidRPr="0032777F" w:rsidRDefault="0032777F" w:rsidP="0032777F"/>
    <w:p w:rsidR="0032777F" w:rsidRDefault="0032777F" w:rsidP="00720BD0">
      <w:pPr>
        <w:pStyle w:val="Titre1"/>
        <w:sectPr w:rsidR="0032777F" w:rsidSect="0032777F">
          <w:headerReference w:type="default" r:id="rId10"/>
          <w:footerReference w:type="default" r:id="rId11"/>
          <w:type w:val="continuous"/>
          <w:pgSz w:w="11906" w:h="16838" w:code="9"/>
          <w:pgMar w:top="1134" w:right="1418" w:bottom="1134" w:left="1418" w:header="567" w:footer="851" w:gutter="0"/>
          <w:cols w:num="2" w:space="284"/>
          <w:docGrid w:linePitch="360"/>
        </w:sectPr>
      </w:pPr>
    </w:p>
    <w:p w:rsidR="00720BD0" w:rsidRDefault="00720BD0" w:rsidP="00720BD0">
      <w:pPr>
        <w:pStyle w:val="Titre1"/>
      </w:pPr>
      <w:r>
        <w:lastRenderedPageBreak/>
        <w:t>Quelqu</w:t>
      </w:r>
      <w:r w:rsidRPr="00720BD0">
        <w:t>e</w:t>
      </w:r>
      <w:r>
        <w:t xml:space="preserve">s principes comptables </w:t>
      </w:r>
    </w:p>
    <w:p w:rsidR="00720BD0" w:rsidRPr="00720BD0" w:rsidRDefault="00720BD0" w:rsidP="00720BD0">
      <w:pPr>
        <w:pStyle w:val="Titre2"/>
      </w:pPr>
      <w:r w:rsidRPr="00720BD0">
        <w:t>Rappels sur les objectifs et principes de la comptabilité</w:t>
      </w:r>
    </w:p>
    <w:p w:rsidR="00720BD0" w:rsidRDefault="00720BD0" w:rsidP="00720BD0">
      <w:r>
        <w:t>La comptabilité est une représentation quantitative (monétaire) de l'entreprise. A ce titre, elle doit fournir une information la plus fidèle possible de celle-ci. Elle est aussi un outil essentiel de gestion par les informations sur les flux qu'elle comporte (détermination du résultat).</w:t>
      </w:r>
    </w:p>
    <w:p w:rsidR="00720BD0" w:rsidRDefault="00720BD0" w:rsidP="00720BD0">
      <w:r>
        <w:t>Ses principes sont édictés par le Plan Comptable Général, le Code de Commerce et la doctrine comptable (Ordre des Experts Comptables, Autorité des Normes Comptables).</w:t>
      </w:r>
    </w:p>
    <w:p w:rsidR="00720BD0" w:rsidRDefault="00720BD0" w:rsidP="00720BD0">
      <w:pPr>
        <w:pStyle w:val="standard"/>
        <w:jc w:val="center"/>
      </w:pPr>
      <w:r>
        <w:object w:dxaOrig="10401" w:dyaOrig="3230">
          <v:shape id="_x0000_i1025" type="#_x0000_t75" style="width:302.4pt;height:93.2pt" o:ole="">
            <v:imagedata r:id="rId12" o:title=""/>
          </v:shape>
          <o:OLEObject Type="Embed" ProgID="Word.Picture.8" ShapeID="_x0000_i1025" DrawAspect="Content" ObjectID="_1448712738" r:id="rId13"/>
        </w:object>
      </w:r>
    </w:p>
    <w:p w:rsidR="007959A0" w:rsidRDefault="007959A0" w:rsidP="00720BD0">
      <w:pPr>
        <w:pStyle w:val="En-tte"/>
        <w:tabs>
          <w:tab w:val="clear" w:pos="9072"/>
        </w:tabs>
        <w:rPr>
          <w:i/>
        </w:rPr>
      </w:pPr>
    </w:p>
    <w:p w:rsidR="00720BD0" w:rsidRPr="00BC3276" w:rsidRDefault="00720BD0" w:rsidP="00720BD0">
      <w:pPr>
        <w:pStyle w:val="En-tte"/>
        <w:tabs>
          <w:tab w:val="clear" w:pos="9072"/>
        </w:tabs>
        <w:rPr>
          <w:b w:val="0"/>
          <w:i/>
        </w:rPr>
      </w:pPr>
      <w:r w:rsidRPr="00BC3276">
        <w:rPr>
          <w:i/>
        </w:rPr>
        <w:t xml:space="preserve">Quelques articles du PCG </w:t>
      </w:r>
    </w:p>
    <w:p w:rsidR="00720BD0" w:rsidRPr="00A90139" w:rsidRDefault="00720BD0" w:rsidP="00720BD0">
      <w:pPr>
        <w:pStyle w:val="Titre3"/>
      </w:pPr>
      <w:r>
        <w:t>Image fidèle</w:t>
      </w:r>
      <w:r w:rsidRPr="00A90139">
        <w:t>, continuité de l'activité</w:t>
      </w:r>
    </w:p>
    <w:p w:rsidR="00720BD0" w:rsidRPr="00BC3276" w:rsidRDefault="00720BD0" w:rsidP="00720BD0">
      <w:pPr>
        <w:pStyle w:val="Corpsdetexte"/>
        <w:spacing w:before="0"/>
        <w:jc w:val="both"/>
      </w:pPr>
      <w:r w:rsidRPr="00BC3276">
        <w:t>"120-1. - La comptabilité est un  système d’organisation de l’information  financière permettant de saisir, classer, enregistrer des données de base chiffrées et présenter des états reflétant, à leur date d’arrêté,</w:t>
      </w:r>
      <w:r w:rsidRPr="00EE21A2">
        <w:rPr>
          <w:b/>
          <w:bCs/>
        </w:rPr>
        <w:t xml:space="preserve"> </w:t>
      </w:r>
      <w:r w:rsidRPr="00BC3276">
        <w:rPr>
          <w:b/>
          <w:bCs/>
          <w:u w:val="single"/>
        </w:rPr>
        <w:t>une image fidèle du patrimoine, de la situation financière et du résultat de l’entité</w:t>
      </w:r>
      <w:r w:rsidRPr="00BC3276">
        <w:t>.</w:t>
      </w:r>
    </w:p>
    <w:p w:rsidR="00720BD0" w:rsidRPr="00BC3276" w:rsidRDefault="00720BD0" w:rsidP="00720BD0">
      <w:pPr>
        <w:rPr>
          <w:i/>
          <w:iCs/>
        </w:rPr>
      </w:pPr>
      <w:r w:rsidRPr="00BC3276">
        <w:rPr>
          <w:i/>
          <w:iCs/>
        </w:rPr>
        <w:t>La comptabilité permet d’effectuer des comparaisons périodiques et d’apprécier l’évolution de l’entité dans une perspective de continuité d’activité. "</w:t>
      </w:r>
    </w:p>
    <w:p w:rsidR="00720BD0" w:rsidRDefault="00720BD0" w:rsidP="00720BD0">
      <w:pPr>
        <w:pStyle w:val="Titre3"/>
      </w:pPr>
      <w:r>
        <w:t>Prudence</w:t>
      </w:r>
    </w:p>
    <w:p w:rsidR="00720BD0" w:rsidRPr="00BC3276" w:rsidRDefault="00720BD0" w:rsidP="00720BD0">
      <w:pPr>
        <w:rPr>
          <w:i/>
          <w:iCs/>
        </w:rPr>
      </w:pPr>
      <w:r w:rsidRPr="00BC3276">
        <w:rPr>
          <w:i/>
          <w:iCs/>
        </w:rPr>
        <w:t xml:space="preserve">"120-3. - La comptabilité est établie </w:t>
      </w:r>
      <w:r w:rsidRPr="00BC3276">
        <w:rPr>
          <w:b/>
          <w:bCs/>
          <w:i/>
          <w:iCs/>
          <w:u w:val="single"/>
        </w:rPr>
        <w:t>sur la base d’appréciations prudentes</w:t>
      </w:r>
      <w:r w:rsidRPr="00BC3276">
        <w:rPr>
          <w:i/>
          <w:iCs/>
        </w:rPr>
        <w:t>, pour éviter le risque de transfert, sur des périodes à venir, d'incertitudes présentes susceptibles de grever le patrimoine et le résultat de l'entité."</w:t>
      </w:r>
    </w:p>
    <w:p w:rsidR="00720BD0" w:rsidRPr="00BC3276" w:rsidRDefault="00720BD0" w:rsidP="00720BD0">
      <w:pPr>
        <w:pStyle w:val="standard"/>
        <w:rPr>
          <w:rFonts w:ascii="Calibri" w:hAnsi="Calibri"/>
        </w:rPr>
      </w:pPr>
      <w:r w:rsidRPr="00BC3276">
        <w:rPr>
          <w:rFonts w:ascii="Calibri" w:hAnsi="Calibri"/>
        </w:rPr>
        <w:t>Commentaire : la prudence conduit notamment à comptabiliser les risques ou charges probables (latents) mais par contre jamais les profits probables (plus values latentes).</w:t>
      </w:r>
    </w:p>
    <w:p w:rsidR="00720BD0" w:rsidRDefault="00720BD0" w:rsidP="00720BD0">
      <w:pPr>
        <w:pStyle w:val="Titre3"/>
      </w:pPr>
      <w:r>
        <w:t>Permanence des méthodes</w:t>
      </w:r>
    </w:p>
    <w:p w:rsidR="00720BD0" w:rsidRDefault="00720BD0" w:rsidP="00720BD0">
      <w:pPr>
        <w:rPr>
          <w:i/>
          <w:iCs/>
        </w:rPr>
      </w:pPr>
      <w:r>
        <w:rPr>
          <w:i/>
          <w:iCs/>
        </w:rPr>
        <w:t xml:space="preserve">"120-4. – La cohérence des informations comptables au cours des périodes successives implique la </w:t>
      </w:r>
      <w:r>
        <w:rPr>
          <w:b/>
          <w:bCs/>
          <w:i/>
          <w:iCs/>
          <w:u w:val="single"/>
        </w:rPr>
        <w:t>permanence dans l’application des règles et procédures.</w:t>
      </w:r>
      <w:r>
        <w:rPr>
          <w:i/>
          <w:iCs/>
        </w:rPr>
        <w:t>"</w:t>
      </w:r>
    </w:p>
    <w:p w:rsidR="00720BD0" w:rsidRPr="0011431A" w:rsidRDefault="00720BD0" w:rsidP="00720BD0">
      <w:pPr>
        <w:pStyle w:val="Titre3"/>
      </w:pPr>
      <w:r w:rsidRPr="0011431A">
        <w:t>Indépendance des exercices</w:t>
      </w:r>
    </w:p>
    <w:p w:rsidR="00720BD0" w:rsidRDefault="00720BD0" w:rsidP="00720BD0">
      <w:pPr>
        <w:rPr>
          <w:i/>
          <w:iCs/>
        </w:rPr>
      </w:pPr>
      <w:r>
        <w:rPr>
          <w:i/>
          <w:iCs/>
        </w:rPr>
        <w:t>313-1 - Pour calculer le résultat par différence entre les produits et les charges de l'exercice, sont rattachés à l'exercice :</w:t>
      </w:r>
    </w:p>
    <w:p w:rsidR="00720BD0" w:rsidRDefault="00720BD0" w:rsidP="00720BD0">
      <w:pPr>
        <w:rPr>
          <w:i/>
          <w:iCs/>
        </w:rPr>
      </w:pPr>
      <w:r>
        <w:rPr>
          <w:i/>
          <w:iCs/>
        </w:rPr>
        <w:t xml:space="preserve">- les produits </w:t>
      </w:r>
      <w:r>
        <w:rPr>
          <w:b/>
          <w:bCs/>
          <w:i/>
          <w:iCs/>
          <w:u w:val="single"/>
        </w:rPr>
        <w:t>acquis à cet exercice</w:t>
      </w:r>
      <w:r>
        <w:rPr>
          <w:i/>
          <w:iCs/>
        </w:rPr>
        <w:t>, … ;</w:t>
      </w:r>
    </w:p>
    <w:p w:rsidR="00720BD0" w:rsidRDefault="00720BD0" w:rsidP="00720BD0">
      <w:pPr>
        <w:rPr>
          <w:i/>
          <w:iCs/>
        </w:rPr>
      </w:pPr>
      <w:r>
        <w:rPr>
          <w:i/>
          <w:iCs/>
        </w:rPr>
        <w:t xml:space="preserve">- les charges </w:t>
      </w:r>
      <w:r>
        <w:rPr>
          <w:b/>
          <w:bCs/>
          <w:i/>
          <w:iCs/>
          <w:u w:val="single"/>
        </w:rPr>
        <w:t>supportées par l'exercice</w:t>
      </w:r>
      <w:r>
        <w:rPr>
          <w:i/>
          <w:iCs/>
        </w:rPr>
        <w:t>, ....</w:t>
      </w:r>
    </w:p>
    <w:p w:rsidR="00720BD0" w:rsidRDefault="00720BD0" w:rsidP="00720BD0">
      <w:pPr>
        <w:rPr>
          <w:i/>
          <w:iCs/>
        </w:rPr>
      </w:pPr>
      <w:r>
        <w:rPr>
          <w:i/>
          <w:iCs/>
        </w:rPr>
        <w:t xml:space="preserve">313-2. - Seuls les bénéfices </w:t>
      </w:r>
      <w:r>
        <w:rPr>
          <w:b/>
          <w:bCs/>
          <w:i/>
          <w:iCs/>
          <w:u w:val="single"/>
        </w:rPr>
        <w:t>réalisés</w:t>
      </w:r>
      <w:r>
        <w:rPr>
          <w:i/>
          <w:iCs/>
        </w:rPr>
        <w:t xml:space="preserve"> à la date de clôture d'un exercice peuvent être inscrits dans le résultat de cet exercice.</w:t>
      </w:r>
    </w:p>
    <w:p w:rsidR="00720BD0" w:rsidRDefault="00720BD0" w:rsidP="00720BD0">
      <w:pPr>
        <w:rPr>
          <w:i/>
          <w:iCs/>
        </w:rPr>
      </w:pPr>
    </w:p>
    <w:p w:rsidR="00720BD0" w:rsidRPr="00720BD0" w:rsidRDefault="00720BD0" w:rsidP="00720BD0">
      <w:pPr>
        <w:pStyle w:val="Titre1"/>
      </w:pPr>
      <w:r w:rsidRPr="00720BD0">
        <w:t>L’inventaire</w:t>
      </w:r>
    </w:p>
    <w:p w:rsidR="00720BD0" w:rsidRPr="00A90139" w:rsidRDefault="00720BD0" w:rsidP="00720BD0">
      <w:pPr>
        <w:pStyle w:val="Titre2"/>
      </w:pPr>
      <w:r w:rsidRPr="00720BD0">
        <w:t>Pourquoi</w:t>
      </w:r>
      <w:r w:rsidRPr="00A90139">
        <w:t xml:space="preserve"> l'inventaire ?</w:t>
      </w:r>
    </w:p>
    <w:p w:rsidR="00720BD0" w:rsidRDefault="00720BD0" w:rsidP="00720BD0">
      <w:r>
        <w:t>Le simple enregistrement des flux en cours d'exercice ne suffit pas à respecter l'ensemble de ces principes.</w:t>
      </w:r>
    </w:p>
    <w:p w:rsidR="00720BD0" w:rsidRDefault="00720BD0" w:rsidP="00720BD0">
      <w:r>
        <w:t xml:space="preserve">De plus la comptabilité doit répondre à </w:t>
      </w:r>
      <w:r>
        <w:rPr>
          <w:b/>
          <w:bCs/>
          <w:u w:val="single"/>
        </w:rPr>
        <w:t>des objectifs</w:t>
      </w:r>
      <w:r>
        <w:t xml:space="preserve"> :</w:t>
      </w:r>
    </w:p>
    <w:p w:rsidR="00720BD0" w:rsidRDefault="00720BD0" w:rsidP="00720BD0">
      <w:pPr>
        <w:numPr>
          <w:ilvl w:val="0"/>
          <w:numId w:val="37"/>
        </w:numPr>
        <w:tabs>
          <w:tab w:val="clear" w:pos="360"/>
        </w:tabs>
        <w:ind w:left="851"/>
      </w:pPr>
      <w:r>
        <w:t>comptables : présentation (au moins annuelle) de l'état du patrimoine de l'entité et détermination du résultat d'activité, (Bilan, Résultat et Annexe),</w:t>
      </w:r>
    </w:p>
    <w:p w:rsidR="00720BD0" w:rsidRDefault="00720BD0" w:rsidP="00720BD0">
      <w:pPr>
        <w:numPr>
          <w:ilvl w:val="0"/>
          <w:numId w:val="37"/>
        </w:numPr>
        <w:tabs>
          <w:tab w:val="clear" w:pos="360"/>
        </w:tabs>
        <w:ind w:left="851"/>
      </w:pPr>
      <w:r>
        <w:t>fiscaux : détermination du résultat imposable,</w:t>
      </w:r>
    </w:p>
    <w:p w:rsidR="00720BD0" w:rsidRDefault="00720BD0" w:rsidP="00720BD0">
      <w:pPr>
        <w:numPr>
          <w:ilvl w:val="0"/>
          <w:numId w:val="37"/>
        </w:numPr>
        <w:tabs>
          <w:tab w:val="clear" w:pos="360"/>
        </w:tabs>
        <w:ind w:left="851"/>
      </w:pPr>
      <w:r>
        <w:t>sociaux : donner aux partenaires sociaux l'accès aux comptes annuels.</w:t>
      </w:r>
    </w:p>
    <w:p w:rsidR="00720BD0" w:rsidRDefault="00720BD0" w:rsidP="00720BD0">
      <w:pPr>
        <w:pStyle w:val="Titre2"/>
      </w:pPr>
      <w:r>
        <w:t>Définitions</w:t>
      </w:r>
    </w:p>
    <w:p w:rsidR="00720BD0" w:rsidRDefault="00720BD0" w:rsidP="00720BD0">
      <w:r>
        <w:t xml:space="preserve">C'est pourquoi on procède, à la fin de chaque exercice comptable, aux </w:t>
      </w:r>
      <w:r>
        <w:rPr>
          <w:b/>
          <w:u w:val="single"/>
        </w:rPr>
        <w:t>travaux d'inventaire</w:t>
      </w:r>
      <w:r>
        <w:t xml:space="preserve"> :</w:t>
      </w:r>
    </w:p>
    <w:p w:rsidR="00720BD0" w:rsidRDefault="00720BD0" w:rsidP="00720BD0">
      <w:r>
        <w:t>Le terme « </w:t>
      </w:r>
      <w:r>
        <w:rPr>
          <w:b/>
        </w:rPr>
        <w:t>Inventaire</w:t>
      </w:r>
      <w:r>
        <w:t> » recouvre à la fois :</w:t>
      </w:r>
    </w:p>
    <w:p w:rsidR="00720BD0" w:rsidRDefault="00720BD0" w:rsidP="00720BD0">
      <w:pPr>
        <w:ind w:left="709"/>
      </w:pPr>
      <w:r>
        <w:sym w:font="Wingdings" w:char="F0F0"/>
      </w:r>
      <w:r>
        <w:t xml:space="preserve"> des travaux extra-comptables (extérieurs à la comptabilité), consistant en un recensement exhaustif –dénombrement et valorisation – des éléments d’actif et de passif de l’entreprise ;</w:t>
      </w:r>
    </w:p>
    <w:p w:rsidR="00720BD0" w:rsidRDefault="00720BD0" w:rsidP="00720BD0">
      <w:pPr>
        <w:ind w:left="709"/>
      </w:pPr>
      <w:r>
        <w:sym w:font="Wingdings" w:char="F0F0"/>
      </w:r>
      <w:r>
        <w:t xml:space="preserve"> des travaux comptables en vue de la prise en compte de </w:t>
      </w:r>
      <w:r>
        <w:rPr>
          <w:b/>
          <w:bCs/>
          <w:i/>
          <w:iCs/>
        </w:rPr>
        <w:t>l'évaluation</w:t>
      </w:r>
      <w:r>
        <w:t xml:space="preserve"> des actifs et passifs et de la détermination du résultat, </w:t>
      </w:r>
      <w:r>
        <w:rPr>
          <w:b/>
          <w:bCs/>
        </w:rPr>
        <w:t>en respectant les principes</w:t>
      </w:r>
      <w:r>
        <w:t xml:space="preserve"> évoqués précédemment. Ces travaux comptables se traduisent par des </w:t>
      </w:r>
      <w:r w:rsidRPr="00860D9F">
        <w:rPr>
          <w:b/>
        </w:rPr>
        <w:t>écritures d'inventaire</w:t>
      </w:r>
      <w:r>
        <w:t>.</w:t>
      </w:r>
    </w:p>
    <w:p w:rsidR="00720BD0" w:rsidRDefault="00720BD0" w:rsidP="00720BD0"/>
    <w:p w:rsidR="00720BD0" w:rsidRPr="00C541F1" w:rsidRDefault="007959A0" w:rsidP="00720BD0">
      <w:pPr>
        <w:rPr>
          <w:b/>
          <w:u w:val="single"/>
        </w:rPr>
      </w:pPr>
      <w:r>
        <w:rPr>
          <w:b/>
          <w:u w:val="single"/>
        </w:rPr>
        <w:t xml:space="preserve">PCG, art 410-8. </w:t>
      </w:r>
      <w:r w:rsidR="00720BD0" w:rsidRPr="00C541F1">
        <w:rPr>
          <w:b/>
          <w:u w:val="single"/>
        </w:rPr>
        <w:t>Inventaire</w:t>
      </w:r>
    </w:p>
    <w:p w:rsidR="00720BD0" w:rsidRPr="00C541F1" w:rsidRDefault="00720BD0" w:rsidP="00720BD0">
      <w:pPr>
        <w:rPr>
          <w:i/>
        </w:rPr>
      </w:pPr>
      <w:r w:rsidRPr="00C541F1">
        <w:rPr>
          <w:i/>
        </w:rPr>
        <w:t xml:space="preserve">"Toute entité contrôle au moins une fois tous les douze mois les données d'inventaire. L'inventaire est un relevé de tous les éléments d'actif et de passif, au regard desquels sont mentionnées la quantité et la valeur de chacun d'eux à la date d'inventaire. Les données d'inventaire sont conservées et organisées de manière à justifier le contenu de chacun des postes du bilan. </w:t>
      </w:r>
    </w:p>
    <w:p w:rsidR="00720BD0" w:rsidRDefault="00720BD0" w:rsidP="00720BD0">
      <w:pPr>
        <w:pStyle w:val="Titre2"/>
      </w:pPr>
      <w:r w:rsidRPr="00720BD0">
        <w:t>Qu'évalue</w:t>
      </w:r>
      <w:r>
        <w:t>-t-on ?</w:t>
      </w:r>
    </w:p>
    <w:p w:rsidR="00720BD0" w:rsidRDefault="00720BD0" w:rsidP="00720BD0">
      <w:pPr>
        <w:numPr>
          <w:ilvl w:val="0"/>
          <w:numId w:val="38"/>
        </w:numPr>
        <w:tabs>
          <w:tab w:val="clear" w:pos="1211"/>
        </w:tabs>
        <w:ind w:left="851"/>
      </w:pPr>
      <w:r>
        <w:t>Les immobilisations (corporelles, incorporelles, financières),</w:t>
      </w:r>
    </w:p>
    <w:p w:rsidR="00720BD0" w:rsidRDefault="00720BD0" w:rsidP="00720BD0">
      <w:pPr>
        <w:numPr>
          <w:ilvl w:val="0"/>
          <w:numId w:val="38"/>
        </w:numPr>
        <w:tabs>
          <w:tab w:val="clear" w:pos="1211"/>
        </w:tabs>
        <w:ind w:left="851"/>
      </w:pPr>
      <w:r>
        <w:t>Les actifs circulants : stocks, créances, valeurs mobilières de placement,</w:t>
      </w:r>
    </w:p>
    <w:p w:rsidR="00720BD0" w:rsidRDefault="00720BD0" w:rsidP="00720BD0">
      <w:pPr>
        <w:numPr>
          <w:ilvl w:val="0"/>
          <w:numId w:val="38"/>
        </w:numPr>
        <w:tabs>
          <w:tab w:val="clear" w:pos="1211"/>
        </w:tabs>
        <w:ind w:left="851"/>
      </w:pPr>
      <w:r>
        <w:t>Les risques et charges latents (dépréciation) ,</w:t>
      </w:r>
    </w:p>
    <w:p w:rsidR="00720BD0" w:rsidRDefault="00720BD0" w:rsidP="00720BD0">
      <w:pPr>
        <w:numPr>
          <w:ilvl w:val="0"/>
          <w:numId w:val="38"/>
        </w:numPr>
        <w:tabs>
          <w:tab w:val="clear" w:pos="1211"/>
        </w:tabs>
        <w:ind w:left="851"/>
      </w:pPr>
      <w:r>
        <w:t>Les charges et produits se rattachant effectivement à l'exercice.</w:t>
      </w:r>
    </w:p>
    <w:p w:rsidR="00720BD0" w:rsidRDefault="00720BD0" w:rsidP="00720BD0"/>
    <w:p w:rsidR="0053455C" w:rsidRDefault="0053455C" w:rsidP="00720BD0"/>
    <w:p w:rsidR="00720BD0" w:rsidRPr="00396B16" w:rsidRDefault="00720BD0" w:rsidP="00720BD0">
      <w:pPr>
        <w:pStyle w:val="Titre1"/>
      </w:pPr>
      <w:r>
        <w:t>Les charges et produits à la clôture de l’exercice</w:t>
      </w:r>
    </w:p>
    <w:p w:rsidR="00720BD0" w:rsidRDefault="00720BD0" w:rsidP="00720BD0">
      <w:r>
        <w:t xml:space="preserve">Le principe de </w:t>
      </w:r>
      <w:r w:rsidRPr="00B64ABC">
        <w:rPr>
          <w:b/>
          <w:bCs/>
        </w:rPr>
        <w:t>séparation des exercices</w:t>
      </w:r>
      <w:r>
        <w:t xml:space="preserve"> (on parle aussi d’indépendance ou de spécialisation des exercices) exige que, seuls les produits acquis au cours de l’exercice et les charges engagées pour obtenir ces mêmes produits, soient rattachés au résultat de l’exercice. </w:t>
      </w:r>
    </w:p>
    <w:p w:rsidR="00720BD0" w:rsidRDefault="00720BD0" w:rsidP="00720BD0"/>
    <w:p w:rsidR="00720BD0" w:rsidRDefault="00720BD0" w:rsidP="00720BD0">
      <w:r>
        <w:t xml:space="preserve">À la clôture de l’exercice, les éventuels décalages doivent être neutralisés par un </w:t>
      </w:r>
      <w:r>
        <w:rPr>
          <w:b/>
          <w:bCs/>
        </w:rPr>
        <w:t>rattache</w:t>
      </w:r>
      <w:r w:rsidRPr="00CA0114">
        <w:rPr>
          <w:b/>
          <w:bCs/>
        </w:rPr>
        <w:t>ment des comptes de produits et de charges</w:t>
      </w:r>
      <w:r>
        <w:t xml:space="preserve"> de manière à ce que les comptes comprennent :</w:t>
      </w:r>
    </w:p>
    <w:p w:rsidR="00720BD0" w:rsidRDefault="00720BD0" w:rsidP="00720BD0">
      <w:pPr>
        <w:numPr>
          <w:ilvl w:val="0"/>
          <w:numId w:val="41"/>
        </w:numPr>
      </w:pPr>
      <w:r>
        <w:t>Tous les produits et les charges dus à l’activité de l’exercice,</w:t>
      </w:r>
    </w:p>
    <w:p w:rsidR="00720BD0" w:rsidRDefault="00720BD0" w:rsidP="00720BD0">
      <w:pPr>
        <w:numPr>
          <w:ilvl w:val="0"/>
          <w:numId w:val="41"/>
        </w:numPr>
      </w:pPr>
      <w:r>
        <w:t>Seuls les produits et les charges dus à l’activité de l’exercice.</w:t>
      </w:r>
    </w:p>
    <w:p w:rsidR="00720BD0" w:rsidRPr="00E52E96" w:rsidRDefault="00720BD0" w:rsidP="00720BD0">
      <w:pPr>
        <w:rPr>
          <w:b/>
          <w:bCs/>
        </w:rPr>
      </w:pPr>
      <w:r>
        <w:t xml:space="preserve">Ce rattachement est </w:t>
      </w:r>
      <w:r w:rsidRPr="00B64ABC">
        <w:rPr>
          <w:b/>
          <w:bCs/>
        </w:rPr>
        <w:t>indépendant des dates d’encaissement et de paiement.</w:t>
      </w:r>
    </w:p>
    <w:p w:rsidR="0053455C" w:rsidRDefault="0053455C">
      <w:pPr>
        <w:jc w:val="left"/>
        <w:rPr>
          <w:rFonts w:ascii="Arial" w:hAnsi="Arial" w:cs="Arial"/>
          <w:b/>
          <w:bCs/>
          <w:iCs/>
          <w:color w:val="0F243E"/>
          <w:sz w:val="26"/>
          <w:szCs w:val="26"/>
          <w:u w:val="single"/>
        </w:rPr>
      </w:pPr>
      <w:r>
        <w:br w:type="page"/>
      </w:r>
    </w:p>
    <w:p w:rsidR="00720BD0" w:rsidRPr="00CF2327" w:rsidRDefault="00720BD0" w:rsidP="00720BD0">
      <w:pPr>
        <w:pStyle w:val="Titre2"/>
      </w:pPr>
      <w:r w:rsidRPr="00720BD0">
        <w:lastRenderedPageBreak/>
        <w:t>Évènements</w:t>
      </w:r>
      <w:r w:rsidRPr="00CF2327">
        <w:t xml:space="preserve"> non encore comptabilisés</w:t>
      </w:r>
    </w:p>
    <w:p w:rsidR="00720BD0" w:rsidRDefault="00720BD0" w:rsidP="00720BD0">
      <w:r>
        <w:t>Du fait de décalage dans le temps, certains événements réalisés en fin d’exercice n’ont pas pu être enregistrés.</w:t>
      </w:r>
    </w:p>
    <w:p w:rsidR="0053455C" w:rsidRDefault="0053455C" w:rsidP="00720B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06"/>
        <w:gridCol w:w="4606"/>
      </w:tblGrid>
      <w:tr w:rsidR="00720BD0" w:rsidRPr="00CF2327" w:rsidTr="00D30731">
        <w:trPr>
          <w:jc w:val="center"/>
        </w:trPr>
        <w:tc>
          <w:tcPr>
            <w:tcW w:w="4606" w:type="dxa"/>
          </w:tcPr>
          <w:p w:rsidR="00720BD0" w:rsidRPr="00CF2327" w:rsidRDefault="00720BD0" w:rsidP="00D30731">
            <w:pPr>
              <w:jc w:val="center"/>
              <w:rPr>
                <w:b/>
              </w:rPr>
            </w:pPr>
            <w:r w:rsidRPr="00CF2327">
              <w:rPr>
                <w:b/>
              </w:rPr>
              <w:t>Charges à Payer</w:t>
            </w:r>
          </w:p>
        </w:tc>
        <w:tc>
          <w:tcPr>
            <w:tcW w:w="4606" w:type="dxa"/>
          </w:tcPr>
          <w:p w:rsidR="00720BD0" w:rsidRPr="00CF2327" w:rsidRDefault="00720BD0" w:rsidP="00D30731">
            <w:pPr>
              <w:jc w:val="center"/>
              <w:rPr>
                <w:b/>
              </w:rPr>
            </w:pPr>
            <w:r w:rsidRPr="00CF2327">
              <w:rPr>
                <w:b/>
              </w:rPr>
              <w:t>Produits à Recevoir</w:t>
            </w:r>
          </w:p>
        </w:tc>
      </w:tr>
      <w:tr w:rsidR="00720BD0" w:rsidTr="00D30731">
        <w:trPr>
          <w:trHeight w:val="850"/>
          <w:jc w:val="center"/>
        </w:trPr>
        <w:tc>
          <w:tcPr>
            <w:tcW w:w="4606" w:type="dxa"/>
          </w:tcPr>
          <w:p w:rsidR="00720BD0" w:rsidRDefault="00720BD0" w:rsidP="00D30731">
            <w:r>
              <w:t xml:space="preserve">La charge est réalisée pendant l’exercice, mais son enregistrement ne sera possible que sur l’exercice suivant </w:t>
            </w:r>
          </w:p>
        </w:tc>
        <w:tc>
          <w:tcPr>
            <w:tcW w:w="4606" w:type="dxa"/>
          </w:tcPr>
          <w:p w:rsidR="00720BD0" w:rsidRDefault="00720BD0" w:rsidP="00D30731">
            <w:r>
              <w:t xml:space="preserve">Le produit est réalisé pendant l’exercice, mais son enregistrement ne sera possible que sur l’exercice suivant </w:t>
            </w:r>
          </w:p>
        </w:tc>
      </w:tr>
      <w:tr w:rsidR="00720BD0" w:rsidRPr="00CE2D08" w:rsidTr="00D30731">
        <w:trPr>
          <w:trHeight w:val="416"/>
          <w:jc w:val="center"/>
        </w:trPr>
        <w:tc>
          <w:tcPr>
            <w:tcW w:w="9212" w:type="dxa"/>
            <w:gridSpan w:val="2"/>
            <w:vAlign w:val="center"/>
          </w:tcPr>
          <w:p w:rsidR="00720BD0" w:rsidRPr="00CE2D08" w:rsidRDefault="00720BD0" w:rsidP="00D30731">
            <w:pPr>
              <w:jc w:val="left"/>
              <w:rPr>
                <w:b/>
                <w:i/>
              </w:rPr>
            </w:pPr>
            <w:r w:rsidRPr="00CE2D08">
              <w:rPr>
                <w:b/>
                <w:i/>
              </w:rPr>
              <w:t>Les bonnes questions…</w:t>
            </w:r>
          </w:p>
        </w:tc>
      </w:tr>
      <w:tr w:rsidR="00720BD0" w:rsidTr="00D30731">
        <w:trPr>
          <w:jc w:val="center"/>
        </w:trPr>
        <w:tc>
          <w:tcPr>
            <w:tcW w:w="4606" w:type="dxa"/>
          </w:tcPr>
          <w:p w:rsidR="00720BD0" w:rsidRDefault="00720BD0" w:rsidP="00D30731">
            <w:r>
              <w:t xml:space="preserve">La charge concerne-t-elle l'exercice ? </w:t>
            </w:r>
            <w:r>
              <w:tab/>
            </w:r>
            <w:r w:rsidRPr="00CC11C5">
              <w:rPr>
                <w:b/>
                <w:color w:val="FF0000"/>
              </w:rPr>
              <w:t>OUI</w:t>
            </w:r>
          </w:p>
        </w:tc>
        <w:tc>
          <w:tcPr>
            <w:tcW w:w="4606" w:type="dxa"/>
          </w:tcPr>
          <w:p w:rsidR="00720BD0" w:rsidRDefault="00720BD0" w:rsidP="00D30731">
            <w:r>
              <w:t xml:space="preserve">Le produit concerne-t-il l'exercice ? </w:t>
            </w:r>
            <w:r>
              <w:tab/>
            </w:r>
            <w:r w:rsidRPr="00CC11C5">
              <w:rPr>
                <w:b/>
                <w:color w:val="FF0000"/>
              </w:rPr>
              <w:t>OUI</w:t>
            </w:r>
          </w:p>
        </w:tc>
      </w:tr>
      <w:tr w:rsidR="00720BD0" w:rsidTr="00D30731">
        <w:trPr>
          <w:trHeight w:val="850"/>
          <w:jc w:val="center"/>
        </w:trPr>
        <w:tc>
          <w:tcPr>
            <w:tcW w:w="4606" w:type="dxa"/>
          </w:tcPr>
          <w:p w:rsidR="00720BD0" w:rsidRDefault="00720BD0" w:rsidP="00D30731">
            <w:r>
              <w:t xml:space="preserve">La dette est-t-elle réelle ? </w:t>
            </w:r>
            <w:r>
              <w:tab/>
            </w:r>
            <w:r w:rsidRPr="00CC11C5">
              <w:rPr>
                <w:b/>
                <w:color w:val="FF0000"/>
              </w:rPr>
              <w:t>OUI</w:t>
            </w:r>
          </w:p>
          <w:p w:rsidR="00720BD0" w:rsidRDefault="00720BD0" w:rsidP="00D30731">
            <w:r>
              <w:t xml:space="preserve">Le montant et l'échéance sont-ils certains ? </w:t>
            </w:r>
            <w:r w:rsidRPr="00CC11C5">
              <w:rPr>
                <w:b/>
                <w:color w:val="FF0000"/>
              </w:rPr>
              <w:t>NON</w:t>
            </w:r>
          </w:p>
          <w:p w:rsidR="00720BD0" w:rsidRPr="00CE2D08" w:rsidRDefault="00720BD0" w:rsidP="00D30731">
            <w:pPr>
              <w:rPr>
                <w:b/>
                <w:i/>
              </w:rPr>
            </w:pPr>
            <w:r w:rsidRPr="00CE2D08">
              <w:rPr>
                <w:rFonts w:ascii="Wingdings" w:hAnsi="Wingdings"/>
                <w:b/>
                <w:i/>
              </w:rPr>
              <w:t></w:t>
            </w:r>
            <w:r w:rsidRPr="00CE2D08">
              <w:rPr>
                <w:b/>
                <w:i/>
              </w:rPr>
              <w:t xml:space="preserve"> on parle de charge à payer </w:t>
            </w:r>
          </w:p>
        </w:tc>
        <w:tc>
          <w:tcPr>
            <w:tcW w:w="4606" w:type="dxa"/>
          </w:tcPr>
          <w:p w:rsidR="00720BD0" w:rsidRDefault="00720BD0" w:rsidP="00D30731">
            <w:r>
              <w:t xml:space="preserve">La créance est-t-elle réelle ? </w:t>
            </w:r>
            <w:r>
              <w:tab/>
            </w:r>
            <w:r w:rsidRPr="00CC11C5">
              <w:rPr>
                <w:b/>
                <w:color w:val="FF0000"/>
              </w:rPr>
              <w:t>OUI</w:t>
            </w:r>
          </w:p>
          <w:p w:rsidR="00720BD0" w:rsidRDefault="00720BD0" w:rsidP="00D30731">
            <w:r>
              <w:t xml:space="preserve">Le montant et l'échéance sont-ils certains ? </w:t>
            </w:r>
            <w:r w:rsidRPr="00CC11C5">
              <w:rPr>
                <w:b/>
                <w:color w:val="FF0000"/>
              </w:rPr>
              <w:t>NON</w:t>
            </w:r>
          </w:p>
          <w:p w:rsidR="00720BD0" w:rsidRDefault="00720BD0" w:rsidP="00D30731">
            <w:r w:rsidRPr="00CE2D08">
              <w:rPr>
                <w:rFonts w:ascii="Wingdings" w:hAnsi="Wingdings"/>
                <w:b/>
                <w:i/>
              </w:rPr>
              <w:t></w:t>
            </w:r>
            <w:r w:rsidRPr="00CE2D08">
              <w:rPr>
                <w:b/>
                <w:i/>
              </w:rPr>
              <w:t xml:space="preserve"> on parle de produits à recevoir</w:t>
            </w:r>
          </w:p>
        </w:tc>
      </w:tr>
      <w:tr w:rsidR="00720BD0" w:rsidTr="00D30731">
        <w:trPr>
          <w:jc w:val="center"/>
        </w:trPr>
        <w:tc>
          <w:tcPr>
            <w:tcW w:w="9212" w:type="dxa"/>
            <w:gridSpan w:val="2"/>
          </w:tcPr>
          <w:p w:rsidR="00720BD0" w:rsidRDefault="00720BD0" w:rsidP="00D30731">
            <w:r w:rsidRPr="00CE2D08">
              <w:rPr>
                <w:b/>
              </w:rPr>
              <w:t>Comptes</w:t>
            </w:r>
            <w:r>
              <w:t xml:space="preserve"> : comptes spécifiques </w:t>
            </w:r>
            <w:r w:rsidRPr="00CC11C5">
              <w:rPr>
                <w:b/>
                <w:color w:val="FF0000"/>
              </w:rPr>
              <w:t>avec un 8 en troisième ou quatrième position</w:t>
            </w:r>
          </w:p>
          <w:p w:rsidR="00720BD0" w:rsidRPr="00CC11C5" w:rsidRDefault="00720BD0" w:rsidP="00D30731">
            <w:pPr>
              <w:rPr>
                <w:color w:val="FF0000"/>
              </w:rPr>
            </w:pPr>
            <w:r w:rsidRPr="00CC11C5">
              <w:rPr>
                <w:color w:val="FF0000"/>
              </w:rPr>
              <w:t xml:space="preserve">(ex. 4181 – Ct factures à établir, </w:t>
            </w:r>
            <w:r>
              <w:rPr>
                <w:color w:val="FF0000"/>
              </w:rPr>
              <w:t>4486 Etat, charges à payer</w:t>
            </w:r>
            <w:r w:rsidRPr="00CC11C5">
              <w:rPr>
                <w:color w:val="FF0000"/>
              </w:rPr>
              <w:t xml:space="preserve">) </w:t>
            </w:r>
          </w:p>
        </w:tc>
      </w:tr>
    </w:tbl>
    <w:p w:rsidR="00720BD0" w:rsidRDefault="00720BD0" w:rsidP="00720BD0"/>
    <w:p w:rsidR="00720BD0" w:rsidRPr="00911E49" w:rsidRDefault="00720BD0" w:rsidP="00720BD0">
      <w:pPr>
        <w:rPr>
          <w:b/>
          <w:i/>
        </w:rPr>
      </w:pPr>
      <w:r w:rsidRPr="00911E49">
        <w:rPr>
          <w:b/>
          <w:i/>
        </w:rPr>
        <w:t xml:space="preserve">NB : </w:t>
      </w:r>
    </w:p>
    <w:p w:rsidR="00720BD0" w:rsidRPr="00911E49" w:rsidRDefault="00720BD0" w:rsidP="00720BD0">
      <w:pPr>
        <w:numPr>
          <w:ilvl w:val="0"/>
          <w:numId w:val="43"/>
        </w:numPr>
        <w:rPr>
          <w:i/>
        </w:rPr>
      </w:pPr>
      <w:r>
        <w:rPr>
          <w:i/>
        </w:rPr>
        <w:t xml:space="preserve">En </w:t>
      </w:r>
      <w:r w:rsidRPr="00911E49">
        <w:rPr>
          <w:i/>
        </w:rPr>
        <w:t xml:space="preserve">l'absence de pièce justificative, la </w:t>
      </w:r>
      <w:r w:rsidRPr="00911E49">
        <w:rPr>
          <w:b/>
          <w:i/>
        </w:rPr>
        <w:t>TVA</w:t>
      </w:r>
      <w:r w:rsidRPr="00911E49">
        <w:rPr>
          <w:i/>
        </w:rPr>
        <w:t xml:space="preserve"> ne peut pas être prise en compte dans la prochaine déclaration, c’est pourquoi il faut utiliser des comptes spéciaux (4458).</w:t>
      </w:r>
    </w:p>
    <w:p w:rsidR="00720BD0" w:rsidRPr="00E52E96" w:rsidRDefault="00720BD0" w:rsidP="00720BD0">
      <w:pPr>
        <w:numPr>
          <w:ilvl w:val="0"/>
          <w:numId w:val="43"/>
        </w:numPr>
        <w:rPr>
          <w:i/>
        </w:rPr>
      </w:pPr>
      <w:r w:rsidRPr="00911E49">
        <w:rPr>
          <w:i/>
        </w:rPr>
        <w:t>Ces écritures seront contre-passées à l’ouverture de l’exercice suivant afin d’éviter le double enregistrement au moment de la réception de la facture définitive.</w:t>
      </w:r>
    </w:p>
    <w:p w:rsidR="00720BD0" w:rsidRPr="003B1EBF" w:rsidRDefault="00720BD0" w:rsidP="00720BD0">
      <w:pPr>
        <w:pStyle w:val="Titre2"/>
      </w:pPr>
      <w:r w:rsidRPr="00720BD0">
        <w:t>Évènements</w:t>
      </w:r>
      <w:r>
        <w:t xml:space="preserve"> déjà enregistrés mais ne concernant pas l'exercice</w:t>
      </w:r>
    </w:p>
    <w:p w:rsidR="00720BD0" w:rsidRDefault="00720BD0" w:rsidP="00720BD0">
      <w:r>
        <w:t>Il arrive qu’une charge ou un produit enregistré ne concerne pas uniquement l’exercice en cours.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3"/>
        <w:gridCol w:w="4643"/>
      </w:tblGrid>
      <w:tr w:rsidR="00720BD0" w:rsidRPr="00CF2327" w:rsidTr="00D30731">
        <w:tc>
          <w:tcPr>
            <w:tcW w:w="4889" w:type="dxa"/>
          </w:tcPr>
          <w:p w:rsidR="00720BD0" w:rsidRPr="00CF2327" w:rsidRDefault="00720BD0" w:rsidP="00D30731">
            <w:pPr>
              <w:jc w:val="center"/>
              <w:rPr>
                <w:b/>
              </w:rPr>
            </w:pPr>
            <w:r w:rsidRPr="00CF2327">
              <w:rPr>
                <w:b/>
              </w:rPr>
              <w:t>Charges constatées d’avance</w:t>
            </w:r>
          </w:p>
        </w:tc>
        <w:tc>
          <w:tcPr>
            <w:tcW w:w="4889" w:type="dxa"/>
          </w:tcPr>
          <w:p w:rsidR="00720BD0" w:rsidRPr="00CF2327" w:rsidRDefault="00720BD0" w:rsidP="00D30731">
            <w:pPr>
              <w:jc w:val="center"/>
              <w:rPr>
                <w:b/>
              </w:rPr>
            </w:pPr>
            <w:r w:rsidRPr="00CF2327">
              <w:rPr>
                <w:b/>
              </w:rPr>
              <w:t>Produits constatés d’avance</w:t>
            </w:r>
          </w:p>
        </w:tc>
      </w:tr>
      <w:tr w:rsidR="00720BD0" w:rsidTr="00D30731">
        <w:trPr>
          <w:trHeight w:val="1304"/>
        </w:trPr>
        <w:tc>
          <w:tcPr>
            <w:tcW w:w="4889" w:type="dxa"/>
          </w:tcPr>
          <w:p w:rsidR="00720BD0" w:rsidRDefault="00720BD0" w:rsidP="00D30731">
            <w:r>
              <w:t xml:space="preserve">Enregistrement d’une charge qui concerne en réalité l'exercice suivant ou plusieurs exercices comptables. </w:t>
            </w:r>
          </w:p>
          <w:p w:rsidR="00720BD0" w:rsidRDefault="00720BD0" w:rsidP="00D30731">
            <w:r>
              <w:t>La charge - ou une partie de la charge - ne concerne pas l’exercice en cours elle doit être transférée sur l’exercice suivant.</w:t>
            </w:r>
          </w:p>
        </w:tc>
        <w:tc>
          <w:tcPr>
            <w:tcW w:w="4889" w:type="dxa"/>
          </w:tcPr>
          <w:p w:rsidR="00720BD0" w:rsidRDefault="00720BD0" w:rsidP="00D30731">
            <w:r>
              <w:t>Enregistrement d’un produit qui concerne en réalité l'exercice suivant ou plusieurs exercices comptables.</w:t>
            </w:r>
          </w:p>
          <w:p w:rsidR="00720BD0" w:rsidRDefault="00720BD0" w:rsidP="00D30731">
            <w:r>
              <w:t>Le produit – ou une partie du produit - ne concerne pas l’exercice en cours elle doit être transférée sur l’exercice suivant</w:t>
            </w:r>
          </w:p>
        </w:tc>
      </w:tr>
      <w:tr w:rsidR="00720BD0" w:rsidRPr="00CE2D08" w:rsidTr="00D30731">
        <w:trPr>
          <w:trHeight w:val="413"/>
        </w:trPr>
        <w:tc>
          <w:tcPr>
            <w:tcW w:w="9778" w:type="dxa"/>
            <w:gridSpan w:val="2"/>
            <w:vAlign w:val="center"/>
          </w:tcPr>
          <w:p w:rsidR="00720BD0" w:rsidRPr="00CE2D08" w:rsidRDefault="00720BD0" w:rsidP="00D30731">
            <w:pPr>
              <w:jc w:val="left"/>
              <w:rPr>
                <w:b/>
                <w:i/>
              </w:rPr>
            </w:pPr>
            <w:r w:rsidRPr="00CE2D08">
              <w:rPr>
                <w:b/>
                <w:i/>
              </w:rPr>
              <w:t>Les bonnes questions…</w:t>
            </w:r>
          </w:p>
        </w:tc>
      </w:tr>
      <w:tr w:rsidR="00720BD0" w:rsidTr="00D30731">
        <w:tc>
          <w:tcPr>
            <w:tcW w:w="4889" w:type="dxa"/>
          </w:tcPr>
          <w:p w:rsidR="00720BD0" w:rsidRDefault="00720BD0" w:rsidP="00D30731">
            <w:r>
              <w:t xml:space="preserve">La charge concerne-t-elle l'exercice ? </w:t>
            </w:r>
            <w:r>
              <w:tab/>
            </w:r>
            <w:r w:rsidRPr="00CC11C5">
              <w:rPr>
                <w:b/>
                <w:color w:val="FF0000"/>
              </w:rPr>
              <w:t>NON</w:t>
            </w:r>
          </w:p>
        </w:tc>
        <w:tc>
          <w:tcPr>
            <w:tcW w:w="4889" w:type="dxa"/>
          </w:tcPr>
          <w:p w:rsidR="00720BD0" w:rsidRDefault="00720BD0" w:rsidP="00D30731">
            <w:r>
              <w:t xml:space="preserve">Le produit concerne-t-il l'exercice ? </w:t>
            </w:r>
            <w:r w:rsidRPr="00CC11C5">
              <w:rPr>
                <w:b/>
                <w:color w:val="FF0000"/>
              </w:rPr>
              <w:t>NON</w:t>
            </w:r>
          </w:p>
        </w:tc>
      </w:tr>
      <w:tr w:rsidR="00720BD0" w:rsidTr="00D30731">
        <w:trPr>
          <w:trHeight w:val="1134"/>
        </w:trPr>
        <w:tc>
          <w:tcPr>
            <w:tcW w:w="4889" w:type="dxa"/>
          </w:tcPr>
          <w:p w:rsidR="00720BD0" w:rsidRDefault="00720BD0" w:rsidP="00D30731">
            <w:r>
              <w:t xml:space="preserve">La dette est-t-elle réelle ? </w:t>
            </w:r>
            <w:r w:rsidRPr="00CC11C5">
              <w:rPr>
                <w:b/>
                <w:color w:val="FF0000"/>
              </w:rPr>
              <w:t>OUI</w:t>
            </w:r>
          </w:p>
          <w:p w:rsidR="00720BD0" w:rsidRDefault="00720BD0" w:rsidP="00D30731">
            <w:r>
              <w:t xml:space="preserve">Le montant et l'échéance sont-ils certains ? </w:t>
            </w:r>
            <w:r w:rsidRPr="00CC11C5">
              <w:rPr>
                <w:b/>
                <w:color w:val="FF0000"/>
              </w:rPr>
              <w:t>OUI</w:t>
            </w:r>
          </w:p>
          <w:p w:rsidR="00720BD0" w:rsidRPr="00CE2D08" w:rsidRDefault="00720BD0" w:rsidP="00D30731">
            <w:pPr>
              <w:rPr>
                <w:b/>
                <w:i/>
              </w:rPr>
            </w:pPr>
            <w:r w:rsidRPr="00CE2D08">
              <w:rPr>
                <w:rFonts w:ascii="Wingdings" w:hAnsi="Wingdings"/>
                <w:b/>
                <w:i/>
              </w:rPr>
              <w:t></w:t>
            </w:r>
            <w:r w:rsidRPr="00CE2D08">
              <w:rPr>
                <w:b/>
                <w:i/>
              </w:rPr>
              <w:t xml:space="preserve"> </w:t>
            </w:r>
            <w:r w:rsidRPr="00CC11C5">
              <w:rPr>
                <w:b/>
                <w:color w:val="FF0000"/>
              </w:rPr>
              <w:t>il faut sortir la charge (constatée trop tôt) mais laisser la dette</w:t>
            </w:r>
          </w:p>
        </w:tc>
        <w:tc>
          <w:tcPr>
            <w:tcW w:w="4889" w:type="dxa"/>
          </w:tcPr>
          <w:p w:rsidR="00720BD0" w:rsidRDefault="00720BD0" w:rsidP="00D30731">
            <w:r>
              <w:t xml:space="preserve">La créance est-t-elle réelle ? </w:t>
            </w:r>
            <w:r w:rsidRPr="00CC11C5">
              <w:rPr>
                <w:b/>
                <w:color w:val="FF0000"/>
              </w:rPr>
              <w:t>OUI</w:t>
            </w:r>
          </w:p>
          <w:p w:rsidR="00720BD0" w:rsidRDefault="00720BD0" w:rsidP="00D30731">
            <w:r>
              <w:t xml:space="preserve">Le montant et l'échéance sont-ils certains ? </w:t>
            </w:r>
            <w:r w:rsidRPr="00CC11C5">
              <w:rPr>
                <w:b/>
                <w:color w:val="FF0000"/>
              </w:rPr>
              <w:t>OUI</w:t>
            </w:r>
          </w:p>
          <w:p w:rsidR="00720BD0" w:rsidRDefault="00720BD0" w:rsidP="00D30731">
            <w:r w:rsidRPr="00CE2D08">
              <w:rPr>
                <w:rFonts w:ascii="Wingdings" w:hAnsi="Wingdings"/>
                <w:b/>
                <w:i/>
              </w:rPr>
              <w:t></w:t>
            </w:r>
            <w:r w:rsidRPr="00CE2D08">
              <w:rPr>
                <w:b/>
                <w:i/>
              </w:rPr>
              <w:t xml:space="preserve"> </w:t>
            </w:r>
            <w:r w:rsidRPr="00CC11C5">
              <w:rPr>
                <w:b/>
                <w:color w:val="FF0000"/>
              </w:rPr>
              <w:t>il faut sortir le produit, mais conserver la créance</w:t>
            </w:r>
          </w:p>
        </w:tc>
      </w:tr>
      <w:tr w:rsidR="00720BD0" w:rsidTr="00D30731">
        <w:tc>
          <w:tcPr>
            <w:tcW w:w="9778" w:type="dxa"/>
            <w:gridSpan w:val="2"/>
          </w:tcPr>
          <w:p w:rsidR="00720BD0" w:rsidRDefault="00720BD0" w:rsidP="00D30731">
            <w:r w:rsidRPr="00CE2D08">
              <w:rPr>
                <w:b/>
              </w:rPr>
              <w:t>Comptes</w:t>
            </w:r>
            <w:r>
              <w:t xml:space="preserve"> : </w:t>
            </w:r>
            <w:r w:rsidRPr="00CC11C5">
              <w:rPr>
                <w:b/>
                <w:color w:val="FF0000"/>
              </w:rPr>
              <w:t>comptes spécifiques 486 – charges constatées d'avance et 487 – produits constatés d'avance</w:t>
            </w:r>
            <w:r>
              <w:t xml:space="preserve"> </w:t>
            </w:r>
          </w:p>
        </w:tc>
      </w:tr>
    </w:tbl>
    <w:p w:rsidR="00720BD0" w:rsidRDefault="00720BD0" w:rsidP="00720BD0"/>
    <w:p w:rsidR="00720BD0" w:rsidRDefault="00720BD0" w:rsidP="00720BD0">
      <w:pPr>
        <w:rPr>
          <w:i/>
        </w:rPr>
      </w:pPr>
      <w:r w:rsidRPr="002A5533">
        <w:rPr>
          <w:b/>
          <w:i/>
        </w:rPr>
        <w:t>NB</w:t>
      </w:r>
      <w:r w:rsidRPr="002A5533">
        <w:rPr>
          <w:i/>
        </w:rPr>
        <w:t xml:space="preserve"> : </w:t>
      </w:r>
    </w:p>
    <w:p w:rsidR="00720BD0" w:rsidRPr="002A5533" w:rsidRDefault="00720BD0" w:rsidP="00720BD0">
      <w:pPr>
        <w:numPr>
          <w:ilvl w:val="0"/>
          <w:numId w:val="42"/>
        </w:numPr>
        <w:rPr>
          <w:i/>
        </w:rPr>
      </w:pPr>
      <w:r w:rsidRPr="002A5533">
        <w:rPr>
          <w:i/>
        </w:rPr>
        <w:t xml:space="preserve">La </w:t>
      </w:r>
      <w:r w:rsidRPr="002A5533">
        <w:rPr>
          <w:b/>
          <w:i/>
        </w:rPr>
        <w:t>TVA</w:t>
      </w:r>
      <w:r w:rsidRPr="002A5533">
        <w:rPr>
          <w:i/>
        </w:rPr>
        <w:t xml:space="preserve"> n’a pas à être régularisée, elle a été déduite ou collectée de façon régulière. Elle n’intervient pas sur le résultat.</w:t>
      </w:r>
    </w:p>
    <w:p w:rsidR="00720BD0" w:rsidRPr="005D63D2" w:rsidRDefault="00720BD0" w:rsidP="00720BD0">
      <w:pPr>
        <w:numPr>
          <w:ilvl w:val="0"/>
          <w:numId w:val="42"/>
        </w:numPr>
        <w:rPr>
          <w:i/>
        </w:rPr>
      </w:pPr>
      <w:r w:rsidRPr="002A5533">
        <w:rPr>
          <w:i/>
        </w:rPr>
        <w:t>Ces écritures seront contre-passées à l’ouverture de l’exercice suivant afin de permettre le transfert de la charge ou du produit sur l’exercice suivant.</w:t>
      </w:r>
    </w:p>
    <w:p w:rsidR="00720BD0" w:rsidRDefault="00720BD0" w:rsidP="00720BD0">
      <w:pPr>
        <w:rPr>
          <w:u w:val="single"/>
        </w:rPr>
      </w:pPr>
    </w:p>
    <w:p w:rsidR="0053455C" w:rsidRDefault="0053455C">
      <w:pPr>
        <w:jc w:val="left"/>
        <w:rPr>
          <w:rFonts w:ascii="Arial" w:eastAsia="Calibri" w:hAnsi="Arial" w:cs="Arial"/>
          <w:b/>
          <w:color w:val="FFFFFF"/>
          <w:sz w:val="28"/>
          <w:szCs w:val="22"/>
          <w:lang w:eastAsia="en-US"/>
        </w:rPr>
      </w:pPr>
      <w:r>
        <w:br w:type="page"/>
      </w:r>
    </w:p>
    <w:p w:rsidR="00720BD0" w:rsidRDefault="00720BD0" w:rsidP="0053455C">
      <w:pPr>
        <w:pStyle w:val="Titre1"/>
      </w:pPr>
      <w:r>
        <w:lastRenderedPageBreak/>
        <w:t>Les stocks à l'inventaire</w:t>
      </w:r>
    </w:p>
    <w:p w:rsidR="00720BD0" w:rsidRDefault="00720BD0" w:rsidP="00720BD0">
      <w:pPr>
        <w:jc w:val="center"/>
      </w:pPr>
    </w:p>
    <w:p w:rsidR="00720BD0" w:rsidRDefault="00720BD0" w:rsidP="00720BD0">
      <w:r>
        <w:t>L’obligation comptable est de faire un inventaire des stocks, une fois par an, en déterminant la valeur des stocks qui devront figurer au bilan en respectant les principes de prudence.</w:t>
      </w:r>
      <w:r w:rsidR="0053455C" w:rsidRPr="0053455C">
        <w:rPr>
          <w:noProof/>
        </w:rPr>
        <w:t xml:space="preserve"> </w:t>
      </w:r>
    </w:p>
    <w:p w:rsidR="00720BD0" w:rsidRDefault="00720BD0" w:rsidP="00720BD0">
      <w:pPr>
        <w:pStyle w:val="Titre2"/>
        <w:numPr>
          <w:ilvl w:val="0"/>
          <w:numId w:val="0"/>
        </w:numPr>
        <w:ind w:left="576" w:hanging="576"/>
      </w:pPr>
      <w:r w:rsidRPr="007B663A">
        <w:rPr>
          <w:u w:val="none"/>
        </w:rPr>
        <w:t>4.1</w:t>
      </w:r>
      <w:r w:rsidRPr="007B663A">
        <w:rPr>
          <w:u w:val="none"/>
        </w:rPr>
        <w:tab/>
      </w:r>
      <w:r>
        <w:t>Quelle évaluation ?</w:t>
      </w:r>
    </w:p>
    <w:p w:rsidR="00720BD0" w:rsidRDefault="00720BD0" w:rsidP="00720BD0">
      <w:r>
        <w:t xml:space="preserve">Conformément aux règles du PCG sur les actifs, </w:t>
      </w:r>
    </w:p>
    <w:p w:rsidR="00720BD0" w:rsidRDefault="00720BD0" w:rsidP="00720BD0">
      <w:pPr>
        <w:numPr>
          <w:ilvl w:val="0"/>
          <w:numId w:val="44"/>
        </w:numPr>
      </w:pPr>
      <w:r>
        <w:t xml:space="preserve">les biens acquis (marchandises, matières premières, emballages, fournitures stockées) sont évalués au </w:t>
      </w:r>
      <w:r w:rsidRPr="00680AB7">
        <w:rPr>
          <w:b/>
          <w:i/>
        </w:rPr>
        <w:t>coût d'acquisition</w:t>
      </w:r>
      <w:r>
        <w:t>,</w:t>
      </w:r>
    </w:p>
    <w:p w:rsidR="00720BD0" w:rsidRDefault="00720BD0" w:rsidP="00720BD0">
      <w:pPr>
        <w:numPr>
          <w:ilvl w:val="0"/>
          <w:numId w:val="44"/>
        </w:numPr>
      </w:pPr>
      <w:r>
        <w:t xml:space="preserve">les biens produits (produits finis, en cours de production, produits intermédiaires et produits résiduels) sont évalués au </w:t>
      </w:r>
      <w:r w:rsidRPr="00680AB7">
        <w:rPr>
          <w:b/>
          <w:i/>
        </w:rPr>
        <w:t>coût de production</w:t>
      </w:r>
      <w:r>
        <w:t>.</w:t>
      </w:r>
    </w:p>
    <w:p w:rsidR="00720BD0" w:rsidRPr="007B663A" w:rsidRDefault="00720BD0" w:rsidP="00720BD0">
      <w:pPr>
        <w:pStyle w:val="Titre2"/>
        <w:numPr>
          <w:ilvl w:val="0"/>
          <w:numId w:val="0"/>
        </w:numPr>
        <w:rPr>
          <w:u w:val="none"/>
        </w:rPr>
      </w:pPr>
      <w:r w:rsidRPr="007B663A">
        <w:rPr>
          <w:u w:val="none"/>
        </w:rPr>
        <w:t>4.2</w:t>
      </w:r>
      <w:r w:rsidRPr="007B663A">
        <w:rPr>
          <w:u w:val="none"/>
        </w:rPr>
        <w:tab/>
        <w:t>Conséquences comptable d’un inventaire des stocks</w:t>
      </w:r>
    </w:p>
    <w:p w:rsidR="00720BD0" w:rsidRPr="00680AB7" w:rsidRDefault="00720BD0" w:rsidP="00720BD0">
      <w:pPr>
        <w:rPr>
          <w:b/>
        </w:rPr>
      </w:pPr>
      <w:r w:rsidRPr="00680AB7">
        <w:rPr>
          <w:b/>
        </w:rPr>
        <w:t>Les stocks évalués à l'inventaire doivent être ceux qui figurent au bilan de fin d'exercice.</w:t>
      </w:r>
    </w:p>
    <w:p w:rsidR="00720BD0" w:rsidRDefault="00720BD0" w:rsidP="00720BD0">
      <w:r>
        <w:t>Il faut donc remplacer la valeur du bilan initial (valeur des stocks N-1) par la nouvelle valeur des stocks (valeur fin N).</w:t>
      </w:r>
    </w:p>
    <w:p w:rsidR="00720BD0" w:rsidRDefault="00720BD0" w:rsidP="00720BD0"/>
    <w:p w:rsidR="00720BD0" w:rsidRPr="00557F64" w:rsidRDefault="00720BD0" w:rsidP="00720BD0">
      <w:pPr>
        <w:jc w:val="center"/>
      </w:pPr>
      <w:r>
        <w:rPr>
          <w:noProof/>
        </w:rPr>
        <w:drawing>
          <wp:inline distT="0" distB="0" distL="0" distR="0">
            <wp:extent cx="5988071" cy="5505450"/>
            <wp:effectExtent l="19050" t="19050" r="12679" b="19050"/>
            <wp:docPr id="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988071" cy="5505450"/>
                    </a:xfrm>
                    <a:prstGeom prst="rect">
                      <a:avLst/>
                    </a:prstGeom>
                    <a:noFill/>
                    <a:ln w="19050" cmpd="sng">
                      <a:solidFill>
                        <a:srgbClr val="000000"/>
                      </a:solidFill>
                      <a:miter lim="800000"/>
                      <a:headEnd/>
                      <a:tailEnd/>
                    </a:ln>
                    <a:effectLst/>
                  </pic:spPr>
                </pic:pic>
              </a:graphicData>
            </a:graphic>
          </wp:inline>
        </w:drawing>
      </w:r>
    </w:p>
    <w:p w:rsidR="00720BD0" w:rsidRDefault="00720BD0" w:rsidP="00250221">
      <w:pPr>
        <w:sectPr w:rsidR="00720BD0" w:rsidSect="00097F94">
          <w:type w:val="continuous"/>
          <w:pgSz w:w="11906" w:h="16838" w:code="9"/>
          <w:pgMar w:top="1134" w:right="1418" w:bottom="1134" w:left="1418" w:header="567" w:footer="851" w:gutter="0"/>
          <w:cols w:space="708"/>
          <w:docGrid w:linePitch="360"/>
        </w:sectPr>
      </w:pPr>
    </w:p>
    <w:p w:rsidR="00905973" w:rsidRDefault="00905973" w:rsidP="00F34367">
      <w:pPr>
        <w:pStyle w:val="Titre1"/>
      </w:pPr>
      <w:r>
        <w:lastRenderedPageBreak/>
        <w:t>Les dépréciations</w:t>
      </w:r>
    </w:p>
    <w:p w:rsidR="00F34367" w:rsidRDefault="00F34367" w:rsidP="00905973">
      <w:pPr>
        <w:pStyle w:val="Titre2"/>
      </w:pPr>
      <w:r>
        <w:t>Noti</w:t>
      </w:r>
      <w:r w:rsidRPr="00F34367">
        <w:t>o</w:t>
      </w:r>
      <w:r>
        <w:t>n de dépréciation</w:t>
      </w:r>
      <w:r>
        <w:rPr>
          <w:rStyle w:val="Appelnotedebasdep"/>
        </w:rPr>
        <w:footnoteReference w:id="1"/>
      </w:r>
    </w:p>
    <w:p w:rsidR="00F34367" w:rsidRDefault="00F34367" w:rsidP="00F34367">
      <w:r>
        <w:t xml:space="preserve">Les comptes individuels doivent donner une image fidèle de la situation de l'entreprise, mais ils doivent aussi respecter le principe de prudence. </w:t>
      </w:r>
    </w:p>
    <w:p w:rsidR="00F34367" w:rsidRDefault="00F34367" w:rsidP="00F34367">
      <w:r>
        <w:t>Or les actifs de l'entreprise sont sujets à des variations de valeur qu'elle soit marchande ou d'usage. Ainsi, certains actifs peuvent se déprécier de façon occasionnelle, non irréversible, ou au contraire s'apprécier.</w:t>
      </w:r>
    </w:p>
    <w:p w:rsidR="00F34367" w:rsidRDefault="003059E2" w:rsidP="00F34367">
      <w:r>
        <w:t>Donc</w:t>
      </w:r>
      <w:r w:rsidR="00F34367">
        <w:t xml:space="preserve"> lorsqu'un actif voit sa valeur actuelle devenir inférieure à sa valeur nette comptable, une dépréciation doit apparaître au bilan pour rectifier son "image".</w:t>
      </w:r>
    </w:p>
    <w:p w:rsidR="00F34367" w:rsidRDefault="00F34367" w:rsidP="00F34367"/>
    <w:p w:rsidR="00F34367" w:rsidRPr="00925621" w:rsidRDefault="00F34367" w:rsidP="00F34367">
      <w:pPr>
        <w:pBdr>
          <w:top w:val="single" w:sz="4" w:space="1" w:color="auto"/>
          <w:left w:val="single" w:sz="4" w:space="4" w:color="auto"/>
          <w:bottom w:val="single" w:sz="4" w:space="1" w:color="auto"/>
          <w:right w:val="single" w:sz="4" w:space="4" w:color="auto"/>
        </w:pBdr>
        <w:jc w:val="left"/>
        <w:rPr>
          <w:b/>
          <w:i/>
        </w:rPr>
      </w:pPr>
      <w:r w:rsidRPr="00925621">
        <w:rPr>
          <w:b/>
          <w:i/>
        </w:rPr>
        <w:t xml:space="preserve">PCG – Art 322-1 " la dépréciation d'un actif est la constatation que sa </w:t>
      </w:r>
      <w:r w:rsidRPr="007132BE">
        <w:rPr>
          <w:b/>
          <w:i/>
          <w:shd w:val="clear" w:color="auto" w:fill="B8CCE4" w:themeFill="accent1" w:themeFillTint="66"/>
        </w:rPr>
        <w:t>valeur actuelle</w:t>
      </w:r>
      <w:r w:rsidRPr="00925621">
        <w:rPr>
          <w:b/>
          <w:i/>
        </w:rPr>
        <w:t xml:space="preserve"> est devenue notablement (de manière significative) inférieure à sa </w:t>
      </w:r>
      <w:r w:rsidRPr="007132BE">
        <w:rPr>
          <w:b/>
          <w:i/>
          <w:shd w:val="clear" w:color="auto" w:fill="B8CCE4" w:themeFill="accent1" w:themeFillTint="66"/>
        </w:rPr>
        <w:t>valeur nette comptable</w:t>
      </w:r>
      <w:r w:rsidRPr="00925621">
        <w:rPr>
          <w:b/>
          <w:i/>
        </w:rPr>
        <w:t>"</w:t>
      </w:r>
    </w:p>
    <w:p w:rsidR="00F34367" w:rsidRDefault="00F34367" w:rsidP="00F34367"/>
    <w:p w:rsidR="00F34367" w:rsidRPr="007132BE" w:rsidRDefault="00F34367" w:rsidP="00F34367">
      <w:pPr>
        <w:rPr>
          <w:b/>
          <w:u w:val="single"/>
        </w:rPr>
      </w:pPr>
      <w:r w:rsidRPr="007132BE">
        <w:rPr>
          <w:b/>
          <w:u w:val="single"/>
        </w:rPr>
        <w:t>Quelle est la valeur nette comptable ?</w:t>
      </w:r>
    </w:p>
    <w:p w:rsidR="00F34367" w:rsidRPr="00361EC7" w:rsidRDefault="00F34367" w:rsidP="00F34367">
      <w:pPr>
        <w:pBdr>
          <w:top w:val="single" w:sz="4" w:space="1" w:color="auto"/>
          <w:left w:val="single" w:sz="4" w:space="4" w:color="auto"/>
          <w:bottom w:val="single" w:sz="4" w:space="1" w:color="auto"/>
          <w:right w:val="single" w:sz="4" w:space="4" w:color="auto"/>
        </w:pBdr>
        <w:rPr>
          <w:i/>
        </w:rPr>
      </w:pPr>
      <w:r w:rsidRPr="00361EC7">
        <w:rPr>
          <w:b/>
          <w:i/>
        </w:rPr>
        <w:t xml:space="preserve">PCG – Art 322-1 </w:t>
      </w:r>
      <w:r w:rsidRPr="00361EC7">
        <w:rPr>
          <w:i/>
        </w:rPr>
        <w:t>La valeur nette comptable d’un actif correspond à sa valeur brute diminuée des amortissements cumulés et des dépréciations.</w:t>
      </w:r>
    </w:p>
    <w:p w:rsidR="00F34367" w:rsidRDefault="00F34367" w:rsidP="00F34367"/>
    <w:p w:rsidR="00F34367" w:rsidRDefault="00F34367" w:rsidP="00905973">
      <w:pPr>
        <w:pStyle w:val="Titre2"/>
      </w:pPr>
      <w:r>
        <w:t xml:space="preserve">Détermination de la </w:t>
      </w:r>
      <w:r w:rsidRPr="007132BE">
        <w:t>valeur actuelle</w:t>
      </w:r>
      <w:r>
        <w:t xml:space="preserve"> à l'inventaire :</w:t>
      </w:r>
    </w:p>
    <w:p w:rsidR="00F34367" w:rsidRDefault="00F34367" w:rsidP="00F34367">
      <w:r>
        <w:t>Celle-ci peut être évaluée à sa valeur de marché, ou valeur vénale, ou à sa valeur d'usage, déterminée par les prévisions de flux de trésorerie futurs attendus de l'actif</w:t>
      </w:r>
    </w:p>
    <w:p w:rsidR="00F34367" w:rsidRDefault="00F34367" w:rsidP="00F34367"/>
    <w:p w:rsidR="00F34367" w:rsidRDefault="004B2910" w:rsidP="00F34367">
      <w:pPr>
        <w:pBdr>
          <w:top w:val="single" w:sz="4" w:space="1" w:color="auto"/>
          <w:left w:val="single" w:sz="4" w:space="4" w:color="auto"/>
          <w:bottom w:val="single" w:sz="4" w:space="1" w:color="auto"/>
          <w:right w:val="single" w:sz="4" w:space="4" w:color="auto"/>
        </w:pBdr>
        <w:jc w:val="left"/>
        <w:rPr>
          <w:b/>
          <w:i/>
        </w:rPr>
      </w:pPr>
      <w:r>
        <w:rPr>
          <w:b/>
          <w:i/>
        </w:rPr>
        <w:t xml:space="preserve">Extraits du </w:t>
      </w:r>
      <w:r w:rsidR="00F34367" w:rsidRPr="00925621">
        <w:rPr>
          <w:b/>
          <w:i/>
        </w:rPr>
        <w:t xml:space="preserve">PCG – Art 322-1 </w:t>
      </w:r>
      <w:r w:rsidR="00F34367">
        <w:rPr>
          <w:b/>
          <w:i/>
        </w:rPr>
        <w:t xml:space="preserve">(10) </w:t>
      </w:r>
      <w:r w:rsidR="00F34367" w:rsidRPr="0078347F">
        <w:rPr>
          <w:i/>
        </w:rPr>
        <w:t xml:space="preserve">La </w:t>
      </w:r>
      <w:r w:rsidR="00F34367" w:rsidRPr="007132BE">
        <w:rPr>
          <w:i/>
          <w:shd w:val="clear" w:color="auto" w:fill="B8CCE4" w:themeFill="accent1" w:themeFillTint="66"/>
        </w:rPr>
        <w:t>valeur vénale</w:t>
      </w:r>
      <w:r w:rsidR="00F34367" w:rsidRPr="0078347F">
        <w:rPr>
          <w:i/>
        </w:rPr>
        <w:t xml:space="preserve"> est le montant qui pourrait être obtenu, à la date de clôture, de la vente d’un actif lors d’une transaction conclue à des conditions normales de marché</w:t>
      </w:r>
      <w:r>
        <w:rPr>
          <w:i/>
        </w:rPr>
        <w:t xml:space="preserve"> [..</w:t>
      </w:r>
      <w:r w:rsidR="00F34367" w:rsidRPr="0078347F">
        <w:rPr>
          <w:i/>
        </w:rPr>
        <w:t>.</w:t>
      </w:r>
      <w:r>
        <w:rPr>
          <w:i/>
        </w:rPr>
        <w:t>]</w:t>
      </w:r>
    </w:p>
    <w:p w:rsidR="00F34367" w:rsidRPr="0078347F" w:rsidRDefault="00F34367" w:rsidP="00F34367"/>
    <w:p w:rsidR="00F34367" w:rsidRPr="0078347F" w:rsidRDefault="004B2910" w:rsidP="00F34367">
      <w:pPr>
        <w:pBdr>
          <w:top w:val="single" w:sz="4" w:space="1" w:color="auto"/>
          <w:left w:val="single" w:sz="4" w:space="4" w:color="auto"/>
          <w:bottom w:val="single" w:sz="4" w:space="1" w:color="auto"/>
          <w:right w:val="single" w:sz="4" w:space="4" w:color="auto"/>
        </w:pBdr>
        <w:jc w:val="left"/>
        <w:rPr>
          <w:b/>
          <w:i/>
        </w:rPr>
      </w:pPr>
      <w:r>
        <w:rPr>
          <w:b/>
          <w:i/>
        </w:rPr>
        <w:t xml:space="preserve">Extraits du </w:t>
      </w:r>
      <w:r w:rsidR="00F34367" w:rsidRPr="00925621">
        <w:rPr>
          <w:b/>
          <w:i/>
        </w:rPr>
        <w:t xml:space="preserve">PCG – Art 322-1 </w:t>
      </w:r>
      <w:r w:rsidR="00F34367">
        <w:rPr>
          <w:b/>
          <w:i/>
        </w:rPr>
        <w:t xml:space="preserve">(11) </w:t>
      </w:r>
      <w:r w:rsidR="00F34367" w:rsidRPr="0078347F">
        <w:rPr>
          <w:i/>
        </w:rPr>
        <w:t xml:space="preserve">La </w:t>
      </w:r>
      <w:r w:rsidR="00F34367" w:rsidRPr="007132BE">
        <w:rPr>
          <w:i/>
          <w:shd w:val="clear" w:color="auto" w:fill="B8CCE4" w:themeFill="accent1" w:themeFillTint="66"/>
        </w:rPr>
        <w:t>valeur d’usage</w:t>
      </w:r>
      <w:r w:rsidR="00F34367" w:rsidRPr="0078347F">
        <w:rPr>
          <w:i/>
        </w:rPr>
        <w:t xml:space="preserve"> d’un actif est la valeur des avantages économiques futurs attendus de son utilisation et de sa sortie. Elle est calculée à partir des estimations des avantages économiques futurs attendus. Dans la généralité des cas, elle est déterminée en fonction des flux nets de trésorerie attendus. </w:t>
      </w:r>
      <w:r>
        <w:rPr>
          <w:i/>
        </w:rPr>
        <w:t>[..</w:t>
      </w:r>
      <w:r w:rsidRPr="0078347F">
        <w:rPr>
          <w:i/>
        </w:rPr>
        <w:t>.</w:t>
      </w:r>
      <w:r>
        <w:rPr>
          <w:i/>
        </w:rPr>
        <w:t>]</w:t>
      </w:r>
    </w:p>
    <w:p w:rsidR="00F34367" w:rsidRDefault="00F34367" w:rsidP="00F34367">
      <w:pPr>
        <w:rPr>
          <w:b/>
          <w:bCs/>
          <w:u w:val="single"/>
        </w:rPr>
      </w:pPr>
    </w:p>
    <w:p w:rsidR="00F34367" w:rsidRDefault="004B2910" w:rsidP="00F34367">
      <w:pPr>
        <w:rPr>
          <w:b/>
          <w:bCs/>
          <w:u w:val="single"/>
        </w:rPr>
      </w:pPr>
      <w:r>
        <w:rPr>
          <w:b/>
          <w:bCs/>
          <w:u w:val="single"/>
        </w:rPr>
        <w:t>Comment</w:t>
      </w:r>
      <w:r w:rsidR="00F34367">
        <w:rPr>
          <w:b/>
          <w:bCs/>
          <w:u w:val="single"/>
        </w:rPr>
        <w:t xml:space="preserve"> choisir entre la valeur actuelle et la valeur vénale </w:t>
      </w:r>
      <w:r>
        <w:rPr>
          <w:b/>
          <w:bCs/>
          <w:u w:val="single"/>
        </w:rPr>
        <w:t>?</w:t>
      </w:r>
    </w:p>
    <w:p w:rsidR="00F34367" w:rsidRPr="0078347F" w:rsidRDefault="004B2910" w:rsidP="00F34367">
      <w:pPr>
        <w:pBdr>
          <w:top w:val="single" w:sz="4" w:space="1" w:color="auto"/>
          <w:left w:val="single" w:sz="4" w:space="4" w:color="auto"/>
          <w:bottom w:val="single" w:sz="4" w:space="1" w:color="auto"/>
          <w:right w:val="single" w:sz="4" w:space="4" w:color="auto"/>
        </w:pBdr>
        <w:rPr>
          <w:b/>
          <w:bCs/>
          <w:i/>
          <w:u w:val="single"/>
        </w:rPr>
      </w:pPr>
      <w:r>
        <w:rPr>
          <w:b/>
          <w:i/>
        </w:rPr>
        <w:t xml:space="preserve">Extraits du </w:t>
      </w:r>
      <w:r w:rsidR="00F34367" w:rsidRPr="0078347F">
        <w:rPr>
          <w:b/>
          <w:i/>
        </w:rPr>
        <w:t xml:space="preserve">PCG – Art 322-1 (11) </w:t>
      </w:r>
      <w:r w:rsidR="00F34367" w:rsidRPr="0078347F">
        <w:rPr>
          <w:i/>
        </w:rPr>
        <w:t xml:space="preserve">La valeur actuelle est la valeur </w:t>
      </w:r>
      <w:r w:rsidR="00F34367" w:rsidRPr="004B2910">
        <w:rPr>
          <w:i/>
          <w:shd w:val="clear" w:color="auto" w:fill="B8CCE4" w:themeFill="accent1" w:themeFillTint="66"/>
        </w:rPr>
        <w:t xml:space="preserve">la plus élevée de la valeur vénale ou de la valeur d’usage </w:t>
      </w:r>
      <w:r>
        <w:rPr>
          <w:i/>
        </w:rPr>
        <w:t>[..</w:t>
      </w:r>
      <w:r w:rsidRPr="0078347F">
        <w:rPr>
          <w:i/>
        </w:rPr>
        <w:t>.</w:t>
      </w:r>
      <w:r>
        <w:rPr>
          <w:i/>
        </w:rPr>
        <w:t>]</w:t>
      </w:r>
      <w:r w:rsidR="00F34367" w:rsidRPr="0078347F">
        <w:rPr>
          <w:i/>
        </w:rPr>
        <w:t>.</w:t>
      </w:r>
    </w:p>
    <w:p w:rsidR="00F34367" w:rsidRDefault="00F34367" w:rsidP="00F34367"/>
    <w:p w:rsidR="00F34367" w:rsidRPr="007132BE" w:rsidRDefault="00F34367" w:rsidP="004B2910">
      <w:pPr>
        <w:pBdr>
          <w:top w:val="single" w:sz="12" w:space="1" w:color="auto"/>
          <w:left w:val="single" w:sz="12" w:space="20" w:color="auto"/>
          <w:bottom w:val="single" w:sz="12" w:space="1" w:color="auto"/>
          <w:right w:val="single" w:sz="12" w:space="4" w:color="auto"/>
        </w:pBdr>
        <w:ind w:left="851" w:right="565"/>
        <w:rPr>
          <w:b/>
          <w:sz w:val="28"/>
        </w:rPr>
      </w:pPr>
      <w:r w:rsidRPr="007132BE">
        <w:rPr>
          <w:b/>
          <w:sz w:val="28"/>
        </w:rPr>
        <w:t>Donc</w:t>
      </w:r>
      <w:r w:rsidR="004B2910">
        <w:rPr>
          <w:b/>
          <w:sz w:val="28"/>
        </w:rPr>
        <w:t>,</w:t>
      </w:r>
      <w:r w:rsidRPr="007132BE">
        <w:rPr>
          <w:b/>
          <w:sz w:val="28"/>
        </w:rPr>
        <w:t xml:space="preserve"> valeur actuelle = MAX (Valeur vénale, valeur d'usage)</w:t>
      </w:r>
    </w:p>
    <w:p w:rsidR="00F34367" w:rsidRDefault="00F34367" w:rsidP="00F34367"/>
    <w:p w:rsidR="00F34367" w:rsidRDefault="00F34367" w:rsidP="00905973">
      <w:pPr>
        <w:pStyle w:val="Titre2"/>
      </w:pPr>
      <w:r>
        <w:t>Test de dépréciation</w:t>
      </w:r>
    </w:p>
    <w:p w:rsidR="00F34367" w:rsidRDefault="00F34367" w:rsidP="00F34367">
      <w:r>
        <w:t>Si des éléments internes ou externes semblent indiquer une perte de valeur de l'immobilisation, un test de dépréciation doit être effectué.</w:t>
      </w:r>
    </w:p>
    <w:p w:rsidR="00F34367" w:rsidRPr="00962106" w:rsidRDefault="00F34367" w:rsidP="00F34367">
      <w:pPr>
        <w:rPr>
          <w:i/>
        </w:rPr>
      </w:pPr>
      <w:r w:rsidRPr="00962106">
        <w:rPr>
          <w:i/>
        </w:rPr>
        <w:t>- indices  externes : valeur de marché, changements importants</w:t>
      </w:r>
      <w:r>
        <w:rPr>
          <w:i/>
        </w:rPr>
        <w:t xml:space="preserve"> de l'environnement</w:t>
      </w:r>
      <w:r w:rsidRPr="00962106">
        <w:rPr>
          <w:i/>
        </w:rPr>
        <w:t>, taux d’intérêt ou de rendement ;</w:t>
      </w:r>
    </w:p>
    <w:p w:rsidR="00F34367" w:rsidRDefault="00F34367" w:rsidP="00F34367">
      <w:pPr>
        <w:rPr>
          <w:i/>
        </w:rPr>
      </w:pPr>
      <w:r w:rsidRPr="00962106">
        <w:rPr>
          <w:i/>
        </w:rPr>
        <w:t>- Indices internes : obsolescence ou dégradation physique, changements importants dans le mode d’utilisation, performances inférieures aux prévisions.</w:t>
      </w:r>
    </w:p>
    <w:p w:rsidR="00F34367" w:rsidRDefault="00F34367" w:rsidP="00F34367">
      <w:pPr>
        <w:rPr>
          <w:i/>
        </w:rPr>
      </w:pPr>
    </w:p>
    <w:p w:rsidR="00F34367" w:rsidRDefault="00A36A7F" w:rsidP="00F34367">
      <w:r>
        <w:rPr>
          <w:noProof/>
        </w:rPr>
        <w:lastRenderedPageBreak/>
        <w:pict>
          <v:line id="_x0000_s1045" style="position:absolute;left:0;text-align:left;flip:y;z-index:251664384" from="118.6pt,118.7pt" to="388.6pt,119.15pt"/>
        </w:pict>
      </w:r>
      <w:r>
        <w:rPr>
          <w:noProof/>
        </w:rPr>
        <w:pict>
          <v:shapetype id="_x0000_t202" coordsize="21600,21600" o:spt="202" path="m,l,21600r21600,l21600,xe">
            <v:stroke joinstyle="miter"/>
            <v:path gradientshapeok="t" o:connecttype="rect"/>
          </v:shapetype>
          <v:shape id="_x0000_s1044" type="#_x0000_t202" style="position:absolute;left:0;text-align:left;margin-left:133.3pt;margin-top:89.7pt;width:30.3pt;height:13.65pt;z-index:251663360;v-text-anchor:middle" stroked="f">
            <v:textbox inset="0,0,0,0">
              <w:txbxContent>
                <w:p w:rsidR="00F34367" w:rsidRDefault="00F34367" w:rsidP="00F34367">
                  <w:pPr>
                    <w:jc w:val="center"/>
                  </w:pPr>
                  <w:r>
                    <w:t>NON</w:t>
                  </w:r>
                </w:p>
              </w:txbxContent>
            </v:textbox>
          </v:shape>
        </w:pict>
      </w:r>
      <w:r>
        <w:rPr>
          <w:noProof/>
        </w:rPr>
        <w:pict>
          <v:shape id="_x0000_s1042" type="#_x0000_t202" style="position:absolute;left:0;text-align:left;margin-left:113.65pt;margin-top:6.9pt;width:44.35pt;height:13.65pt;z-index:251661312;v-text-anchor:middle" stroked="f">
            <v:textbox inset="0,0,0,0">
              <w:txbxContent>
                <w:p w:rsidR="00F34367" w:rsidRDefault="00F34367" w:rsidP="00F34367">
                  <w:pPr>
                    <w:jc w:val="center"/>
                  </w:pPr>
                  <w:r>
                    <w:t>OUI</w:t>
                  </w:r>
                </w:p>
              </w:txbxContent>
            </v:textbox>
          </v:shape>
        </w:pict>
      </w:r>
      <w:r>
        <w:rPr>
          <w:noProof/>
        </w:rPr>
        <w:pict>
          <v:shape id="_x0000_s1043" type="#_x0000_t202" style="position:absolute;left:0;text-align:left;margin-left:25.6pt;margin-top:143.45pt;width:30.3pt;height:13.65pt;z-index:251662336;v-text-anchor:middle" stroked="f">
            <v:textbox inset="0,0,0,0">
              <w:txbxContent>
                <w:p w:rsidR="00F34367" w:rsidRDefault="00F34367" w:rsidP="00F34367">
                  <w:pPr>
                    <w:jc w:val="center"/>
                  </w:pPr>
                  <w:r>
                    <w:t>OUI</w:t>
                  </w:r>
                </w:p>
              </w:txbxContent>
            </v:textbox>
          </v:shape>
        </w:pict>
      </w:r>
      <w:r>
        <w:rPr>
          <w:noProof/>
        </w:rPr>
        <w:pict>
          <v:shape id="_x0000_s1041" type="#_x0000_t202" style="position:absolute;left:0;text-align:left;margin-left:293.65pt;margin-top:10.65pt;width:44.35pt;height:13.65pt;z-index:251660288;v-text-anchor:middle" stroked="f">
            <v:textbox inset="0,0,0,0">
              <w:txbxContent>
                <w:p w:rsidR="00F34367" w:rsidRDefault="00F34367" w:rsidP="00F34367">
                  <w:pPr>
                    <w:jc w:val="center"/>
                  </w:pPr>
                  <w:r>
                    <w:t>NON</w:t>
                  </w:r>
                </w:p>
              </w:txbxContent>
            </v:textbox>
          </v:shape>
        </w:pict>
      </w:r>
      <w:r>
        <w:pict>
          <v:group id="_x0000_s1031" style="width:450.6pt;height:189.6pt;mso-position-horizontal-relative:char;mso-position-vertical-relative:line" coordorigin="1229,3632" coordsize="8952,4272">
            <v:shapetype id="_x0000_t110" coordsize="21600,21600" o:spt="110" path="m10800,l,10800,10800,21600,21600,10800xe">
              <v:stroke joinstyle="miter"/>
              <v:path gradientshapeok="t" o:connecttype="rect" textboxrect="5400,5400,16200,16200"/>
            </v:shapetype>
            <v:shape id="_x0000_s1032" type="#_x0000_t110" style="position:absolute;left:4520;top:3632;width:2344;height:1000;v-text-anchor:middle">
              <v:textbox style="mso-next-textbox:#_x0000_s1032" inset="0,0,0,0">
                <w:txbxContent>
                  <w:p w:rsidR="00F34367" w:rsidRPr="00DD6E79" w:rsidRDefault="00F34367" w:rsidP="00F34367">
                    <w:pPr>
                      <w:jc w:val="center"/>
                      <w:rPr>
                        <w:sz w:val="18"/>
                      </w:rPr>
                    </w:pPr>
                    <w:r w:rsidRPr="00DD6E79">
                      <w:rPr>
                        <w:sz w:val="18"/>
                      </w:rPr>
                      <w:t>Indice de perte de valeur ?</w:t>
                    </w:r>
                  </w:p>
                </w:txbxContent>
              </v:textbox>
            </v:shape>
            <v:shape id="_x0000_s1033" style="position:absolute;left:2400;top:4136;width:2120;height:560;v-text-anchor:middle" coordsize="2120,560" path="m2120,l,,,560e" filled="f" strokeweight="1pt">
              <v:stroke endarrow="block" endarrowwidth="wide"/>
              <v:path arrowok="t"/>
            </v:shape>
            <v:shape id="_x0000_s1034" style="position:absolute;left:6864;top:4136;width:2128;height:3040;v-text-anchor:middle" coordsize="2128,3040" path="m,l2120,r8,3040e" filled="f" strokeweight="1pt">
              <v:stroke endarrow="block" endarrowwidth="wide"/>
              <o:extrusion v:ext="view" rotationangle=",-10"/>
              <v:path arrowok="t"/>
            </v:shape>
            <v:roundrect id="_x0000_s1035" style="position:absolute;left:1349;top:4696;width:2264;height:576;v-text-anchor:middle" arcsize="10923f">
              <v:textbox style="mso-next-textbox:#_x0000_s1035" inset="0,0,0,0">
                <w:txbxContent>
                  <w:p w:rsidR="00F34367" w:rsidRPr="00A30CDF" w:rsidRDefault="00F34367" w:rsidP="00F34367">
                    <w:pPr>
                      <w:jc w:val="center"/>
                    </w:pPr>
                    <w:r w:rsidRPr="00A30CDF">
                      <w:t>VA = Max(VU, VV)</w:t>
                    </w:r>
                  </w:p>
                </w:txbxContent>
              </v:textbox>
            </v:roundrect>
            <v:roundrect id="_x0000_s1036" style="position:absolute;left:7917;top:7200;width:2264;height:576;v-text-anchor:middle" arcsize="10923f">
              <v:textbox style="mso-next-textbox:#_x0000_s1036" inset="0,0,0,0">
                <w:txbxContent>
                  <w:p w:rsidR="00F34367" w:rsidRPr="00A30CDF" w:rsidRDefault="00F34367" w:rsidP="00F34367">
                    <w:pPr>
                      <w:rPr>
                        <w:sz w:val="18"/>
                      </w:rPr>
                    </w:pPr>
                    <w:r>
                      <w:rPr>
                        <w:sz w:val="18"/>
                      </w:rPr>
                      <w:t>Pas de dépréciation la VNC est maintenue</w:t>
                    </w:r>
                  </w:p>
                </w:txbxContent>
              </v:textbox>
            </v:roundrect>
            <v:shape id="_x0000_s1037" type="#_x0000_t110" style="position:absolute;left:1229;top:5800;width:2344;height:1000;v-text-anchor:middle">
              <v:textbox style="mso-next-textbox:#_x0000_s1037" inset="0,0,0,0">
                <w:txbxContent>
                  <w:p w:rsidR="00F34367" w:rsidRPr="00A30CDF" w:rsidRDefault="00F34367" w:rsidP="00F34367">
                    <w:pPr>
                      <w:jc w:val="center"/>
                    </w:pPr>
                    <w:r w:rsidRPr="00A30CDF">
                      <w:t>VA &lt; VNC ?</w:t>
                    </w:r>
                  </w:p>
                </w:txbxContent>
              </v:textbox>
            </v:shape>
            <v:shapetype id="_x0000_t32" coordsize="21600,21600" o:spt="32" o:oned="t" path="m,l21600,21600e" filled="f">
              <v:path arrowok="t" fillok="f" o:connecttype="none"/>
              <o:lock v:ext="edit" shapetype="t"/>
            </v:shapetype>
            <v:shape id="_x0000_s1038" type="#_x0000_t32" style="position:absolute;left:2400;top:5272;width:0;height:528;v-text-anchor:middle" o:connectortype="straight">
              <v:stroke endarrow="block"/>
            </v:shape>
            <v:roundrect id="_x0000_s1039" style="position:absolute;left:1397;top:7328;width:2264;height:576;v-text-anchor:middle" arcsize="10923f">
              <v:textbox style="mso-next-textbox:#_x0000_s1039" inset="0,0,0,0">
                <w:txbxContent>
                  <w:p w:rsidR="00F34367" w:rsidRPr="00A30CDF" w:rsidRDefault="00F34367" w:rsidP="00F34367">
                    <w:pPr>
                      <w:rPr>
                        <w:sz w:val="18"/>
                      </w:rPr>
                    </w:pPr>
                    <w:r>
                      <w:rPr>
                        <w:sz w:val="18"/>
                      </w:rPr>
                      <w:t>Dépréciation =&gt; transformer la valeur au bilan à la VA</w:t>
                    </w:r>
                  </w:p>
                </w:txbxContent>
              </v:textbox>
            </v:roundrect>
            <v:shape id="_x0000_s1040" type="#_x0000_t32" style="position:absolute;left:2400;top:6800;width:0;height:528;v-text-anchor:middle" o:connectortype="straight">
              <v:stroke endarrow="block"/>
            </v:shape>
            <w10:wrap type="none"/>
            <w10:anchorlock/>
          </v:group>
        </w:pict>
      </w:r>
    </w:p>
    <w:p w:rsidR="00F34367" w:rsidRDefault="00F34367" w:rsidP="00F34367">
      <w:pPr>
        <w:rPr>
          <w:i/>
          <w:sz w:val="20"/>
        </w:rPr>
      </w:pPr>
      <w:r w:rsidRPr="00814737">
        <w:rPr>
          <w:i/>
          <w:sz w:val="20"/>
        </w:rPr>
        <w:t>VA = valeur actuelle</w:t>
      </w:r>
      <w:r>
        <w:rPr>
          <w:i/>
          <w:sz w:val="20"/>
        </w:rPr>
        <w:tab/>
      </w:r>
      <w:r w:rsidRPr="00814737">
        <w:rPr>
          <w:i/>
          <w:sz w:val="20"/>
        </w:rPr>
        <w:t>VV = valeur vénale</w:t>
      </w:r>
      <w:r>
        <w:rPr>
          <w:i/>
          <w:sz w:val="20"/>
        </w:rPr>
        <w:tab/>
      </w:r>
      <w:r w:rsidRPr="00814737">
        <w:rPr>
          <w:i/>
          <w:sz w:val="20"/>
        </w:rPr>
        <w:t>VU = valeur d'usage</w:t>
      </w:r>
      <w:r>
        <w:rPr>
          <w:i/>
          <w:sz w:val="20"/>
        </w:rPr>
        <w:tab/>
      </w:r>
      <w:r w:rsidRPr="00814737">
        <w:rPr>
          <w:i/>
          <w:sz w:val="20"/>
        </w:rPr>
        <w:t>VNC = valeur nette comptable</w:t>
      </w:r>
    </w:p>
    <w:p w:rsidR="00F34367" w:rsidRDefault="00F34367" w:rsidP="00905973">
      <w:pPr>
        <w:pStyle w:val="Titre2"/>
      </w:pPr>
      <w:r>
        <w:t>Évolution dans le temps des dépréciations</w:t>
      </w:r>
    </w:p>
    <w:p w:rsidR="00F34367" w:rsidRDefault="00F34367" w:rsidP="00F34367">
      <w:r>
        <w:t>Lorsqu'une dépréciation est constatée l'année N, il faut ensuite chaque année renouveler le test de dépréciation:</w:t>
      </w:r>
    </w:p>
    <w:p w:rsidR="00F34367" w:rsidRPr="00CD6099" w:rsidRDefault="00F34367" w:rsidP="006E5E3C">
      <w:pPr>
        <w:pBdr>
          <w:top w:val="single" w:sz="4" w:space="1" w:color="auto"/>
          <w:left w:val="single" w:sz="4" w:space="4" w:color="auto"/>
          <w:bottom w:val="single" w:sz="4" w:space="1" w:color="auto"/>
          <w:right w:val="single" w:sz="4" w:space="31" w:color="auto"/>
        </w:pBdr>
        <w:ind w:left="284" w:right="565"/>
        <w:jc w:val="center"/>
        <w:rPr>
          <w:b/>
        </w:rPr>
      </w:pPr>
      <w:r w:rsidRPr="00CD6099">
        <w:rPr>
          <w:b/>
        </w:rPr>
        <w:t>SI Dépréciation N +1 &gt; dépréciation N = &gt; il faut augmenter la dépréciation (Dotation)</w:t>
      </w:r>
    </w:p>
    <w:p w:rsidR="00F34367" w:rsidRPr="00CD6099" w:rsidRDefault="00F34367" w:rsidP="006E5E3C">
      <w:pPr>
        <w:pBdr>
          <w:top w:val="single" w:sz="4" w:space="1" w:color="auto"/>
          <w:left w:val="single" w:sz="4" w:space="4" w:color="auto"/>
          <w:bottom w:val="single" w:sz="4" w:space="1" w:color="auto"/>
          <w:right w:val="single" w:sz="4" w:space="31" w:color="auto"/>
        </w:pBdr>
        <w:ind w:left="284" w:right="565"/>
        <w:jc w:val="center"/>
        <w:rPr>
          <w:b/>
        </w:rPr>
      </w:pPr>
      <w:r w:rsidRPr="00CD6099">
        <w:rPr>
          <w:b/>
        </w:rPr>
        <w:t>Si dépréciation N+1 &lt; dépréciation N =&gt; il faut diminuer la dépréciation (reprise)</w:t>
      </w:r>
    </w:p>
    <w:p w:rsidR="00F34367" w:rsidRDefault="00F34367" w:rsidP="00F34367">
      <w:pPr>
        <w:tabs>
          <w:tab w:val="left" w:pos="426"/>
        </w:tabs>
        <w:rPr>
          <w:b/>
          <w:i/>
        </w:rPr>
      </w:pPr>
    </w:p>
    <w:p w:rsidR="009F438B" w:rsidRDefault="009F438B" w:rsidP="00C2424A"/>
    <w:p w:rsidR="00097F94" w:rsidRDefault="00FE63D0" w:rsidP="00905973">
      <w:pPr>
        <w:pStyle w:val="Titre1"/>
      </w:pPr>
      <w:r>
        <w:t>Principes d</w:t>
      </w:r>
      <w:r w:rsidR="00905973">
        <w:t>es sorties d'actifs (cessions)</w:t>
      </w:r>
    </w:p>
    <w:p w:rsidR="00905973" w:rsidRPr="00FE63D0" w:rsidRDefault="00FE63D0" w:rsidP="00905973">
      <w:pPr>
        <w:rPr>
          <w:b/>
        </w:rPr>
      </w:pPr>
      <w:r w:rsidRPr="00FE63D0">
        <w:rPr>
          <w:b/>
        </w:rPr>
        <w:t>Céder</w:t>
      </w:r>
      <w:r w:rsidR="00905973" w:rsidRPr="00FE63D0">
        <w:rPr>
          <w:b/>
        </w:rPr>
        <w:t xml:space="preserve"> une immobilisation représente deux évènements </w:t>
      </w:r>
    </w:p>
    <w:p w:rsidR="00905973" w:rsidRPr="00FE63D0" w:rsidRDefault="00905973" w:rsidP="00905973">
      <w:pPr>
        <w:pStyle w:val="Paragraphedeliste"/>
        <w:numPr>
          <w:ilvl w:val="0"/>
          <w:numId w:val="36"/>
        </w:numPr>
        <w:rPr>
          <w:b/>
        </w:rPr>
      </w:pPr>
      <w:r w:rsidRPr="00FE63D0">
        <w:rPr>
          <w:b/>
        </w:rPr>
        <w:t>La cession, qui rep</w:t>
      </w:r>
      <w:r w:rsidR="00FE63D0" w:rsidRPr="00FE63D0">
        <w:rPr>
          <w:b/>
        </w:rPr>
        <w:t>r</w:t>
      </w:r>
      <w:r w:rsidRPr="00FE63D0">
        <w:rPr>
          <w:b/>
        </w:rPr>
        <w:t>ésentant une vente d'un actif</w:t>
      </w:r>
    </w:p>
    <w:p w:rsidR="00FE63D0" w:rsidRPr="00FE63D0" w:rsidRDefault="00FE63D0" w:rsidP="00905973">
      <w:pPr>
        <w:pStyle w:val="Paragraphedeliste"/>
        <w:numPr>
          <w:ilvl w:val="0"/>
          <w:numId w:val="36"/>
        </w:numPr>
        <w:rPr>
          <w:b/>
        </w:rPr>
      </w:pPr>
      <w:r w:rsidRPr="00FE63D0">
        <w:rPr>
          <w:b/>
        </w:rPr>
        <w:t>La sortie d'un actif du patrimoine, ce qui fait baisser la valeur de ce dernier</w:t>
      </w:r>
    </w:p>
    <w:p w:rsidR="00FE63D0" w:rsidRDefault="00FE63D0" w:rsidP="00905973">
      <w:pPr>
        <w:pStyle w:val="Titre2"/>
      </w:pPr>
      <w:r>
        <w:t>La cession</w:t>
      </w:r>
    </w:p>
    <w:p w:rsidR="00FE63D0" w:rsidRPr="00FE63D0" w:rsidRDefault="00FE63D0" w:rsidP="00FE63D0">
      <w:r>
        <w:t xml:space="preserve">La cession est un </w:t>
      </w:r>
      <w:r w:rsidRPr="00871266">
        <w:rPr>
          <w:b/>
          <w:i/>
        </w:rPr>
        <w:t>produit exceptio</w:t>
      </w:r>
      <w:r w:rsidRPr="00CD6C77">
        <w:rPr>
          <w:b/>
          <w:i/>
        </w:rPr>
        <w:t>nnel</w:t>
      </w:r>
      <w:r w:rsidR="00871266" w:rsidRPr="00CD6C77">
        <w:rPr>
          <w:b/>
          <w:i/>
        </w:rPr>
        <w:t xml:space="preserve"> </w:t>
      </w:r>
      <w:r w:rsidR="00871266">
        <w:t xml:space="preserve">pour l'entreprise (son objet social n'est pas de vendre sa structure), enregistré en compte </w:t>
      </w:r>
      <w:r w:rsidR="00871266" w:rsidRPr="00871266">
        <w:rPr>
          <w:b/>
        </w:rPr>
        <w:t>775</w:t>
      </w:r>
      <w:r w:rsidR="00871266">
        <w:t xml:space="preserve"> </w:t>
      </w:r>
      <w:r w:rsidR="00871266" w:rsidRPr="00871266">
        <w:rPr>
          <w:b/>
        </w:rPr>
        <w:t>– Produit de Cession d'Éléments d'Actifs</w:t>
      </w:r>
      <w:r w:rsidR="00871266">
        <w:t xml:space="preserve"> (PCEA)</w:t>
      </w:r>
    </w:p>
    <w:p w:rsidR="00905973" w:rsidRPr="00971BB8" w:rsidRDefault="00FE63D0" w:rsidP="00905973">
      <w:pPr>
        <w:pStyle w:val="Titre2"/>
      </w:pPr>
      <w:r>
        <w:t xml:space="preserve"> </w:t>
      </w:r>
      <w:r w:rsidR="00905973" w:rsidRPr="00971BB8">
        <w:t>La sortie du patrimoine</w:t>
      </w:r>
    </w:p>
    <w:p w:rsidR="00905973" w:rsidRDefault="00905973" w:rsidP="00905973">
      <w:pPr>
        <w:numPr>
          <w:ilvl w:val="0"/>
          <w:numId w:val="35"/>
        </w:numPr>
        <w:tabs>
          <w:tab w:val="clear" w:pos="454"/>
          <w:tab w:val="num" w:pos="284"/>
        </w:tabs>
        <w:ind w:left="284"/>
      </w:pPr>
      <w:r>
        <w:t xml:space="preserve">Une immobilisation vendue ou mise au rebut </w:t>
      </w:r>
      <w:r w:rsidRPr="000A0D3C">
        <w:t xml:space="preserve">ne doit plus apparaître au bilan. Or, le compte de l’immobilisation </w:t>
      </w:r>
      <w:r>
        <w:t>-</w:t>
      </w:r>
      <w:r w:rsidRPr="000A0D3C">
        <w:t>et le compte d’amortissement</w:t>
      </w:r>
      <w:r>
        <w:t>-</w:t>
      </w:r>
      <w:r w:rsidRPr="000A0D3C">
        <w:t xml:space="preserve"> ont été mouvementés pendant que le bien était </w:t>
      </w:r>
      <w:r>
        <w:t>utilisé par</w:t>
      </w:r>
      <w:r w:rsidRPr="000A0D3C">
        <w:t xml:space="preserve"> l’entreprise. </w:t>
      </w:r>
      <w:r w:rsidR="00FE63D0">
        <w:t>Pour faire disparaître l'immobilisation, les mouvements concernant l'immobilisation cédée doivent être soldés</w:t>
      </w:r>
      <w:r w:rsidRPr="00213A61">
        <w:t xml:space="preserve"> </w:t>
      </w:r>
      <w:r w:rsidR="00FE63D0">
        <w:t>dans les comptes 21… et 28…</w:t>
      </w:r>
    </w:p>
    <w:p w:rsidR="00905973" w:rsidRDefault="00905973" w:rsidP="00905973">
      <w:pPr>
        <w:numPr>
          <w:ilvl w:val="0"/>
          <w:numId w:val="35"/>
        </w:numPr>
        <w:tabs>
          <w:tab w:val="clear" w:pos="454"/>
          <w:tab w:val="num" w:pos="284"/>
        </w:tabs>
        <w:ind w:left="284"/>
      </w:pPr>
      <w:r>
        <w:t xml:space="preserve">Sortie du bien du patrimoine </w:t>
      </w:r>
      <w:r w:rsidR="00FE63D0">
        <w:t xml:space="preserve">: l'entreprise s'appauvrit en perdant une partie de sa substance. Il s'agit d'une </w:t>
      </w:r>
      <w:r w:rsidRPr="00871266">
        <w:rPr>
          <w:b/>
          <w:i/>
        </w:rPr>
        <w:t>charge exceptionnelle</w:t>
      </w:r>
      <w:r>
        <w:t xml:space="preserve"> enregistrée au débit du compte </w:t>
      </w:r>
      <w:r w:rsidRPr="00871266">
        <w:rPr>
          <w:bCs/>
          <w:highlight w:val="lightGray"/>
        </w:rPr>
        <w:t>675</w:t>
      </w:r>
      <w:r w:rsidR="00FE63D0" w:rsidRPr="00871266">
        <w:t xml:space="preserve"> </w:t>
      </w:r>
      <w:r w:rsidR="00871266" w:rsidRPr="00871266">
        <w:t>-</w:t>
      </w:r>
      <w:r w:rsidR="00FE63D0" w:rsidRPr="00871266">
        <w:t>Valeur Comptable des Éléments d'A</w:t>
      </w:r>
      <w:r w:rsidR="00871266" w:rsidRPr="00871266">
        <w:t xml:space="preserve">ctifs Cédés </w:t>
      </w:r>
      <w:r w:rsidR="00871266">
        <w:t>(</w:t>
      </w:r>
      <w:r w:rsidR="00FE63D0">
        <w:t>VCEAC)</w:t>
      </w:r>
    </w:p>
    <w:p w:rsidR="00905973" w:rsidRDefault="00905973" w:rsidP="00905973">
      <w:pPr>
        <w:numPr>
          <w:ilvl w:val="0"/>
          <w:numId w:val="35"/>
        </w:numPr>
        <w:tabs>
          <w:tab w:val="clear" w:pos="454"/>
          <w:tab w:val="num" w:pos="284"/>
        </w:tabs>
        <w:ind w:left="284"/>
      </w:pPr>
      <w:r w:rsidRPr="000A0D3C">
        <w:t>Une immobilisation ne doit être amortie penda</w:t>
      </w:r>
      <w:r>
        <w:t>nt la période où elle est utilisée</w:t>
      </w:r>
      <w:r w:rsidRPr="000A0D3C">
        <w:t xml:space="preserve">, c’est-à-dire jusqu’à la date de cession. À cette date (ou souvent, en pratique, à la clôture de l’exercice), on comptabilise un amortissement calculé </w:t>
      </w:r>
      <w:r w:rsidRPr="000A0D3C">
        <w:rPr>
          <w:i/>
        </w:rPr>
        <w:t>prorata temporis</w:t>
      </w:r>
      <w:r w:rsidRPr="000A0D3C">
        <w:t xml:space="preserve">, </w:t>
      </w:r>
      <w:r w:rsidRPr="00213A61">
        <w:rPr>
          <w:u w:val="single"/>
        </w:rPr>
        <w:t>du début de l’exercice jusqu’à la date de cession</w:t>
      </w:r>
      <w:r w:rsidRPr="000A0D3C">
        <w:t>.</w:t>
      </w:r>
    </w:p>
    <w:p w:rsidR="00FE63D0" w:rsidRDefault="00FE63D0" w:rsidP="00FE63D0"/>
    <w:p w:rsidR="00FE63D0" w:rsidRDefault="00FE63D0" w:rsidP="00905973">
      <w:pPr>
        <w:numPr>
          <w:ilvl w:val="0"/>
          <w:numId w:val="35"/>
        </w:numPr>
        <w:tabs>
          <w:tab w:val="clear" w:pos="454"/>
          <w:tab w:val="num" w:pos="284"/>
        </w:tabs>
        <w:ind w:left="284"/>
      </w:pPr>
      <w:r>
        <w:t>L'ensemble des régularisations se fait généralement à la fin de l'exercice, lors des travaux d'inventaire.</w:t>
      </w:r>
    </w:p>
    <w:p w:rsidR="00905973" w:rsidRPr="00905973" w:rsidRDefault="00905973" w:rsidP="00905973">
      <w:pPr>
        <w:rPr>
          <w:lang w:eastAsia="en-US"/>
        </w:rPr>
      </w:pPr>
    </w:p>
    <w:sectPr w:rsidR="00905973" w:rsidRPr="00905973" w:rsidSect="0053455C">
      <w:headerReference w:type="default" r:id="rId15"/>
      <w:footerReference w:type="default" r:id="rId16"/>
      <w:type w:val="continuous"/>
      <w:pgSz w:w="11906" w:h="16838" w:code="9"/>
      <w:pgMar w:top="964" w:right="1418" w:bottom="907"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42B" w:rsidRDefault="004B642B">
      <w:r>
        <w:separator/>
      </w:r>
    </w:p>
  </w:endnote>
  <w:endnote w:type="continuationSeparator" w:id="0">
    <w:p w:rsidR="004B642B" w:rsidRDefault="004B64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4294" w:rsidRDefault="00A36A7F" w:rsidP="00ED5A97">
    <w:pPr>
      <w:pStyle w:val="Pieddepage"/>
    </w:pPr>
    <w:fldSimple w:instr=" FILENAME   \* MERGEFORMAT ">
      <w:r w:rsidR="00E24294">
        <w:rPr>
          <w:noProof/>
        </w:rPr>
        <w:t>RessourcesNuprier.docx</w:t>
      </w:r>
    </w:fldSimple>
  </w:p>
  <w:p w:rsidR="00776110" w:rsidRPr="00ED5A97" w:rsidRDefault="00776110" w:rsidP="00ED5A97">
    <w:pPr>
      <w:pStyle w:val="Pieddepage"/>
    </w:pPr>
    <w:r w:rsidRPr="00ED5A97">
      <w:tab/>
    </w:r>
    <w:r w:rsidRPr="00ED5A97">
      <w:rPr>
        <w:sz w:val="16"/>
      </w:rPr>
      <w:t xml:space="preserve">© Réseau CRCF - Ministère de l'Éducation nationale - </w:t>
    </w:r>
    <w:hyperlink r:id="rId1" w:history="1">
      <w:r w:rsidRPr="00ED5A97">
        <w:rPr>
          <w:rStyle w:val="Lienhypertexte"/>
          <w:color w:val="auto"/>
          <w:sz w:val="16"/>
          <w:szCs w:val="16"/>
          <w:u w:val="none"/>
        </w:rPr>
        <w:t>http://crcf.ac-grenoble.fr</w:t>
      </w:r>
    </w:hyperlink>
    <w:r w:rsidRPr="00ED5A97">
      <w:tab/>
      <w:t xml:space="preserve">page </w:t>
    </w:r>
    <w:fldSimple w:instr=" PAGE   \* MERGEFORMAT ">
      <w:r w:rsidR="00CD6C77">
        <w:rPr>
          <w:noProof/>
        </w:rPr>
        <w:t>4</w:t>
      </w:r>
    </w:fldSimple>
    <w:r w:rsidRPr="00ED5A97">
      <w:t>/</w:t>
    </w:r>
    <w:fldSimple w:instr=" NUMPAGES   \* MERGEFORMAT ">
      <w:r w:rsidR="00CD6C77">
        <w:rPr>
          <w:noProof/>
        </w:rPr>
        <w:t>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110" w:rsidRPr="00ED5A97" w:rsidRDefault="00A36A7F" w:rsidP="00ED5A97">
    <w:pPr>
      <w:pStyle w:val="Pieddepage"/>
    </w:pPr>
    <w:fldSimple w:instr=" FILENAME   \* MERGEFORMAT ">
      <w:r w:rsidR="00776110">
        <w:rPr>
          <w:noProof/>
        </w:rPr>
        <w:t>Document2</w:t>
      </w:r>
    </w:fldSimple>
    <w:r w:rsidR="00776110" w:rsidRPr="00ED5A97">
      <w:tab/>
    </w:r>
    <w:r w:rsidR="00776110" w:rsidRPr="00ED5A97">
      <w:rPr>
        <w:sz w:val="16"/>
      </w:rPr>
      <w:t xml:space="preserve">© Réseau CRCF - Ministère de l'Éducation nationale - </w:t>
    </w:r>
    <w:hyperlink r:id="rId1" w:history="1">
      <w:r w:rsidR="00776110" w:rsidRPr="00ED5A97">
        <w:rPr>
          <w:rStyle w:val="Lienhypertexte"/>
          <w:color w:val="auto"/>
          <w:sz w:val="16"/>
          <w:szCs w:val="16"/>
          <w:u w:val="none"/>
        </w:rPr>
        <w:t>http://crcf.ac-grenoble.fr</w:t>
      </w:r>
    </w:hyperlink>
    <w:r w:rsidR="00776110" w:rsidRPr="00ED5A97">
      <w:tab/>
      <w:t xml:space="preserve">page </w:t>
    </w:r>
    <w:fldSimple w:instr=" PAGE   \* MERGEFORMAT ">
      <w:r w:rsidR="00CD6C77">
        <w:rPr>
          <w:noProof/>
        </w:rPr>
        <w:t>6</w:t>
      </w:r>
    </w:fldSimple>
    <w:r w:rsidR="00776110" w:rsidRPr="00ED5A97">
      <w:t>/</w:t>
    </w:r>
    <w:fldSimple w:instr=" NUMPAGES   \* MERGEFORMAT ">
      <w:r w:rsidR="00CD6C77">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42B" w:rsidRDefault="004B642B">
      <w:r>
        <w:separator/>
      </w:r>
    </w:p>
  </w:footnote>
  <w:footnote w:type="continuationSeparator" w:id="0">
    <w:p w:rsidR="004B642B" w:rsidRDefault="004B642B">
      <w:r>
        <w:continuationSeparator/>
      </w:r>
    </w:p>
  </w:footnote>
  <w:footnote w:id="1">
    <w:p w:rsidR="00F34367" w:rsidRDefault="00F34367" w:rsidP="00F34367">
      <w:pPr>
        <w:pStyle w:val="Notedebasdepage"/>
      </w:pPr>
      <w:r>
        <w:rPr>
          <w:rStyle w:val="Appelnotedebasdep"/>
        </w:rPr>
        <w:footnoteRef/>
      </w:r>
      <w:r>
        <w:t xml:space="preserve"> Ces définitions sont valables pour tous les actifs et pas seulement les actifs immobilisés, mais aussi les actifs circulants (stocks, créances, titres VMP…)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110" w:rsidRPr="00ED5A97" w:rsidRDefault="00A36A7F" w:rsidP="006B2337">
    <w:pPr>
      <w:pStyle w:val="En-tte"/>
      <w:tabs>
        <w:tab w:val="clear" w:pos="5760"/>
        <w:tab w:val="center" w:pos="4253"/>
      </w:tabs>
    </w:pPr>
    <w:fldSimple w:instr=" REF Intitulé \h  \* MERGEFORMAT ">
      <w:r w:rsidR="00E24294" w:rsidRPr="00E24294">
        <w:rPr>
          <w:b w:val="0"/>
          <w:bCs/>
        </w:rPr>
        <w:t>Ressources</w:t>
      </w:r>
    </w:fldSimple>
    <w:r w:rsidR="00776110" w:rsidRPr="00ED5A97">
      <w:tab/>
    </w:r>
    <w:r w:rsidR="00776110" w:rsidRPr="00ED5A97">
      <w:tab/>
    </w:r>
    <w:fldSimple w:instr=" CREATEDATE  \@ &quot;MMMM yyyy&quot;  \* MERGEFORMAT ">
      <w:r w:rsidR="00E24294">
        <w:rPr>
          <w:noProof/>
        </w:rPr>
        <w:t>décembre 2013</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110" w:rsidRPr="00ED5A97" w:rsidRDefault="00A36A7F" w:rsidP="00ED5A97">
    <w:pPr>
      <w:pStyle w:val="En-tte"/>
    </w:pPr>
    <w:fldSimple w:instr=" REF Intitulé \h  \* MERGEFORMAT ">
      <w:r w:rsidR="00776110" w:rsidRPr="00776110">
        <w:rPr>
          <w:szCs w:val="36"/>
        </w:rPr>
        <w:t>Intitulé du document</w:t>
      </w:r>
    </w:fldSimple>
    <w:r w:rsidR="00776110" w:rsidRPr="00ED5A97">
      <w:tab/>
    </w:r>
    <w:r w:rsidR="00776110" w:rsidRPr="00ED5A97">
      <w:tab/>
    </w:r>
    <w:fldSimple w:instr=" CREATEDATE  \@ &quot;MMMM yyyy&quot;  \* MERGEFORMAT ">
      <w:r w:rsidR="00776110">
        <w:rPr>
          <w:noProof/>
        </w:rPr>
        <w:t>décembre 2013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5pt;height:11.35pt" o:bullet="t">
        <v:imagedata r:id="rId1" o:title="BD14565_"/>
      </v:shape>
    </w:pict>
  </w:numPicBullet>
  <w:abstractNum w:abstractNumId="0">
    <w:nsid w:val="FFFFFF7C"/>
    <w:multiLevelType w:val="singleLevel"/>
    <w:tmpl w:val="F9A841C6"/>
    <w:lvl w:ilvl="0">
      <w:start w:val="1"/>
      <w:numFmt w:val="decimal"/>
      <w:lvlText w:val="%1."/>
      <w:lvlJc w:val="left"/>
      <w:pPr>
        <w:tabs>
          <w:tab w:val="num" w:pos="1492"/>
        </w:tabs>
        <w:ind w:left="1492" w:hanging="360"/>
      </w:pPr>
    </w:lvl>
  </w:abstractNum>
  <w:abstractNum w:abstractNumId="1">
    <w:nsid w:val="FFFFFF7D"/>
    <w:multiLevelType w:val="singleLevel"/>
    <w:tmpl w:val="88E07E2C"/>
    <w:lvl w:ilvl="0">
      <w:start w:val="1"/>
      <w:numFmt w:val="decimal"/>
      <w:lvlText w:val="%1."/>
      <w:lvlJc w:val="left"/>
      <w:pPr>
        <w:tabs>
          <w:tab w:val="num" w:pos="1209"/>
        </w:tabs>
        <w:ind w:left="1209" w:hanging="360"/>
      </w:pPr>
    </w:lvl>
  </w:abstractNum>
  <w:abstractNum w:abstractNumId="2">
    <w:nsid w:val="FFFFFF7E"/>
    <w:multiLevelType w:val="singleLevel"/>
    <w:tmpl w:val="BB1A72AA"/>
    <w:lvl w:ilvl="0">
      <w:start w:val="1"/>
      <w:numFmt w:val="decimal"/>
      <w:lvlText w:val="%1."/>
      <w:lvlJc w:val="left"/>
      <w:pPr>
        <w:tabs>
          <w:tab w:val="num" w:pos="926"/>
        </w:tabs>
        <w:ind w:left="926" w:hanging="360"/>
      </w:pPr>
    </w:lvl>
  </w:abstractNum>
  <w:abstractNum w:abstractNumId="3">
    <w:nsid w:val="FFFFFF7F"/>
    <w:multiLevelType w:val="singleLevel"/>
    <w:tmpl w:val="D16A8C66"/>
    <w:lvl w:ilvl="0">
      <w:start w:val="1"/>
      <w:numFmt w:val="decimal"/>
      <w:lvlText w:val="%1."/>
      <w:lvlJc w:val="left"/>
      <w:pPr>
        <w:tabs>
          <w:tab w:val="num" w:pos="643"/>
        </w:tabs>
        <w:ind w:left="643" w:hanging="360"/>
      </w:pPr>
    </w:lvl>
  </w:abstractNum>
  <w:abstractNum w:abstractNumId="4">
    <w:nsid w:val="FFFFFF80"/>
    <w:multiLevelType w:val="singleLevel"/>
    <w:tmpl w:val="C090C4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92B3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334DC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C182C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71C1848"/>
    <w:lvl w:ilvl="0">
      <w:start w:val="1"/>
      <w:numFmt w:val="decimal"/>
      <w:lvlText w:val="%1."/>
      <w:lvlJc w:val="left"/>
      <w:pPr>
        <w:tabs>
          <w:tab w:val="num" w:pos="360"/>
        </w:tabs>
        <w:ind w:left="360" w:hanging="360"/>
      </w:pPr>
    </w:lvl>
  </w:abstractNum>
  <w:abstractNum w:abstractNumId="9">
    <w:nsid w:val="FFFFFF89"/>
    <w:multiLevelType w:val="singleLevel"/>
    <w:tmpl w:val="DACC64DA"/>
    <w:lvl w:ilvl="0">
      <w:start w:val="1"/>
      <w:numFmt w:val="bullet"/>
      <w:lvlText w:val=""/>
      <w:lvlJc w:val="left"/>
      <w:pPr>
        <w:tabs>
          <w:tab w:val="num" w:pos="360"/>
        </w:tabs>
        <w:ind w:left="360" w:hanging="360"/>
      </w:pPr>
      <w:rPr>
        <w:rFonts w:ascii="Symbol" w:hAnsi="Symbol" w:hint="default"/>
      </w:rPr>
    </w:lvl>
  </w:abstractNum>
  <w:abstractNum w:abstractNumId="10">
    <w:nsid w:val="03C96797"/>
    <w:multiLevelType w:val="hybridMultilevel"/>
    <w:tmpl w:val="A29E0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9732284"/>
    <w:multiLevelType w:val="multilevel"/>
    <w:tmpl w:val="040C001F"/>
    <w:numStyleLink w:val="111111"/>
  </w:abstractNum>
  <w:abstractNum w:abstractNumId="12">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1D1F578E"/>
    <w:multiLevelType w:val="multilevel"/>
    <w:tmpl w:val="F558C3C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4"/>
        </w:tabs>
        <w:ind w:left="1304" w:hanging="737"/>
      </w:pPr>
      <w:rPr>
        <w:rFonts w:hint="default"/>
      </w:rPr>
    </w:lvl>
    <w:lvl w:ilvl="2">
      <w:start w:val="1"/>
      <w:numFmt w:val="decimal"/>
      <w:lvlText w:val="%2.%1.%3."/>
      <w:lvlJc w:val="left"/>
      <w:pPr>
        <w:tabs>
          <w:tab w:val="num" w:pos="1440"/>
        </w:tabs>
        <w:ind w:left="2325" w:hanging="1191"/>
      </w:pPr>
      <w:rPr>
        <w:rFonts w:hint="default"/>
      </w:rPr>
    </w:lvl>
    <w:lvl w:ilvl="3">
      <w:start w:val="1"/>
      <w:numFmt w:val="decimal"/>
      <w:lvlText w:val="%3.%1.%2.%4."/>
      <w:lvlJc w:val="left"/>
      <w:pPr>
        <w:tabs>
          <w:tab w:val="num" w:pos="1800"/>
        </w:tabs>
        <w:ind w:left="2778" w:hanging="1077"/>
      </w:pPr>
      <w:rPr>
        <w:rFonts w:hint="default"/>
      </w:rPr>
    </w:lvl>
    <w:lvl w:ilvl="4">
      <w:start w:val="1"/>
      <w:numFmt w:val="decimal"/>
      <w:lvlText w:val="%4.%1.%2.%3.%5."/>
      <w:lvlJc w:val="left"/>
      <w:pPr>
        <w:tabs>
          <w:tab w:val="num" w:pos="2552"/>
        </w:tabs>
        <w:ind w:left="3119" w:hanging="85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5">
    <w:nsid w:val="22F37C39"/>
    <w:multiLevelType w:val="hybridMultilevel"/>
    <w:tmpl w:val="EE32A19E"/>
    <w:lvl w:ilvl="0" w:tplc="F4C83996">
      <w:start w:val="1"/>
      <w:numFmt w:val="bullet"/>
      <w:lvlText w:val=""/>
      <w:lvlJc w:val="left"/>
      <w:pPr>
        <w:tabs>
          <w:tab w:val="num" w:pos="1211"/>
        </w:tabs>
        <w:ind w:left="1211" w:hanging="360"/>
      </w:pPr>
      <w:rPr>
        <w:rFonts w:ascii="Wingdings" w:hAnsi="Wingdings" w:hint="default"/>
      </w:rPr>
    </w:lvl>
    <w:lvl w:ilvl="1" w:tplc="040C0003" w:tentative="1">
      <w:start w:val="1"/>
      <w:numFmt w:val="bullet"/>
      <w:lvlText w:val="o"/>
      <w:lvlJc w:val="left"/>
      <w:pPr>
        <w:tabs>
          <w:tab w:val="num" w:pos="2291"/>
        </w:tabs>
        <w:ind w:left="2291" w:hanging="360"/>
      </w:pPr>
      <w:rPr>
        <w:rFonts w:ascii="Courier New" w:hAnsi="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6">
    <w:nsid w:val="2CAA269C"/>
    <w:multiLevelType w:val="hybridMultilevel"/>
    <w:tmpl w:val="58763BAA"/>
    <w:lvl w:ilvl="0" w:tplc="B2EEE300">
      <w:start w:val="1"/>
      <w:numFmt w:val="bullet"/>
      <w:lvlText w:val=""/>
      <w:lvlJc w:val="left"/>
      <w:pPr>
        <w:tabs>
          <w:tab w:val="num" w:pos="454"/>
        </w:tabs>
        <w:ind w:left="454" w:hanging="227"/>
      </w:pPr>
      <w:rPr>
        <w:rFonts w:ascii="Wingdings" w:hAnsi="Wingdings" w:hint="default"/>
      </w:rPr>
    </w:lvl>
    <w:lvl w:ilvl="1" w:tplc="7B5A9132">
      <w:numFmt w:val="bullet"/>
      <w:lvlText w:val=""/>
      <w:lvlJc w:val="left"/>
      <w:pPr>
        <w:ind w:left="1070" w:hanging="360"/>
      </w:pPr>
      <w:rPr>
        <w:rFonts w:ascii="Wingdings" w:eastAsia="Times New Roman" w:hAnsi="Wingdings"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2CB26FD4"/>
    <w:multiLevelType w:val="multilevel"/>
    <w:tmpl w:val="649C303C"/>
    <w:lvl w:ilvl="0">
      <w:start w:val="1"/>
      <w:numFmt w:val="decimal"/>
      <w:suff w:val="space"/>
      <w:lvlText w:val="%1."/>
      <w:lvlJc w:val="left"/>
      <w:pPr>
        <w:ind w:left="198" w:hanging="198"/>
      </w:pPr>
    </w:lvl>
    <w:lvl w:ilvl="1">
      <w:start w:val="1"/>
      <w:numFmt w:val="decimal"/>
      <w:suff w:val="space"/>
      <w:lvlText w:val="%1.%2."/>
      <w:lvlJc w:val="left"/>
      <w:pPr>
        <w:ind w:left="624" w:hanging="397"/>
      </w:pPr>
    </w:lvl>
    <w:lvl w:ilvl="2">
      <w:start w:val="3"/>
      <w:numFmt w:val="decimal"/>
      <w:suff w:val="space"/>
      <w:lvlText w:val="%1.%2.%3."/>
      <w:lvlJc w:val="left"/>
      <w:pPr>
        <w:ind w:left="1134" w:hanging="510"/>
      </w:pPr>
    </w:lvl>
    <w:lvl w:ilvl="3">
      <w:start w:val="1"/>
      <w:numFmt w:val="lowerLetter"/>
      <w:suff w:val="space"/>
      <w:lvlText w:val="%4 )"/>
      <w:lvlJc w:val="left"/>
      <w:pPr>
        <w:ind w:left="1395" w:hanging="267"/>
      </w:pPr>
    </w:lvl>
    <w:lvl w:ilvl="4">
      <w:start w:val="1"/>
      <w:numFmt w:val="decimal"/>
      <w:suff w:val="space"/>
      <w:lvlText w:val="%1.%2.%3.%4.%5"/>
      <w:lvlJc w:val="left"/>
      <w:pPr>
        <w:ind w:left="2608" w:hanging="828"/>
      </w:pPr>
    </w:lvl>
    <w:lvl w:ilvl="5">
      <w:start w:val="1"/>
      <w:numFmt w:val="decimal"/>
      <w:suff w:val="space"/>
      <w:lvlText w:val="%1.%2.%3.%4.%5.%6"/>
      <w:lvlJc w:val="left"/>
      <w:pPr>
        <w:ind w:left="3629" w:hanging="1021"/>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F267352"/>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B4174DB"/>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E31254D"/>
    <w:multiLevelType w:val="multilevel"/>
    <w:tmpl w:val="2E5CC8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E737AB6"/>
    <w:multiLevelType w:val="hybridMultilevel"/>
    <w:tmpl w:val="E6722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6AE54E4"/>
    <w:multiLevelType w:val="hybridMultilevel"/>
    <w:tmpl w:val="E26040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8CC06A5"/>
    <w:multiLevelType w:val="hybridMultilevel"/>
    <w:tmpl w:val="5646233E"/>
    <w:lvl w:ilvl="0" w:tplc="71F43144">
      <w:start w:val="1"/>
      <w:numFmt w:val="bullet"/>
      <w:lvlText w:val=""/>
      <w:lvlPicBulletId w:val="0"/>
      <w:lvlJc w:val="left"/>
      <w:pPr>
        <w:tabs>
          <w:tab w:val="num" w:pos="426"/>
        </w:tabs>
        <w:ind w:left="426" w:hanging="142"/>
      </w:pPr>
      <w:rPr>
        <w:rFonts w:ascii="Symbol" w:hAnsi="Symbol" w:hint="default"/>
        <w:color w:val="auto"/>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6">
    <w:nsid w:val="4FE07FD7"/>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1920380"/>
    <w:multiLevelType w:val="multilevel"/>
    <w:tmpl w:val="7826C6D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4"/>
        </w:tabs>
        <w:ind w:left="1304" w:hanging="737"/>
      </w:pPr>
      <w:rPr>
        <w:rFonts w:hint="default"/>
      </w:rPr>
    </w:lvl>
    <w:lvl w:ilvl="2">
      <w:start w:val="1"/>
      <w:numFmt w:val="decimal"/>
      <w:lvlText w:val="%2%1..%3."/>
      <w:lvlJc w:val="left"/>
      <w:pPr>
        <w:tabs>
          <w:tab w:val="num" w:pos="1440"/>
        </w:tabs>
        <w:ind w:left="2325" w:hanging="1191"/>
      </w:pPr>
      <w:rPr>
        <w:rFonts w:hint="default"/>
      </w:rPr>
    </w:lvl>
    <w:lvl w:ilvl="3">
      <w:start w:val="1"/>
      <w:numFmt w:val="decimal"/>
      <w:lvlText w:val="%3%1.%2..%4."/>
      <w:lvlJc w:val="left"/>
      <w:pPr>
        <w:tabs>
          <w:tab w:val="num" w:pos="1800"/>
        </w:tabs>
        <w:ind w:left="2778" w:hanging="1077"/>
      </w:pPr>
      <w:rPr>
        <w:rFonts w:hint="default"/>
      </w:rPr>
    </w:lvl>
    <w:lvl w:ilvl="4">
      <w:start w:val="1"/>
      <w:numFmt w:val="decimal"/>
      <w:lvlText w:val="%4%1.%2.%3..%5."/>
      <w:lvlJc w:val="left"/>
      <w:pPr>
        <w:tabs>
          <w:tab w:val="num" w:pos="2552"/>
        </w:tabs>
        <w:ind w:left="3119" w:hanging="85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A011221"/>
    <w:multiLevelType w:val="hybridMultilevel"/>
    <w:tmpl w:val="6FEA040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C986CCD"/>
    <w:multiLevelType w:val="hybridMultilevel"/>
    <w:tmpl w:val="682AB00C"/>
    <w:lvl w:ilvl="0" w:tplc="F4C83996">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5E535FF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nsid w:val="5EE12080"/>
    <w:multiLevelType w:val="hybridMultilevel"/>
    <w:tmpl w:val="17440A5A"/>
    <w:lvl w:ilvl="0" w:tplc="A0F0866A">
      <w:numFmt w:val="bullet"/>
      <w:lvlText w:val="-"/>
      <w:lvlJc w:val="left"/>
      <w:pPr>
        <w:tabs>
          <w:tab w:val="num" w:pos="927"/>
        </w:tabs>
        <w:ind w:left="927" w:hanging="360"/>
      </w:pPr>
      <w:rPr>
        <w:rFonts w:ascii="Times New Roman" w:eastAsia="Times New Roman" w:hAnsi="Times New Roman" w:cs="Times New Roman"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2">
    <w:nsid w:val="5F5A5088"/>
    <w:multiLevelType w:val="multilevel"/>
    <w:tmpl w:val="83FE28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34">
    <w:nsid w:val="6CA30A46"/>
    <w:multiLevelType w:val="hybridMultilevel"/>
    <w:tmpl w:val="A03C95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26"/>
  </w:num>
  <w:num w:numId="13">
    <w:abstractNumId w:val="21"/>
  </w:num>
  <w:num w:numId="14">
    <w:abstractNumId w:val="20"/>
  </w:num>
  <w:num w:numId="15">
    <w:abstractNumId w:val="27"/>
  </w:num>
  <w:num w:numId="16">
    <w:abstractNumId w:val="13"/>
  </w:num>
  <w:num w:numId="17">
    <w:abstractNumId w:val="12"/>
  </w:num>
  <w:num w:numId="18">
    <w:abstractNumId w:val="11"/>
  </w:num>
  <w:num w:numId="19">
    <w:abstractNumId w:val="33"/>
  </w:num>
  <w:num w:numId="20">
    <w:abstractNumId w:val="33"/>
  </w:num>
  <w:num w:numId="21">
    <w:abstractNumId w:val="33"/>
  </w:num>
  <w:num w:numId="22">
    <w:abstractNumId w:val="14"/>
  </w:num>
  <w:num w:numId="23">
    <w:abstractNumId w:val="14"/>
  </w:num>
  <w:num w:numId="24">
    <w:abstractNumId w:val="31"/>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9"/>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2"/>
  </w:num>
  <w:num w:numId="35">
    <w:abstractNumId w:val="16"/>
  </w:num>
  <w:num w:numId="36">
    <w:abstractNumId w:val="23"/>
  </w:num>
  <w:num w:numId="37">
    <w:abstractNumId w:val="29"/>
  </w:num>
  <w:num w:numId="38">
    <w:abstractNumId w:val="15"/>
  </w:num>
  <w:num w:numId="39">
    <w:abstractNumId w:val="22"/>
  </w:num>
  <w:num w:numId="40">
    <w:abstractNumId w:val="30"/>
  </w:num>
  <w:num w:numId="41">
    <w:abstractNumId w:val="28"/>
  </w:num>
  <w:num w:numId="42">
    <w:abstractNumId w:val="34"/>
  </w:num>
  <w:num w:numId="43">
    <w:abstractNumId w:val="24"/>
  </w:num>
  <w:num w:numId="44">
    <w:abstractNumId w:val="10"/>
  </w:num>
  <w:num w:numId="4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attachedTemplate r:id="rId1"/>
  <w:stylePaneFormatFilter w:val="3001"/>
  <w:defaultTabStop w:val="567"/>
  <w:hyphenationZone w:val="425"/>
  <w:noPunctuationKerning/>
  <w:characterSpacingControl w:val="doNotCompress"/>
  <w:hdrShapeDefaults>
    <o:shapedefaults v:ext="edit" spidmax="6146"/>
  </w:hdrShapeDefaults>
  <w:footnotePr>
    <w:footnote w:id="-1"/>
    <w:footnote w:id="0"/>
  </w:footnotePr>
  <w:endnotePr>
    <w:endnote w:id="-1"/>
    <w:endnote w:id="0"/>
  </w:endnotePr>
  <w:compat/>
  <w:rsids>
    <w:rsidRoot w:val="00F34367"/>
    <w:rsid w:val="00000189"/>
    <w:rsid w:val="00016B2F"/>
    <w:rsid w:val="00020DF6"/>
    <w:rsid w:val="000306FB"/>
    <w:rsid w:val="00045EF8"/>
    <w:rsid w:val="00060389"/>
    <w:rsid w:val="000924F4"/>
    <w:rsid w:val="00093417"/>
    <w:rsid w:val="00093D7C"/>
    <w:rsid w:val="00094210"/>
    <w:rsid w:val="00097F94"/>
    <w:rsid w:val="000C2D62"/>
    <w:rsid w:val="000D0628"/>
    <w:rsid w:val="00151650"/>
    <w:rsid w:val="0015246D"/>
    <w:rsid w:val="001735D1"/>
    <w:rsid w:val="00183F38"/>
    <w:rsid w:val="001934F7"/>
    <w:rsid w:val="001A5C95"/>
    <w:rsid w:val="001D2444"/>
    <w:rsid w:val="001D2E11"/>
    <w:rsid w:val="001D500F"/>
    <w:rsid w:val="001F30FF"/>
    <w:rsid w:val="001F4166"/>
    <w:rsid w:val="0020688C"/>
    <w:rsid w:val="00230396"/>
    <w:rsid w:val="00240001"/>
    <w:rsid w:val="00250221"/>
    <w:rsid w:val="00251623"/>
    <w:rsid w:val="00273CD9"/>
    <w:rsid w:val="00280C29"/>
    <w:rsid w:val="00283C6F"/>
    <w:rsid w:val="002A063C"/>
    <w:rsid w:val="002A35E3"/>
    <w:rsid w:val="002D4028"/>
    <w:rsid w:val="002E58AD"/>
    <w:rsid w:val="002E6E3A"/>
    <w:rsid w:val="002F2BD3"/>
    <w:rsid w:val="0030302D"/>
    <w:rsid w:val="003059E2"/>
    <w:rsid w:val="0032777F"/>
    <w:rsid w:val="0032792C"/>
    <w:rsid w:val="00335B0A"/>
    <w:rsid w:val="003968C6"/>
    <w:rsid w:val="003B53A3"/>
    <w:rsid w:val="003B7ADB"/>
    <w:rsid w:val="003E469F"/>
    <w:rsid w:val="003E5082"/>
    <w:rsid w:val="003F4A6D"/>
    <w:rsid w:val="00416205"/>
    <w:rsid w:val="004563F0"/>
    <w:rsid w:val="004723A2"/>
    <w:rsid w:val="00485820"/>
    <w:rsid w:val="004878D8"/>
    <w:rsid w:val="00494661"/>
    <w:rsid w:val="004A0727"/>
    <w:rsid w:val="004A6A84"/>
    <w:rsid w:val="004B2910"/>
    <w:rsid w:val="004B642B"/>
    <w:rsid w:val="004D1E60"/>
    <w:rsid w:val="004E22CF"/>
    <w:rsid w:val="0050214D"/>
    <w:rsid w:val="0053455C"/>
    <w:rsid w:val="00534ACD"/>
    <w:rsid w:val="005461B5"/>
    <w:rsid w:val="0055086D"/>
    <w:rsid w:val="00553891"/>
    <w:rsid w:val="00555C2B"/>
    <w:rsid w:val="005808F0"/>
    <w:rsid w:val="005858B8"/>
    <w:rsid w:val="006073E0"/>
    <w:rsid w:val="00625F26"/>
    <w:rsid w:val="00633F70"/>
    <w:rsid w:val="00644C99"/>
    <w:rsid w:val="00653276"/>
    <w:rsid w:val="00657C9E"/>
    <w:rsid w:val="006B2337"/>
    <w:rsid w:val="006E511E"/>
    <w:rsid w:val="006E5E3C"/>
    <w:rsid w:val="006F29D2"/>
    <w:rsid w:val="006F6B32"/>
    <w:rsid w:val="00707D27"/>
    <w:rsid w:val="00720BD0"/>
    <w:rsid w:val="007218FC"/>
    <w:rsid w:val="0073264E"/>
    <w:rsid w:val="00742289"/>
    <w:rsid w:val="00771FA0"/>
    <w:rsid w:val="007745C9"/>
    <w:rsid w:val="00776110"/>
    <w:rsid w:val="00787BE3"/>
    <w:rsid w:val="007959A0"/>
    <w:rsid w:val="007B6B62"/>
    <w:rsid w:val="007C0974"/>
    <w:rsid w:val="007F0C73"/>
    <w:rsid w:val="0081689C"/>
    <w:rsid w:val="00825703"/>
    <w:rsid w:val="00866276"/>
    <w:rsid w:val="00871266"/>
    <w:rsid w:val="00873551"/>
    <w:rsid w:val="00873873"/>
    <w:rsid w:val="00895D27"/>
    <w:rsid w:val="00896530"/>
    <w:rsid w:val="008976D7"/>
    <w:rsid w:val="008A2A21"/>
    <w:rsid w:val="008B1E61"/>
    <w:rsid w:val="008C1FC5"/>
    <w:rsid w:val="008C35AC"/>
    <w:rsid w:val="00905973"/>
    <w:rsid w:val="00917123"/>
    <w:rsid w:val="00933156"/>
    <w:rsid w:val="00936048"/>
    <w:rsid w:val="009622C9"/>
    <w:rsid w:val="009A49A8"/>
    <w:rsid w:val="009B5CC1"/>
    <w:rsid w:val="009D1A99"/>
    <w:rsid w:val="009F438B"/>
    <w:rsid w:val="00A01D74"/>
    <w:rsid w:val="00A33E74"/>
    <w:rsid w:val="00A36A7F"/>
    <w:rsid w:val="00A860D2"/>
    <w:rsid w:val="00AA3015"/>
    <w:rsid w:val="00AD39CE"/>
    <w:rsid w:val="00AE4856"/>
    <w:rsid w:val="00B654DA"/>
    <w:rsid w:val="00BA25F7"/>
    <w:rsid w:val="00BA41EA"/>
    <w:rsid w:val="00BB756B"/>
    <w:rsid w:val="00BC297F"/>
    <w:rsid w:val="00BD1DF2"/>
    <w:rsid w:val="00C065D3"/>
    <w:rsid w:val="00C162C4"/>
    <w:rsid w:val="00C2424A"/>
    <w:rsid w:val="00C30425"/>
    <w:rsid w:val="00C525AD"/>
    <w:rsid w:val="00CA60EA"/>
    <w:rsid w:val="00CD6C77"/>
    <w:rsid w:val="00CE199E"/>
    <w:rsid w:val="00D03824"/>
    <w:rsid w:val="00D12D23"/>
    <w:rsid w:val="00D1469C"/>
    <w:rsid w:val="00D23A96"/>
    <w:rsid w:val="00D27D31"/>
    <w:rsid w:val="00D652B9"/>
    <w:rsid w:val="00DA1F26"/>
    <w:rsid w:val="00DA249E"/>
    <w:rsid w:val="00DC1B41"/>
    <w:rsid w:val="00DD3A16"/>
    <w:rsid w:val="00DE7E4D"/>
    <w:rsid w:val="00DF0382"/>
    <w:rsid w:val="00DF555C"/>
    <w:rsid w:val="00E24294"/>
    <w:rsid w:val="00E35E35"/>
    <w:rsid w:val="00E85C04"/>
    <w:rsid w:val="00E96191"/>
    <w:rsid w:val="00EA0C87"/>
    <w:rsid w:val="00ED5A97"/>
    <w:rsid w:val="00F0560B"/>
    <w:rsid w:val="00F21AFC"/>
    <w:rsid w:val="00F34367"/>
    <w:rsid w:val="00F35225"/>
    <w:rsid w:val="00F439E6"/>
    <w:rsid w:val="00F81336"/>
    <w:rsid w:val="00F87E2F"/>
    <w:rsid w:val="00FB30A1"/>
    <w:rsid w:val="00FD38D1"/>
    <w:rsid w:val="00FE4D51"/>
    <w:rsid w:val="00FE63D0"/>
    <w:rsid w:val="00FE6ED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3" type="connector" idref="#_x0000_s1040"/>
        <o:r id="V:Rule4"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35"/>
    <w:pPr>
      <w:jc w:val="both"/>
    </w:pPr>
    <w:rPr>
      <w:rFonts w:ascii="Calibri" w:hAnsi="Calibri"/>
      <w:sz w:val="22"/>
    </w:rPr>
  </w:style>
  <w:style w:type="paragraph" w:styleId="Titre1">
    <w:name w:val="heading 1"/>
    <w:basedOn w:val="Normal"/>
    <w:next w:val="Normal"/>
    <w:link w:val="Titre1Car"/>
    <w:qFormat/>
    <w:rsid w:val="00250221"/>
    <w:pPr>
      <w:numPr>
        <w:numId w:val="11"/>
      </w:numPr>
      <w:pBdr>
        <w:top w:val="single" w:sz="18" w:space="4" w:color="B8CCE4"/>
        <w:bottom w:val="single" w:sz="8" w:space="1" w:color="0F243E"/>
      </w:pBdr>
      <w:shd w:val="clear" w:color="auto" w:fill="1F497D"/>
      <w:spacing w:before="120" w:after="240"/>
      <w:ind w:left="284"/>
      <w:jc w:val="left"/>
      <w:outlineLvl w:val="0"/>
    </w:pPr>
    <w:rPr>
      <w:rFonts w:ascii="Arial" w:eastAsia="Calibri" w:hAnsi="Arial" w:cs="Arial"/>
      <w:b/>
      <w:color w:val="FFFFFF"/>
      <w:sz w:val="28"/>
      <w:szCs w:val="22"/>
      <w:lang w:eastAsia="en-US"/>
    </w:rPr>
  </w:style>
  <w:style w:type="paragraph" w:styleId="Titre2">
    <w:name w:val="heading 2"/>
    <w:basedOn w:val="Normal"/>
    <w:next w:val="Normal"/>
    <w:link w:val="Titre2Car"/>
    <w:qFormat/>
    <w:rsid w:val="00A01D74"/>
    <w:pPr>
      <w:keepNext/>
      <w:numPr>
        <w:ilvl w:val="1"/>
        <w:numId w:val="1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1"/>
      </w:numPr>
      <w:spacing w:before="120" w:after="60"/>
      <w:outlineLvl w:val="4"/>
    </w:pPr>
    <w:rPr>
      <w:rFonts w:cs="Arial"/>
      <w:bCs/>
      <w:i/>
      <w:iCs/>
      <w:szCs w:val="22"/>
    </w:rPr>
  </w:style>
  <w:style w:type="paragraph" w:styleId="Titre6">
    <w:name w:val="heading 6"/>
    <w:basedOn w:val="Normal"/>
    <w:next w:val="Normal"/>
    <w:qFormat/>
    <w:rsid w:val="0032792C"/>
    <w:pPr>
      <w:numPr>
        <w:ilvl w:val="5"/>
        <w:numId w:val="1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26"/>
      </w:numPr>
      <w:tabs>
        <w:tab w:val="left" w:pos="567"/>
      </w:tabs>
      <w:spacing w:after="120"/>
      <w:ind w:left="568" w:hanging="284"/>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link w:val="En-tteCar"/>
    <w:rsid w:val="00ED5A97"/>
    <w:pPr>
      <w:tabs>
        <w:tab w:val="center" w:pos="5760"/>
        <w:tab w:val="right" w:pos="9072"/>
      </w:tabs>
    </w:pPr>
    <w:rPr>
      <w:rFonts w:ascii="Arial" w:hAnsi="Arial" w:cs="Arial"/>
      <w:b/>
      <w:sz w:val="18"/>
      <w:szCs w:val="18"/>
    </w:rPr>
  </w:style>
  <w:style w:type="paragraph" w:styleId="Pieddepage">
    <w:name w:val="footer"/>
    <w:basedOn w:val="Normal"/>
    <w:rsid w:val="00ED5A97"/>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17"/>
      </w:numPr>
    </w:pPr>
  </w:style>
  <w:style w:type="paragraph" w:customStyle="1" w:styleId="StyleVerdana8ptAvant5ptAprs6ptInterligneAumo1">
    <w:name w:val="Style Verdana 8 pt Avant : 5 pt Après : 6 pt Interligne : Au mo...1"/>
    <w:basedOn w:val="Normal"/>
    <w:rsid w:val="006E511E"/>
    <w:pPr>
      <w:numPr>
        <w:numId w:val="19"/>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27"/>
      </w:numPr>
      <w:spacing w:after="120"/>
      <w:ind w:left="851" w:hanging="284"/>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customStyle="1" w:styleId="Annexe">
    <w:name w:val="Annexe"/>
    <w:basedOn w:val="Normal"/>
    <w:link w:val="AnnexeCar"/>
    <w:qFormat/>
    <w:rsid w:val="006073E0"/>
    <w:pPr>
      <w:pBdr>
        <w:top w:val="single" w:sz="12" w:space="1" w:color="17365D"/>
      </w:pBdr>
      <w:shd w:val="clear" w:color="auto" w:fill="C6D9F1"/>
      <w:spacing w:before="120" w:after="240"/>
      <w:jc w:val="left"/>
    </w:pPr>
    <w:rPr>
      <w:rFonts w:eastAsia="Calibri"/>
      <w:b/>
      <w:color w:val="003366"/>
      <w:sz w:val="28"/>
      <w:szCs w:val="22"/>
      <w:lang w:eastAsia="en-US"/>
    </w:rPr>
  </w:style>
  <w:style w:type="character" w:styleId="Appelnotedebasdep">
    <w:name w:val="footnote reference"/>
    <w:basedOn w:val="Policepardfaut"/>
    <w:rsid w:val="00F34367"/>
    <w:rPr>
      <w:vertAlign w:val="superscript"/>
    </w:rPr>
  </w:style>
  <w:style w:type="character" w:customStyle="1" w:styleId="AnnexeCar">
    <w:name w:val="Annexe Car"/>
    <w:basedOn w:val="Policepardfaut"/>
    <w:link w:val="Annexe"/>
    <w:rsid w:val="006073E0"/>
    <w:rPr>
      <w:rFonts w:ascii="Calibri" w:eastAsia="Calibri" w:hAnsi="Calibri"/>
      <w:b/>
      <w:color w:val="003366"/>
      <w:sz w:val="28"/>
      <w:szCs w:val="22"/>
      <w:shd w:val="clear" w:color="auto" w:fill="C6D9F1"/>
      <w:lang w:eastAsia="en-US"/>
    </w:rPr>
  </w:style>
  <w:style w:type="paragraph" w:styleId="Notedebasdepage">
    <w:name w:val="footnote text"/>
    <w:basedOn w:val="Normal"/>
    <w:link w:val="NotedebasdepageCar"/>
    <w:rsid w:val="00F34367"/>
    <w:rPr>
      <w:sz w:val="20"/>
      <w:lang w:eastAsia="en-US"/>
    </w:rPr>
  </w:style>
  <w:style w:type="character" w:customStyle="1" w:styleId="NotedebasdepageCar">
    <w:name w:val="Note de bas de page Car"/>
    <w:basedOn w:val="Policepardfaut"/>
    <w:link w:val="Notedebasdepage"/>
    <w:rsid w:val="00F34367"/>
    <w:rPr>
      <w:rFonts w:ascii="Calibri" w:hAnsi="Calibri"/>
      <w:lang w:eastAsia="en-US"/>
    </w:rPr>
  </w:style>
  <w:style w:type="character" w:customStyle="1" w:styleId="Titre1Car">
    <w:name w:val="Titre 1 Car"/>
    <w:basedOn w:val="Policepardfaut"/>
    <w:link w:val="Titre1"/>
    <w:rsid w:val="00F34367"/>
    <w:rPr>
      <w:rFonts w:ascii="Arial" w:eastAsia="Calibri" w:hAnsi="Arial" w:cs="Arial"/>
      <w:b/>
      <w:color w:val="FFFFFF"/>
      <w:sz w:val="28"/>
      <w:szCs w:val="22"/>
      <w:shd w:val="clear" w:color="auto" w:fill="1F497D"/>
      <w:lang w:eastAsia="en-US"/>
    </w:rPr>
  </w:style>
  <w:style w:type="paragraph" w:styleId="Paragraphedeliste">
    <w:name w:val="List Paragraph"/>
    <w:basedOn w:val="Normal"/>
    <w:uiPriority w:val="34"/>
    <w:qFormat/>
    <w:rsid w:val="00905973"/>
    <w:pPr>
      <w:ind w:left="720"/>
      <w:contextualSpacing/>
    </w:pPr>
  </w:style>
  <w:style w:type="paragraph" w:customStyle="1" w:styleId="standard">
    <w:name w:val="standard"/>
    <w:basedOn w:val="Normal"/>
    <w:rsid w:val="00720BD0"/>
    <w:rPr>
      <w:rFonts w:ascii="Times New Roman" w:hAnsi="Times New Roman"/>
      <w:sz w:val="20"/>
      <w:szCs w:val="22"/>
      <w:lang w:eastAsia="en-US"/>
    </w:rPr>
  </w:style>
  <w:style w:type="paragraph" w:styleId="Corpsdetexte">
    <w:name w:val="Body Text"/>
    <w:basedOn w:val="Normal"/>
    <w:link w:val="CorpsdetexteCar"/>
    <w:rsid w:val="00720BD0"/>
    <w:pPr>
      <w:spacing w:before="120"/>
      <w:jc w:val="left"/>
    </w:pPr>
    <w:rPr>
      <w:sz w:val="20"/>
      <w:szCs w:val="22"/>
      <w:lang w:eastAsia="en-US"/>
    </w:rPr>
  </w:style>
  <w:style w:type="character" w:customStyle="1" w:styleId="CorpsdetexteCar">
    <w:name w:val="Corps de texte Car"/>
    <w:basedOn w:val="Policepardfaut"/>
    <w:link w:val="Corpsdetexte"/>
    <w:rsid w:val="00720BD0"/>
    <w:rPr>
      <w:rFonts w:ascii="Calibri" w:hAnsi="Calibri"/>
      <w:szCs w:val="22"/>
      <w:lang w:eastAsia="en-US"/>
    </w:rPr>
  </w:style>
  <w:style w:type="character" w:customStyle="1" w:styleId="Titre2Car">
    <w:name w:val="Titre 2 Car"/>
    <w:basedOn w:val="Policepardfaut"/>
    <w:link w:val="Titre2"/>
    <w:rsid w:val="00720BD0"/>
    <w:rPr>
      <w:rFonts w:ascii="Arial" w:hAnsi="Arial" w:cs="Arial"/>
      <w:b/>
      <w:bCs/>
      <w:iCs/>
      <w:color w:val="0F243E"/>
      <w:sz w:val="26"/>
      <w:szCs w:val="26"/>
      <w:u w:val="single"/>
    </w:rPr>
  </w:style>
  <w:style w:type="character" w:customStyle="1" w:styleId="En-tteCar">
    <w:name w:val="En-tête Car"/>
    <w:basedOn w:val="Policepardfaut"/>
    <w:link w:val="En-tte"/>
    <w:rsid w:val="00720BD0"/>
    <w:rPr>
      <w:rFonts w:ascii="Arial" w:hAnsi="Arial" w:cs="Arial"/>
      <w:b/>
      <w:sz w:val="18"/>
      <w:szCs w:val="18"/>
    </w:r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als\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46D7C-0382-4AFA-85C4-E9545B23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DocTypeCrcf.dot</Template>
  <TotalTime>220</TotalTime>
  <Pages>6</Pages>
  <Words>1927</Words>
  <Characters>10601</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12503</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Daniel Perrin Toinin</dc:creator>
  <cp:keywords>Charte graphique Document type (séparateur=espace)</cp:keywords>
  <dc:description>Version 1.3, 23/10/2009, format Word 2000-2003</dc:description>
  <cp:lastModifiedBy>Daniel Perrin Toinin</cp:lastModifiedBy>
  <cp:revision>7</cp:revision>
  <cp:lastPrinted>2004-02-05T10:35:00Z</cp:lastPrinted>
  <dcterms:created xsi:type="dcterms:W3CDTF">2013-12-12T10:37:00Z</dcterms:created>
  <dcterms:modified xsi:type="dcterms:W3CDTF">2013-12-16T14:26:00Z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