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737" w:rsidRPr="006446CA" w:rsidRDefault="007532BB" w:rsidP="006446CA">
      <w:pPr>
        <w:pStyle w:val="Sansinterligne"/>
        <w:jc w:val="center"/>
        <w:rPr>
          <w:b/>
          <w:sz w:val="28"/>
          <w:szCs w:val="28"/>
        </w:rPr>
      </w:pPr>
      <w:r w:rsidRPr="006446CA">
        <w:rPr>
          <w:b/>
          <w:sz w:val="28"/>
          <w:szCs w:val="28"/>
        </w:rPr>
        <w:t xml:space="preserve">La comptabilisation des opérations en </w:t>
      </w:r>
      <w:r w:rsidR="009A4DE0" w:rsidRPr="006446CA">
        <w:rPr>
          <w:b/>
          <w:sz w:val="28"/>
          <w:szCs w:val="28"/>
        </w:rPr>
        <w:t>devises</w:t>
      </w:r>
      <w:r w:rsidR="00586AFB" w:rsidRPr="006446CA">
        <w:rPr>
          <w:b/>
          <w:sz w:val="28"/>
          <w:szCs w:val="28"/>
        </w:rPr>
        <w:t xml:space="preserve"> après le règlement </w:t>
      </w:r>
      <w:r w:rsidR="005B7AD7" w:rsidRPr="006446CA">
        <w:rPr>
          <w:b/>
          <w:sz w:val="28"/>
          <w:szCs w:val="28"/>
        </w:rPr>
        <w:t>de</w:t>
      </w:r>
    </w:p>
    <w:p w:rsidR="007532BB" w:rsidRPr="006446CA" w:rsidRDefault="005B7AD7" w:rsidP="006446CA">
      <w:pPr>
        <w:pStyle w:val="Sansinterligne"/>
        <w:jc w:val="center"/>
        <w:rPr>
          <w:b/>
          <w:sz w:val="28"/>
          <w:szCs w:val="28"/>
        </w:rPr>
      </w:pPr>
      <w:proofErr w:type="gramStart"/>
      <w:r w:rsidRPr="006446CA">
        <w:rPr>
          <w:b/>
          <w:sz w:val="28"/>
          <w:szCs w:val="28"/>
        </w:rPr>
        <w:t>l’</w:t>
      </w:r>
      <w:r w:rsidR="00586AFB" w:rsidRPr="006446CA">
        <w:rPr>
          <w:b/>
          <w:sz w:val="28"/>
          <w:szCs w:val="28"/>
        </w:rPr>
        <w:t>ANC</w:t>
      </w:r>
      <w:proofErr w:type="gramEnd"/>
      <w:r w:rsidR="00E86737" w:rsidRPr="006446CA">
        <w:rPr>
          <w:b/>
          <w:sz w:val="28"/>
          <w:szCs w:val="28"/>
        </w:rPr>
        <w:t xml:space="preserve"> n </w:t>
      </w:r>
      <w:r w:rsidR="00586AFB" w:rsidRPr="006446CA">
        <w:rPr>
          <w:b/>
          <w:sz w:val="28"/>
          <w:szCs w:val="28"/>
        </w:rPr>
        <w:t>2015-05</w:t>
      </w:r>
      <w:r w:rsidR="00F67838" w:rsidRPr="006446CA">
        <w:rPr>
          <w:b/>
          <w:sz w:val="28"/>
          <w:szCs w:val="28"/>
        </w:rPr>
        <w:t xml:space="preserve"> relatif aux instruments financiers à terme et aux opérations de couverture.</w:t>
      </w:r>
    </w:p>
    <w:p w:rsidR="00271430" w:rsidRPr="00271430" w:rsidRDefault="00271430" w:rsidP="00271430">
      <w:pPr>
        <w:pStyle w:val="Sansinterligne"/>
        <w:rPr>
          <w:sz w:val="10"/>
          <w:szCs w:val="10"/>
        </w:rPr>
      </w:pPr>
    </w:p>
    <w:p w:rsidR="00E94C31" w:rsidRDefault="00E94C31" w:rsidP="006446CA">
      <w:pPr>
        <w:spacing w:line="240" w:lineRule="auto"/>
        <w:jc w:val="center"/>
        <w:rPr>
          <w:i/>
          <w:sz w:val="28"/>
        </w:rPr>
      </w:pPr>
      <w:r w:rsidRPr="00E94C31">
        <w:rPr>
          <w:i/>
          <w:sz w:val="28"/>
        </w:rPr>
        <w:t xml:space="preserve">Auteur : Patrick </w:t>
      </w:r>
      <w:proofErr w:type="spellStart"/>
      <w:r w:rsidRPr="00E94C31">
        <w:rPr>
          <w:i/>
          <w:sz w:val="28"/>
        </w:rPr>
        <w:t>Pinteaux</w:t>
      </w:r>
      <w:proofErr w:type="spellEnd"/>
      <w:r w:rsidRPr="00E94C31">
        <w:rPr>
          <w:i/>
          <w:sz w:val="28"/>
        </w:rPr>
        <w:t xml:space="preserve">, professeur agrégé en DCG et DSCG au lycée Jules </w:t>
      </w:r>
      <w:proofErr w:type="spellStart"/>
      <w:r w:rsidRPr="00E94C31">
        <w:rPr>
          <w:i/>
          <w:sz w:val="28"/>
        </w:rPr>
        <w:t>Uhry</w:t>
      </w:r>
      <w:proofErr w:type="spellEnd"/>
      <w:r w:rsidRPr="00E94C31">
        <w:rPr>
          <w:i/>
          <w:sz w:val="28"/>
        </w:rPr>
        <w:t xml:space="preserve"> de Creil (Oise)</w:t>
      </w:r>
    </w:p>
    <w:p w:rsidR="00626211" w:rsidRPr="003B5DBC" w:rsidRDefault="00626211" w:rsidP="006446CA">
      <w:pPr>
        <w:spacing w:line="240" w:lineRule="auto"/>
        <w:jc w:val="center"/>
        <w:rPr>
          <w:i/>
          <w:sz w:val="28"/>
        </w:rPr>
      </w:pPr>
      <w:r w:rsidRPr="003B5DBC">
        <w:rPr>
          <w:i/>
          <w:sz w:val="28"/>
        </w:rPr>
        <w:t xml:space="preserve">Auteur aux éditions </w:t>
      </w:r>
      <w:proofErr w:type="spellStart"/>
      <w:r w:rsidRPr="003B5DBC">
        <w:rPr>
          <w:i/>
          <w:sz w:val="28"/>
        </w:rPr>
        <w:t>Dunod</w:t>
      </w:r>
      <w:proofErr w:type="spellEnd"/>
    </w:p>
    <w:p w:rsidR="004046C4" w:rsidRDefault="00257362" w:rsidP="006446CA">
      <w:pPr>
        <w:spacing w:line="240" w:lineRule="auto"/>
        <w:jc w:val="both"/>
        <w:rPr>
          <w:i/>
        </w:rPr>
      </w:pPr>
      <w:r w:rsidRPr="009713D9">
        <w:rPr>
          <w:i/>
        </w:rPr>
        <w:t>Remarque : les articles d</w:t>
      </w:r>
      <w:r w:rsidR="00C256E9">
        <w:rPr>
          <w:i/>
        </w:rPr>
        <w:t>u PCG cités</w:t>
      </w:r>
      <w:r>
        <w:rPr>
          <w:i/>
        </w:rPr>
        <w:t xml:space="preserve"> ci-dessous </w:t>
      </w:r>
      <w:r w:rsidRPr="009713D9">
        <w:rPr>
          <w:i/>
        </w:rPr>
        <w:t>sont les articles modifiés ou les nouveaux articles introduits par le règlement de l’ANC.</w:t>
      </w:r>
    </w:p>
    <w:p w:rsidR="00D25B44" w:rsidRPr="009713D9" w:rsidRDefault="00D25B44" w:rsidP="006446CA">
      <w:pPr>
        <w:spacing w:line="240" w:lineRule="auto"/>
        <w:jc w:val="both"/>
        <w:rPr>
          <w:i/>
        </w:rPr>
      </w:pPr>
    </w:p>
    <w:tbl>
      <w:tblPr>
        <w:tblStyle w:val="Grilledutableau"/>
        <w:tblW w:w="0" w:type="auto"/>
        <w:tblLook w:val="04A0"/>
      </w:tblPr>
      <w:tblGrid>
        <w:gridCol w:w="9628"/>
      </w:tblGrid>
      <w:tr w:rsidR="00D75EB1" w:rsidRPr="00EC618C" w:rsidTr="00D75EB1">
        <w:tc>
          <w:tcPr>
            <w:tcW w:w="9628" w:type="dxa"/>
          </w:tcPr>
          <w:p w:rsidR="006205B8" w:rsidRPr="00EC618C" w:rsidRDefault="006205B8" w:rsidP="006205B8">
            <w:pPr>
              <w:autoSpaceDE w:val="0"/>
              <w:autoSpaceDN w:val="0"/>
              <w:adjustRightInd w:val="0"/>
              <w:jc w:val="both"/>
              <w:rPr>
                <w:rFonts w:ascii="Calibri" w:hAnsi="Calibri" w:cs="Times New Roman"/>
                <w:i/>
                <w:sz w:val="24"/>
                <w:szCs w:val="24"/>
              </w:rPr>
            </w:pPr>
            <w:r w:rsidRPr="00EC618C">
              <w:rPr>
                <w:rFonts w:ascii="Calibri" w:hAnsi="Calibri" w:cs="Times New Roman"/>
                <w:i/>
                <w:sz w:val="24"/>
                <w:szCs w:val="24"/>
              </w:rPr>
              <w:t xml:space="preserve">Résumé </w:t>
            </w:r>
            <w:r w:rsidR="00D75EB1" w:rsidRPr="00EC618C">
              <w:rPr>
                <w:rFonts w:ascii="Calibri" w:hAnsi="Calibri" w:cs="Times New Roman"/>
                <w:i/>
                <w:sz w:val="24"/>
                <w:szCs w:val="24"/>
              </w:rPr>
              <w:t xml:space="preserve">: </w:t>
            </w:r>
            <w:r w:rsidRPr="00EC618C">
              <w:rPr>
                <w:rFonts w:ascii="Calibri" w:hAnsi="Calibri" w:cs="Times New Roman"/>
                <w:i/>
                <w:sz w:val="24"/>
                <w:szCs w:val="24"/>
              </w:rPr>
              <w:t xml:space="preserve">cet article a pour vocation, d’une part, de présenter les modifications du PCG apportées par le règlement 2015-05 de l’Autorité des normes comptables </w:t>
            </w:r>
            <w:r w:rsidR="00EC618C" w:rsidRPr="00EC618C">
              <w:rPr>
                <w:rFonts w:ascii="Calibri" w:hAnsi="Calibri" w:cs="Times New Roman"/>
                <w:i/>
                <w:sz w:val="24"/>
                <w:szCs w:val="24"/>
              </w:rPr>
              <w:t>à</w:t>
            </w:r>
            <w:r w:rsidRPr="00EC618C">
              <w:rPr>
                <w:rFonts w:ascii="Calibri" w:hAnsi="Calibri" w:cs="Times New Roman"/>
                <w:i/>
                <w:sz w:val="24"/>
                <w:szCs w:val="24"/>
              </w:rPr>
              <w:t xml:space="preserve"> la comptabilisation des opérations en devises, puis d’autre part d’aborder succinctement le nouveau traitement des opérations de couverture à l’aide d’un exemple portant sur l</w:t>
            </w:r>
            <w:r w:rsidR="00971239" w:rsidRPr="00EC618C">
              <w:rPr>
                <w:rFonts w:ascii="Calibri" w:hAnsi="Calibri" w:cs="Times New Roman"/>
                <w:i/>
                <w:sz w:val="24"/>
                <w:szCs w:val="24"/>
              </w:rPr>
              <w:t xml:space="preserve">e </w:t>
            </w:r>
            <w:bookmarkStart w:id="0" w:name="_GoBack"/>
            <w:bookmarkEnd w:id="0"/>
            <w:r w:rsidRPr="00EC618C">
              <w:rPr>
                <w:rFonts w:ascii="Calibri" w:hAnsi="Calibri" w:cs="Times New Roman"/>
                <w:i/>
                <w:sz w:val="24"/>
                <w:szCs w:val="24"/>
              </w:rPr>
              <w:t>risque de change.</w:t>
            </w:r>
          </w:p>
        </w:tc>
      </w:tr>
    </w:tbl>
    <w:p w:rsidR="00D75EB1" w:rsidRDefault="00D75EB1" w:rsidP="006446CA">
      <w:pPr>
        <w:autoSpaceDE w:val="0"/>
        <w:autoSpaceDN w:val="0"/>
        <w:adjustRightInd w:val="0"/>
        <w:spacing w:after="0" w:line="240" w:lineRule="auto"/>
        <w:rPr>
          <w:rFonts w:ascii="Calibri" w:hAnsi="Calibri" w:cs="Times New Roman"/>
          <w:b/>
          <w:color w:val="000000"/>
          <w:sz w:val="10"/>
          <w:szCs w:val="10"/>
        </w:rPr>
      </w:pPr>
    </w:p>
    <w:p w:rsidR="00D25B44" w:rsidRDefault="00D25B44" w:rsidP="006446CA">
      <w:pPr>
        <w:autoSpaceDE w:val="0"/>
        <w:autoSpaceDN w:val="0"/>
        <w:adjustRightInd w:val="0"/>
        <w:spacing w:after="0" w:line="240" w:lineRule="auto"/>
        <w:rPr>
          <w:rFonts w:ascii="Calibri" w:hAnsi="Calibri" w:cs="Times New Roman"/>
          <w:b/>
          <w:color w:val="000000"/>
          <w:sz w:val="10"/>
          <w:szCs w:val="10"/>
        </w:rPr>
      </w:pPr>
    </w:p>
    <w:p w:rsidR="00D25B44" w:rsidRPr="00EC618C" w:rsidRDefault="00D25B44" w:rsidP="006446CA">
      <w:pPr>
        <w:autoSpaceDE w:val="0"/>
        <w:autoSpaceDN w:val="0"/>
        <w:adjustRightInd w:val="0"/>
        <w:spacing w:after="0" w:line="240" w:lineRule="auto"/>
        <w:rPr>
          <w:rFonts w:ascii="Calibri" w:hAnsi="Calibri" w:cs="Times New Roman"/>
          <w:b/>
          <w:color w:val="000000"/>
          <w:sz w:val="10"/>
          <w:szCs w:val="10"/>
        </w:rPr>
      </w:pPr>
    </w:p>
    <w:p w:rsidR="000E5DAF" w:rsidRDefault="00E94C31" w:rsidP="006446CA">
      <w:pPr>
        <w:autoSpaceDE w:val="0"/>
        <w:autoSpaceDN w:val="0"/>
        <w:adjustRightInd w:val="0"/>
        <w:spacing w:after="0" w:line="240" w:lineRule="auto"/>
        <w:rPr>
          <w:rFonts w:ascii="Calibri" w:hAnsi="Calibri" w:cs="Times New Roman"/>
          <w:b/>
          <w:color w:val="000000"/>
          <w:sz w:val="24"/>
          <w:szCs w:val="24"/>
        </w:rPr>
      </w:pPr>
      <w:r w:rsidRPr="00E94C31">
        <w:rPr>
          <w:rFonts w:ascii="Calibri" w:hAnsi="Calibri" w:cs="Times New Roman"/>
          <w:b/>
          <w:color w:val="000000"/>
          <w:sz w:val="36"/>
          <w:szCs w:val="24"/>
        </w:rPr>
        <w:t>Introduction</w:t>
      </w:r>
      <w:r w:rsidRPr="00E94C31">
        <w:rPr>
          <w:rFonts w:ascii="Calibri" w:hAnsi="Calibri" w:cs="Times New Roman"/>
          <w:b/>
          <w:color w:val="000000"/>
          <w:sz w:val="24"/>
          <w:szCs w:val="24"/>
        </w:rPr>
        <w:t xml:space="preserve"> </w:t>
      </w:r>
    </w:p>
    <w:p w:rsidR="006446CA" w:rsidRDefault="006446CA" w:rsidP="006446CA">
      <w:pPr>
        <w:pStyle w:val="Default"/>
        <w:jc w:val="both"/>
        <w:rPr>
          <w:rFonts w:ascii="Calibri" w:hAnsi="Calibri"/>
          <w:sz w:val="10"/>
          <w:szCs w:val="10"/>
        </w:rPr>
      </w:pPr>
    </w:p>
    <w:p w:rsidR="00D25B44" w:rsidRPr="006446CA" w:rsidRDefault="00D25B44" w:rsidP="006446CA">
      <w:pPr>
        <w:pStyle w:val="Default"/>
        <w:jc w:val="both"/>
        <w:rPr>
          <w:rFonts w:ascii="Calibri" w:hAnsi="Calibri"/>
          <w:sz w:val="10"/>
          <w:szCs w:val="10"/>
        </w:rPr>
      </w:pPr>
    </w:p>
    <w:p w:rsidR="004046C4" w:rsidRPr="003B5DBC" w:rsidRDefault="000E5DAF" w:rsidP="006446CA">
      <w:pPr>
        <w:pStyle w:val="Default"/>
        <w:jc w:val="both"/>
        <w:rPr>
          <w:rFonts w:ascii="Calibri" w:hAnsi="Calibri"/>
          <w:color w:val="auto"/>
        </w:rPr>
      </w:pPr>
      <w:r w:rsidRPr="00E94C31">
        <w:rPr>
          <w:rFonts w:ascii="Calibri" w:hAnsi="Calibri"/>
        </w:rPr>
        <w:t>Depuis la crise financière de 2008,</w:t>
      </w:r>
      <w:r w:rsidR="00054EDC">
        <w:rPr>
          <w:rFonts w:ascii="Calibri" w:hAnsi="Calibri"/>
        </w:rPr>
        <w:t xml:space="preserve"> </w:t>
      </w:r>
      <w:r w:rsidR="00FE384A">
        <w:rPr>
          <w:rFonts w:ascii="Calibri" w:hAnsi="Calibri"/>
        </w:rPr>
        <w:t>le</w:t>
      </w:r>
      <w:r w:rsidR="00FE384A" w:rsidRPr="000E5DAF">
        <w:rPr>
          <w:rFonts w:ascii="Calibri" w:hAnsi="Calibri"/>
        </w:rPr>
        <w:t xml:space="preserve"> </w:t>
      </w:r>
      <w:r w:rsidRPr="000E5DAF">
        <w:rPr>
          <w:rFonts w:ascii="Calibri" w:hAnsi="Calibri"/>
        </w:rPr>
        <w:t>rôle des trésoriers d’entreprise s’est développé pour devenir plus straté</w:t>
      </w:r>
      <w:r>
        <w:rPr>
          <w:rFonts w:ascii="Calibri" w:hAnsi="Calibri"/>
        </w:rPr>
        <w:t>gique.</w:t>
      </w:r>
      <w:r w:rsidR="00AD1C9F">
        <w:rPr>
          <w:rFonts w:ascii="Calibri" w:hAnsi="Calibri"/>
        </w:rPr>
        <w:t xml:space="preserve"> Ils sont de plus en plus impliqués dans la gestion des risques financiers et de couverture. </w:t>
      </w:r>
      <w:r w:rsidR="004046C4" w:rsidRPr="004046C4">
        <w:rPr>
          <w:rFonts w:ascii="Calibri" w:hAnsi="Calibri"/>
        </w:rPr>
        <w:t xml:space="preserve">Afin de répondre aux besoins pratiques des entreprises, </w:t>
      </w:r>
      <w:r w:rsidR="00FE384A">
        <w:rPr>
          <w:rFonts w:ascii="Calibri" w:hAnsi="Calibri"/>
        </w:rPr>
        <w:t>l</w:t>
      </w:r>
      <w:r w:rsidR="00FE384A" w:rsidRPr="004046C4">
        <w:rPr>
          <w:rFonts w:ascii="Calibri" w:hAnsi="Calibri"/>
        </w:rPr>
        <w:t xml:space="preserve">’Autorité </w:t>
      </w:r>
      <w:r w:rsidR="004046C4" w:rsidRPr="004046C4">
        <w:rPr>
          <w:rFonts w:ascii="Calibri" w:hAnsi="Calibri"/>
        </w:rPr>
        <w:t>des normes comptables (ANC) a publié</w:t>
      </w:r>
      <w:r w:rsidR="00FE384A">
        <w:rPr>
          <w:rFonts w:ascii="Calibri" w:hAnsi="Calibri"/>
        </w:rPr>
        <w:t>,</w:t>
      </w:r>
      <w:r w:rsidR="004046C4" w:rsidRPr="004046C4">
        <w:rPr>
          <w:rFonts w:ascii="Calibri" w:hAnsi="Calibri"/>
        </w:rPr>
        <w:t xml:space="preserve"> le 2</w:t>
      </w:r>
      <w:r w:rsidR="00FE384A">
        <w:rPr>
          <w:rFonts w:ascii="Calibri" w:hAnsi="Calibri"/>
        </w:rPr>
        <w:t> juillet</w:t>
      </w:r>
      <w:r w:rsidR="004046C4" w:rsidRPr="004046C4">
        <w:rPr>
          <w:rFonts w:ascii="Calibri" w:hAnsi="Calibri"/>
        </w:rPr>
        <w:t xml:space="preserve"> 2015, le rè</w:t>
      </w:r>
      <w:r w:rsidR="007532BB">
        <w:rPr>
          <w:rFonts w:ascii="Calibri" w:hAnsi="Calibri"/>
        </w:rPr>
        <w:t>glement 2015-05 modifiant le Plan comptable général (PCG)</w:t>
      </w:r>
      <w:r w:rsidR="004046C4" w:rsidRPr="004046C4">
        <w:rPr>
          <w:rFonts w:ascii="Calibri" w:hAnsi="Calibri"/>
        </w:rPr>
        <w:t>, relatif aux instruments financiers à terme et aux opérations de couverture.</w:t>
      </w:r>
      <w:r w:rsidR="00054EDC">
        <w:rPr>
          <w:rFonts w:ascii="Calibri" w:hAnsi="Calibri"/>
        </w:rPr>
        <w:t xml:space="preserve"> </w:t>
      </w:r>
      <w:r w:rsidR="004046C4" w:rsidRPr="004046C4">
        <w:rPr>
          <w:rFonts w:ascii="Calibri" w:hAnsi="Calibri"/>
        </w:rPr>
        <w:t>Ces dispositions constituent la section</w:t>
      </w:r>
      <w:r w:rsidR="00E1664A">
        <w:rPr>
          <w:rFonts w:ascii="Calibri" w:hAnsi="Calibri"/>
        </w:rPr>
        <w:t> </w:t>
      </w:r>
      <w:r w:rsidR="004046C4" w:rsidRPr="004046C4">
        <w:rPr>
          <w:rFonts w:ascii="Calibri" w:hAnsi="Calibri"/>
        </w:rPr>
        <w:t xml:space="preserve">8 </w:t>
      </w:r>
      <w:r w:rsidR="00FE384A">
        <w:rPr>
          <w:rFonts w:ascii="Calibri" w:hAnsi="Calibri"/>
        </w:rPr>
        <w:t>« </w:t>
      </w:r>
      <w:r w:rsidR="004046C4" w:rsidRPr="004046C4">
        <w:rPr>
          <w:rFonts w:ascii="Calibri" w:hAnsi="Calibri"/>
        </w:rPr>
        <w:t>Dispositions relatives aux instruments financiers à terme et aux opérations de couverture</w:t>
      </w:r>
      <w:r w:rsidR="00FE384A">
        <w:rPr>
          <w:rFonts w:ascii="Calibri" w:hAnsi="Calibri"/>
        </w:rPr>
        <w:t> »</w:t>
      </w:r>
      <w:r w:rsidR="004046C4" w:rsidRPr="004046C4">
        <w:rPr>
          <w:rFonts w:ascii="Calibri" w:hAnsi="Calibri"/>
        </w:rPr>
        <w:t xml:space="preserve"> du chapitre II </w:t>
      </w:r>
      <w:r w:rsidR="00FE384A">
        <w:rPr>
          <w:rFonts w:ascii="Calibri" w:hAnsi="Calibri"/>
        </w:rPr>
        <w:t>« </w:t>
      </w:r>
      <w:r w:rsidR="004046C4" w:rsidRPr="004046C4">
        <w:rPr>
          <w:rFonts w:ascii="Calibri" w:hAnsi="Calibri"/>
        </w:rPr>
        <w:t>Opérations de nature spécifique</w:t>
      </w:r>
      <w:r w:rsidR="00FE384A">
        <w:rPr>
          <w:rFonts w:ascii="Calibri" w:hAnsi="Calibri"/>
        </w:rPr>
        <w:t> »</w:t>
      </w:r>
      <w:r w:rsidR="004046C4" w:rsidRPr="004046C4">
        <w:rPr>
          <w:rFonts w:ascii="Calibri" w:hAnsi="Calibri"/>
        </w:rPr>
        <w:t xml:space="preserve"> du Titre</w:t>
      </w:r>
      <w:r w:rsidR="00E1664A">
        <w:rPr>
          <w:rFonts w:ascii="Calibri" w:hAnsi="Calibri"/>
        </w:rPr>
        <w:t> </w:t>
      </w:r>
      <w:r w:rsidR="004046C4" w:rsidRPr="004046C4">
        <w:rPr>
          <w:rFonts w:ascii="Calibri" w:hAnsi="Calibri"/>
        </w:rPr>
        <w:t xml:space="preserve">VI </w:t>
      </w:r>
      <w:r w:rsidR="00FE384A">
        <w:rPr>
          <w:rFonts w:ascii="Calibri" w:hAnsi="Calibri"/>
        </w:rPr>
        <w:t>« </w:t>
      </w:r>
      <w:r w:rsidR="004046C4" w:rsidRPr="004046C4">
        <w:rPr>
          <w:rFonts w:ascii="Calibri" w:hAnsi="Calibri"/>
        </w:rPr>
        <w:t>Dispositions et opérations de nature spécifique</w:t>
      </w:r>
      <w:r w:rsidR="00FE384A">
        <w:rPr>
          <w:rFonts w:ascii="Calibri" w:hAnsi="Calibri"/>
        </w:rPr>
        <w:t> »</w:t>
      </w:r>
      <w:r w:rsidR="004046C4" w:rsidRPr="004046C4">
        <w:rPr>
          <w:rFonts w:ascii="Calibri" w:hAnsi="Calibri"/>
        </w:rPr>
        <w:t xml:space="preserve"> du Livre</w:t>
      </w:r>
      <w:r w:rsidR="00E1664A">
        <w:rPr>
          <w:rFonts w:ascii="Calibri" w:hAnsi="Calibri"/>
        </w:rPr>
        <w:t> </w:t>
      </w:r>
      <w:r w:rsidR="004046C4" w:rsidRPr="004046C4">
        <w:rPr>
          <w:rFonts w:ascii="Calibri" w:hAnsi="Calibri"/>
        </w:rPr>
        <w:t xml:space="preserve">II </w:t>
      </w:r>
      <w:r w:rsidR="00FE384A">
        <w:rPr>
          <w:rFonts w:ascii="Calibri" w:hAnsi="Calibri"/>
        </w:rPr>
        <w:t>« </w:t>
      </w:r>
      <w:r w:rsidR="004046C4" w:rsidRPr="004046C4">
        <w:rPr>
          <w:rFonts w:ascii="Calibri" w:hAnsi="Calibri"/>
        </w:rPr>
        <w:t>Modalités particulières d’applications des principes génér</w:t>
      </w:r>
      <w:r w:rsidR="007532BB">
        <w:rPr>
          <w:rFonts w:ascii="Calibri" w:hAnsi="Calibri"/>
        </w:rPr>
        <w:t>aux</w:t>
      </w:r>
      <w:r w:rsidR="00FE384A">
        <w:rPr>
          <w:rFonts w:ascii="Calibri" w:hAnsi="Calibri"/>
        </w:rPr>
        <w:t> »</w:t>
      </w:r>
      <w:r w:rsidR="007532BB">
        <w:rPr>
          <w:rFonts w:ascii="Calibri" w:hAnsi="Calibri"/>
        </w:rPr>
        <w:t xml:space="preserve"> du PCG (</w:t>
      </w:r>
      <w:r w:rsidR="00E1664A">
        <w:rPr>
          <w:rFonts w:ascii="Calibri" w:hAnsi="Calibri"/>
        </w:rPr>
        <w:t>art</w:t>
      </w:r>
      <w:r w:rsidR="007532BB">
        <w:rPr>
          <w:rFonts w:ascii="Calibri" w:hAnsi="Calibri"/>
        </w:rPr>
        <w:t>.</w:t>
      </w:r>
      <w:r w:rsidR="00E1664A">
        <w:rPr>
          <w:rFonts w:ascii="Calibri" w:hAnsi="Calibri"/>
        </w:rPr>
        <w:t> </w:t>
      </w:r>
      <w:r w:rsidR="007532BB">
        <w:rPr>
          <w:rFonts w:ascii="Calibri" w:hAnsi="Calibri"/>
        </w:rPr>
        <w:t>628-1 à 18).</w:t>
      </w:r>
      <w:r w:rsidR="0058558F">
        <w:rPr>
          <w:rFonts w:ascii="Calibri" w:hAnsi="Calibri"/>
        </w:rPr>
        <w:t xml:space="preserve"> </w:t>
      </w:r>
      <w:r w:rsidR="0058558F" w:rsidRPr="00E94C31">
        <w:rPr>
          <w:rFonts w:ascii="Calibri" w:hAnsi="Calibri"/>
        </w:rPr>
        <w:t>Le</w:t>
      </w:r>
      <w:r w:rsidR="0058558F" w:rsidRPr="0058558F">
        <w:rPr>
          <w:rFonts w:ascii="Calibri" w:hAnsi="Calibri"/>
          <w:b/>
        </w:rPr>
        <w:t xml:space="preserve"> règlement s’applique </w:t>
      </w:r>
      <w:r w:rsidR="00725D9D">
        <w:rPr>
          <w:rFonts w:ascii="Calibri" w:hAnsi="Calibri"/>
          <w:b/>
        </w:rPr>
        <w:t xml:space="preserve">de manière obligatoire </w:t>
      </w:r>
      <w:r w:rsidR="0058558F" w:rsidRPr="0058558F">
        <w:rPr>
          <w:rFonts w:ascii="Calibri" w:hAnsi="Calibri"/>
          <w:b/>
        </w:rPr>
        <w:t>à compter du 1</w:t>
      </w:r>
      <w:r w:rsidR="0058558F" w:rsidRPr="0058558F">
        <w:rPr>
          <w:rFonts w:ascii="Calibri" w:hAnsi="Calibri"/>
          <w:b/>
          <w:vertAlign w:val="superscript"/>
        </w:rPr>
        <w:t>er</w:t>
      </w:r>
      <w:r w:rsidR="00A6394D">
        <w:rPr>
          <w:rFonts w:ascii="Calibri" w:hAnsi="Calibri"/>
          <w:b/>
        </w:rPr>
        <w:t> </w:t>
      </w:r>
      <w:r w:rsidR="0058558F" w:rsidRPr="0058558F">
        <w:rPr>
          <w:rFonts w:ascii="Calibri" w:hAnsi="Calibri"/>
          <w:b/>
        </w:rPr>
        <w:t>janvier 2017</w:t>
      </w:r>
      <w:r w:rsidR="00925540">
        <w:rPr>
          <w:rFonts w:ascii="Calibri" w:hAnsi="Calibri"/>
          <w:b/>
        </w:rPr>
        <w:t xml:space="preserve">. </w:t>
      </w:r>
      <w:r w:rsidR="00925540" w:rsidRPr="00FF4FAF">
        <w:rPr>
          <w:rFonts w:ascii="Calibri" w:hAnsi="Calibri"/>
        </w:rPr>
        <w:t xml:space="preserve">Une application anticipée était possible </w:t>
      </w:r>
      <w:r w:rsidR="00DA78EB" w:rsidRPr="00FF4FAF">
        <w:rPr>
          <w:rFonts w:ascii="Calibri" w:hAnsi="Calibri"/>
        </w:rPr>
        <w:t xml:space="preserve">à </w:t>
      </w:r>
      <w:r w:rsidR="00DA78EB" w:rsidRPr="003B5DBC">
        <w:rPr>
          <w:rFonts w:ascii="Calibri" w:hAnsi="Calibri"/>
          <w:color w:val="auto"/>
        </w:rPr>
        <w:t>compter du</w:t>
      </w:r>
      <w:r w:rsidR="00725D9D" w:rsidRPr="003B5DBC">
        <w:rPr>
          <w:rFonts w:ascii="Calibri" w:hAnsi="Calibri"/>
          <w:color w:val="auto"/>
        </w:rPr>
        <w:t xml:space="preserve"> 31 décembre 2015</w:t>
      </w:r>
      <w:r w:rsidR="0058558F" w:rsidRPr="003B5DBC">
        <w:rPr>
          <w:rFonts w:ascii="Calibri" w:hAnsi="Calibri"/>
          <w:b/>
          <w:color w:val="auto"/>
        </w:rPr>
        <w:t>.</w:t>
      </w:r>
      <w:r w:rsidR="004B40BB" w:rsidRPr="003B5DBC">
        <w:rPr>
          <w:rFonts w:ascii="Calibri" w:hAnsi="Calibri"/>
          <w:b/>
          <w:color w:val="auto"/>
        </w:rPr>
        <w:t xml:space="preserve"> </w:t>
      </w:r>
      <w:r w:rsidR="004B40BB" w:rsidRPr="003B5DBC">
        <w:rPr>
          <w:rFonts w:ascii="Calibri" w:hAnsi="Calibri"/>
          <w:color w:val="auto"/>
        </w:rPr>
        <w:t xml:space="preserve">Nous aborderons, dans une première partie, l’objectif et les principes </w:t>
      </w:r>
      <w:r w:rsidR="00D75EB1" w:rsidRPr="003B5DBC">
        <w:rPr>
          <w:rFonts w:ascii="Calibri" w:hAnsi="Calibri"/>
          <w:color w:val="auto"/>
        </w:rPr>
        <w:t xml:space="preserve">généraux </w:t>
      </w:r>
      <w:r w:rsidR="004B40BB" w:rsidRPr="003B5DBC">
        <w:rPr>
          <w:rFonts w:ascii="Calibri" w:hAnsi="Calibri"/>
          <w:color w:val="auto"/>
        </w:rPr>
        <w:t xml:space="preserve">de comptabilisation du règlement, puis dans un second temps les modifications apportées aux opérations en devises sans couverture, et enfin, nous </w:t>
      </w:r>
      <w:r w:rsidR="00101A32" w:rsidRPr="003B5DBC">
        <w:rPr>
          <w:rFonts w:ascii="Calibri" w:hAnsi="Calibri"/>
          <w:color w:val="auto"/>
        </w:rPr>
        <w:t>évoquerons succinctement  les opérations de couverture à l’aide d’un exemple sur la couverture du risque de change.</w:t>
      </w:r>
    </w:p>
    <w:p w:rsidR="00E94C31" w:rsidRPr="00271430" w:rsidRDefault="00E94C31" w:rsidP="006446CA">
      <w:pPr>
        <w:pStyle w:val="Default"/>
        <w:jc w:val="both"/>
        <w:rPr>
          <w:rFonts w:ascii="Calibri" w:hAnsi="Calibri"/>
          <w:b/>
          <w:sz w:val="16"/>
          <w:szCs w:val="16"/>
        </w:rPr>
      </w:pPr>
    </w:p>
    <w:p w:rsidR="00D25B44" w:rsidRDefault="00D25B44">
      <w:pPr>
        <w:rPr>
          <w:rFonts w:ascii="Calibri" w:hAnsi="Calibri" w:cs="Times New Roman"/>
          <w:b/>
          <w:color w:val="000000"/>
          <w:sz w:val="36"/>
          <w:szCs w:val="24"/>
        </w:rPr>
      </w:pPr>
      <w:r>
        <w:rPr>
          <w:rFonts w:ascii="Calibri" w:hAnsi="Calibri" w:cs="Times New Roman"/>
          <w:b/>
          <w:color w:val="000000"/>
          <w:sz w:val="36"/>
          <w:szCs w:val="24"/>
        </w:rPr>
        <w:br w:type="page"/>
      </w:r>
    </w:p>
    <w:p w:rsidR="00E94C31" w:rsidRDefault="00E94C31" w:rsidP="006446CA">
      <w:pPr>
        <w:autoSpaceDE w:val="0"/>
        <w:autoSpaceDN w:val="0"/>
        <w:adjustRightInd w:val="0"/>
        <w:spacing w:after="0" w:line="240" w:lineRule="auto"/>
        <w:rPr>
          <w:rFonts w:ascii="Calibri" w:hAnsi="Calibri" w:cs="Times New Roman"/>
          <w:b/>
          <w:color w:val="000000"/>
          <w:sz w:val="36"/>
          <w:szCs w:val="24"/>
        </w:rPr>
      </w:pPr>
      <w:r w:rsidRPr="00E94C31">
        <w:rPr>
          <w:rFonts w:ascii="Calibri" w:hAnsi="Calibri" w:cs="Times New Roman"/>
          <w:b/>
          <w:color w:val="000000"/>
          <w:sz w:val="36"/>
          <w:szCs w:val="24"/>
        </w:rPr>
        <w:lastRenderedPageBreak/>
        <w:t>1. Objectif</w:t>
      </w:r>
      <w:r w:rsidR="00054EDC">
        <w:rPr>
          <w:rFonts w:ascii="Calibri" w:hAnsi="Calibri" w:cs="Times New Roman"/>
          <w:b/>
          <w:color w:val="000000"/>
          <w:sz w:val="36"/>
          <w:szCs w:val="24"/>
        </w:rPr>
        <w:t xml:space="preserve"> </w:t>
      </w:r>
      <w:r w:rsidR="003F3340">
        <w:rPr>
          <w:rFonts w:ascii="Calibri" w:hAnsi="Calibri" w:cs="Times New Roman"/>
          <w:b/>
          <w:color w:val="000000"/>
          <w:sz w:val="36"/>
          <w:szCs w:val="24"/>
        </w:rPr>
        <w:t xml:space="preserve">et principes de comptabilisation </w:t>
      </w:r>
      <w:r w:rsidRPr="00E94C31">
        <w:rPr>
          <w:rFonts w:ascii="Calibri" w:hAnsi="Calibri" w:cs="Times New Roman"/>
          <w:b/>
          <w:color w:val="000000"/>
          <w:sz w:val="36"/>
          <w:szCs w:val="24"/>
        </w:rPr>
        <w:t>du règlement</w:t>
      </w:r>
    </w:p>
    <w:p w:rsidR="001A104D" w:rsidRDefault="001A104D" w:rsidP="006446CA">
      <w:pPr>
        <w:autoSpaceDE w:val="0"/>
        <w:autoSpaceDN w:val="0"/>
        <w:adjustRightInd w:val="0"/>
        <w:spacing w:after="0" w:line="240" w:lineRule="auto"/>
        <w:rPr>
          <w:rFonts w:ascii="Calibri" w:hAnsi="Calibri" w:cs="Times New Roman"/>
          <w:b/>
          <w:color w:val="000000"/>
          <w:sz w:val="10"/>
          <w:szCs w:val="10"/>
        </w:rPr>
      </w:pPr>
    </w:p>
    <w:p w:rsidR="00D25B44" w:rsidRPr="006446CA" w:rsidRDefault="00D25B44" w:rsidP="006446CA">
      <w:pPr>
        <w:autoSpaceDE w:val="0"/>
        <w:autoSpaceDN w:val="0"/>
        <w:adjustRightInd w:val="0"/>
        <w:spacing w:after="0" w:line="240" w:lineRule="auto"/>
        <w:rPr>
          <w:rFonts w:ascii="Calibri" w:hAnsi="Calibri" w:cs="Times New Roman"/>
          <w:b/>
          <w:color w:val="000000"/>
          <w:sz w:val="10"/>
          <w:szCs w:val="10"/>
        </w:rPr>
      </w:pPr>
    </w:p>
    <w:p w:rsidR="007532BB" w:rsidRDefault="005857B6" w:rsidP="006446CA">
      <w:pPr>
        <w:pStyle w:val="Default"/>
        <w:jc w:val="both"/>
        <w:rPr>
          <w:rFonts w:ascii="Calibri" w:hAnsi="Calibri"/>
        </w:rPr>
      </w:pPr>
      <w:r>
        <w:rPr>
          <w:rFonts w:ascii="Calibri" w:hAnsi="Calibri"/>
        </w:rPr>
        <w:t xml:space="preserve">Il s’agit de fournir aux entreprises des règles comptables modernisées et adaptées aux nouvelles problématiques de gestion des risques (risque de taux, risque de change, </w:t>
      </w:r>
      <w:r w:rsidR="00FF4FAF">
        <w:rPr>
          <w:rFonts w:ascii="Calibri" w:hAnsi="Calibri"/>
        </w:rPr>
        <w:t>risque matières</w:t>
      </w:r>
      <w:r>
        <w:rPr>
          <w:rFonts w:ascii="Calibri" w:hAnsi="Calibri"/>
        </w:rPr>
        <w:t xml:space="preserve"> premières…).</w:t>
      </w:r>
      <w:r w:rsidR="00CB74D1">
        <w:rPr>
          <w:rFonts w:ascii="Calibri" w:hAnsi="Calibri"/>
        </w:rPr>
        <w:t xml:space="preserve"> L’article 628-4</w:t>
      </w:r>
      <w:r w:rsidR="00FD5B34">
        <w:rPr>
          <w:rFonts w:ascii="Calibri" w:hAnsi="Calibri"/>
        </w:rPr>
        <w:t xml:space="preserve"> du PCG</w:t>
      </w:r>
      <w:r w:rsidR="00CB74D1">
        <w:rPr>
          <w:rFonts w:ascii="Calibri" w:hAnsi="Calibri"/>
        </w:rPr>
        <w:t xml:space="preserve"> impose aux entreprises </w:t>
      </w:r>
      <w:r w:rsidR="001A104D">
        <w:rPr>
          <w:rFonts w:ascii="Calibri" w:hAnsi="Calibri"/>
        </w:rPr>
        <w:t xml:space="preserve">la distinction entre </w:t>
      </w:r>
      <w:r w:rsidR="00CB74D1">
        <w:rPr>
          <w:rFonts w:ascii="Calibri" w:hAnsi="Calibri"/>
        </w:rPr>
        <w:t>les opérations de couverture et celles à but spéculatif (position</w:t>
      </w:r>
      <w:r w:rsidR="001A104D">
        <w:rPr>
          <w:rFonts w:ascii="Calibri" w:hAnsi="Calibri"/>
        </w:rPr>
        <w:t>s</w:t>
      </w:r>
      <w:r w:rsidR="00CB74D1">
        <w:rPr>
          <w:rFonts w:ascii="Calibri" w:hAnsi="Calibri"/>
        </w:rPr>
        <w:t xml:space="preserve"> ouverte</w:t>
      </w:r>
      <w:r w:rsidR="001A104D">
        <w:rPr>
          <w:rFonts w:ascii="Calibri" w:hAnsi="Calibri"/>
        </w:rPr>
        <w:t>s</w:t>
      </w:r>
      <w:r w:rsidR="00CB74D1">
        <w:rPr>
          <w:rFonts w:ascii="Calibri" w:hAnsi="Calibri"/>
        </w:rPr>
        <w:t xml:space="preserve"> isolée</w:t>
      </w:r>
      <w:r w:rsidR="001A104D">
        <w:rPr>
          <w:rFonts w:ascii="Calibri" w:hAnsi="Calibri"/>
        </w:rPr>
        <w:t>s</w:t>
      </w:r>
      <w:r w:rsidR="00CB74D1">
        <w:rPr>
          <w:rFonts w:ascii="Calibri" w:hAnsi="Calibri"/>
        </w:rPr>
        <w:t xml:space="preserve">). Les opérations de couverture </w:t>
      </w:r>
      <w:r w:rsidR="00CB74D1" w:rsidRPr="009713D9">
        <w:rPr>
          <w:rFonts w:ascii="Calibri" w:hAnsi="Calibri"/>
        </w:rPr>
        <w:t>consistent à mettre en relation un élément couvert et un instrument de couverture dans l’objectif de réduire le risque d’impact défavorable de l’exposition couverte sur le résultat, les flux ou les capitaux propres de l’entité (</w:t>
      </w:r>
      <w:r w:rsidR="00FD5B34">
        <w:rPr>
          <w:rFonts w:ascii="Calibri" w:hAnsi="Calibri"/>
        </w:rPr>
        <w:t>PCG, a</w:t>
      </w:r>
      <w:r w:rsidR="00CB74D1" w:rsidRPr="009713D9">
        <w:rPr>
          <w:rFonts w:ascii="Calibri" w:hAnsi="Calibri"/>
        </w:rPr>
        <w:t>rt. 628-6)</w:t>
      </w:r>
      <w:r w:rsidR="001A104D">
        <w:rPr>
          <w:rFonts w:ascii="Calibri" w:hAnsi="Calibri"/>
        </w:rPr>
        <w:t>.</w:t>
      </w:r>
    </w:p>
    <w:p w:rsidR="006446CA" w:rsidRDefault="006446CA" w:rsidP="006446CA">
      <w:pPr>
        <w:pStyle w:val="Default"/>
        <w:jc w:val="both"/>
        <w:rPr>
          <w:rFonts w:ascii="Calibri" w:hAnsi="Calibri"/>
          <w:sz w:val="10"/>
          <w:szCs w:val="10"/>
        </w:rPr>
      </w:pPr>
    </w:p>
    <w:p w:rsidR="00D25B44" w:rsidRPr="006446CA" w:rsidRDefault="00D25B44" w:rsidP="006446CA">
      <w:pPr>
        <w:pStyle w:val="Default"/>
        <w:jc w:val="both"/>
        <w:rPr>
          <w:rFonts w:ascii="Calibri" w:hAnsi="Calibri"/>
          <w:sz w:val="10"/>
          <w:szCs w:val="10"/>
        </w:rPr>
      </w:pPr>
    </w:p>
    <w:p w:rsidR="005857B6" w:rsidRDefault="00885D14" w:rsidP="006446CA">
      <w:pPr>
        <w:pStyle w:val="Default"/>
        <w:jc w:val="both"/>
        <w:rPr>
          <w:rFonts w:ascii="Calibri" w:hAnsi="Calibri"/>
        </w:rPr>
      </w:pPr>
      <w:r>
        <w:rPr>
          <w:rFonts w:ascii="Calibri" w:hAnsi="Calibri"/>
        </w:rPr>
        <w:t>Les nouvelles règles peuvent être schématiquement résumées ainsi</w:t>
      </w:r>
      <w:r w:rsidR="00686451">
        <w:rPr>
          <w:rFonts w:ascii="Calibri" w:hAnsi="Calibri"/>
        </w:rPr>
        <w:t xml:space="preserve"> </w:t>
      </w:r>
      <w:r>
        <w:rPr>
          <w:rFonts w:ascii="Calibri" w:hAnsi="Calibri"/>
        </w:rPr>
        <w:t>:</w:t>
      </w:r>
    </w:p>
    <w:p w:rsidR="006446CA" w:rsidRDefault="006446CA" w:rsidP="006446CA">
      <w:pPr>
        <w:pStyle w:val="Default"/>
        <w:jc w:val="both"/>
        <w:rPr>
          <w:rFonts w:ascii="Calibri" w:hAnsi="Calibri"/>
          <w:sz w:val="10"/>
          <w:szCs w:val="10"/>
        </w:rPr>
      </w:pPr>
    </w:p>
    <w:p w:rsidR="00D25B44" w:rsidRPr="006446CA" w:rsidRDefault="00D25B44" w:rsidP="006446CA">
      <w:pPr>
        <w:pStyle w:val="Default"/>
        <w:jc w:val="both"/>
        <w:rPr>
          <w:rFonts w:ascii="Calibri" w:hAnsi="Calibri"/>
          <w:sz w:val="10"/>
          <w:szCs w:val="10"/>
        </w:rPr>
      </w:pPr>
    </w:p>
    <w:tbl>
      <w:tblPr>
        <w:tblStyle w:val="Grilledutableau"/>
        <w:tblW w:w="0" w:type="auto"/>
        <w:tblLook w:val="04A0"/>
      </w:tblPr>
      <w:tblGrid>
        <w:gridCol w:w="2093"/>
        <w:gridCol w:w="2835"/>
        <w:gridCol w:w="4926"/>
      </w:tblGrid>
      <w:tr w:rsidR="00885D14" w:rsidTr="00D25B44">
        <w:trPr>
          <w:trHeight w:val="1228"/>
        </w:trPr>
        <w:tc>
          <w:tcPr>
            <w:tcW w:w="2093" w:type="dxa"/>
            <w:vAlign w:val="center"/>
          </w:tcPr>
          <w:p w:rsidR="00885D14" w:rsidRPr="00D25B44" w:rsidRDefault="00885D14" w:rsidP="006446CA">
            <w:pPr>
              <w:pStyle w:val="Default"/>
              <w:jc w:val="center"/>
              <w:rPr>
                <w:rFonts w:ascii="Calibri" w:hAnsi="Calibri"/>
                <w:b/>
              </w:rPr>
            </w:pPr>
            <w:r w:rsidRPr="00D25B44">
              <w:rPr>
                <w:rFonts w:ascii="Calibri" w:hAnsi="Calibri"/>
                <w:b/>
              </w:rPr>
              <w:t>Dérivés</w:t>
            </w:r>
          </w:p>
        </w:tc>
        <w:tc>
          <w:tcPr>
            <w:tcW w:w="2835" w:type="dxa"/>
            <w:vAlign w:val="center"/>
          </w:tcPr>
          <w:p w:rsidR="00885D14" w:rsidRPr="00D25B44" w:rsidRDefault="00885D14" w:rsidP="006446CA">
            <w:pPr>
              <w:pStyle w:val="Default"/>
              <w:jc w:val="center"/>
              <w:rPr>
                <w:rFonts w:ascii="Calibri" w:hAnsi="Calibri"/>
                <w:b/>
              </w:rPr>
            </w:pPr>
            <w:r w:rsidRPr="00D25B44">
              <w:rPr>
                <w:rFonts w:ascii="Calibri" w:hAnsi="Calibri"/>
                <w:b/>
              </w:rPr>
              <w:t>Opération de couverture</w:t>
            </w:r>
          </w:p>
        </w:tc>
        <w:tc>
          <w:tcPr>
            <w:tcW w:w="4926" w:type="dxa"/>
            <w:vAlign w:val="center"/>
          </w:tcPr>
          <w:p w:rsidR="00885D14" w:rsidRPr="00D25B44" w:rsidRDefault="00885D14" w:rsidP="006446CA">
            <w:pPr>
              <w:pStyle w:val="Default"/>
              <w:jc w:val="center"/>
              <w:rPr>
                <w:rFonts w:ascii="Calibri" w:hAnsi="Calibri"/>
                <w:b/>
              </w:rPr>
            </w:pPr>
            <w:r w:rsidRPr="00D25B44">
              <w:rPr>
                <w:rFonts w:ascii="Calibri" w:hAnsi="Calibri"/>
                <w:b/>
              </w:rPr>
              <w:t>Position ouverte isolée (instrument</w:t>
            </w:r>
            <w:r w:rsidR="000934BB" w:rsidRPr="00D25B44">
              <w:rPr>
                <w:rFonts w:ascii="Calibri" w:hAnsi="Calibri"/>
                <w:b/>
              </w:rPr>
              <w:t>s</w:t>
            </w:r>
            <w:r w:rsidRPr="00D25B44">
              <w:rPr>
                <w:rFonts w:ascii="Calibri" w:hAnsi="Calibri"/>
                <w:b/>
              </w:rPr>
              <w:t xml:space="preserve"> dérivé</w:t>
            </w:r>
            <w:r w:rsidR="000934BB" w:rsidRPr="00D25B44">
              <w:rPr>
                <w:rFonts w:ascii="Calibri" w:hAnsi="Calibri"/>
                <w:b/>
              </w:rPr>
              <w:t>s</w:t>
            </w:r>
            <w:r w:rsidRPr="00D25B44">
              <w:rPr>
                <w:rFonts w:ascii="Calibri" w:hAnsi="Calibri"/>
                <w:b/>
              </w:rPr>
              <w:t xml:space="preserve"> non utilisé</w:t>
            </w:r>
            <w:r w:rsidR="000934BB" w:rsidRPr="00D25B44">
              <w:rPr>
                <w:rFonts w:ascii="Calibri" w:hAnsi="Calibri"/>
                <w:b/>
              </w:rPr>
              <w:t>s</w:t>
            </w:r>
            <w:r w:rsidRPr="00D25B44">
              <w:rPr>
                <w:rFonts w:ascii="Calibri" w:hAnsi="Calibri"/>
                <w:b/>
              </w:rPr>
              <w:t xml:space="preserve"> comme </w:t>
            </w:r>
            <w:r w:rsidR="000934BB" w:rsidRPr="00D25B44">
              <w:rPr>
                <w:rFonts w:ascii="Calibri" w:hAnsi="Calibri"/>
                <w:b/>
              </w:rPr>
              <w:t>opération de couverture)</w:t>
            </w:r>
            <w:r w:rsidR="0016030A" w:rsidRPr="00D25B44">
              <w:rPr>
                <w:rFonts w:ascii="Calibri" w:hAnsi="Calibri"/>
                <w:b/>
              </w:rPr>
              <w:t xml:space="preserve"> </w:t>
            </w:r>
            <w:r w:rsidR="0016030A" w:rsidRPr="00D25B44">
              <w:rPr>
                <w:rFonts w:ascii="Calibri" w:hAnsi="Calibri"/>
                <w:b/>
              </w:rPr>
              <w:sym w:font="Wingdings" w:char="F0E8"/>
            </w:r>
            <w:r w:rsidR="0016030A" w:rsidRPr="00D25B44">
              <w:rPr>
                <w:rFonts w:ascii="Calibri" w:hAnsi="Calibri"/>
                <w:b/>
              </w:rPr>
              <w:t xml:space="preserve"> but de spéculation</w:t>
            </w:r>
          </w:p>
        </w:tc>
      </w:tr>
      <w:tr w:rsidR="00885D14" w:rsidTr="00D25B44">
        <w:trPr>
          <w:trHeight w:val="1982"/>
        </w:trPr>
        <w:tc>
          <w:tcPr>
            <w:tcW w:w="2093" w:type="dxa"/>
            <w:vAlign w:val="center"/>
          </w:tcPr>
          <w:p w:rsidR="00885D14" w:rsidRPr="00D25B44" w:rsidRDefault="000934BB" w:rsidP="006446CA">
            <w:pPr>
              <w:pStyle w:val="Default"/>
              <w:jc w:val="center"/>
              <w:rPr>
                <w:rFonts w:ascii="Calibri" w:hAnsi="Calibri"/>
              </w:rPr>
            </w:pPr>
            <w:r w:rsidRPr="00D25B44">
              <w:rPr>
                <w:rFonts w:ascii="Calibri" w:hAnsi="Calibri"/>
              </w:rPr>
              <w:t>Quel que soit le marché (gré à gré</w:t>
            </w:r>
            <w:r w:rsidR="00B621EC" w:rsidRPr="00D25B44">
              <w:rPr>
                <w:rStyle w:val="Appelnotedebasdep"/>
                <w:rFonts w:ascii="Calibri" w:hAnsi="Calibri"/>
              </w:rPr>
              <w:footnoteReference w:id="1"/>
            </w:r>
            <w:r w:rsidRPr="00D25B44">
              <w:rPr>
                <w:rFonts w:ascii="Calibri" w:hAnsi="Calibri"/>
              </w:rPr>
              <w:t xml:space="preserve"> ou marché organisé</w:t>
            </w:r>
            <w:r w:rsidR="00B621EC" w:rsidRPr="00D25B44">
              <w:rPr>
                <w:rStyle w:val="Appelnotedebasdep"/>
                <w:rFonts w:ascii="Calibri" w:hAnsi="Calibri"/>
              </w:rPr>
              <w:footnoteReference w:id="2"/>
            </w:r>
            <w:r w:rsidRPr="00D25B44">
              <w:rPr>
                <w:rFonts w:ascii="Calibri" w:hAnsi="Calibri"/>
              </w:rPr>
              <w:t>)</w:t>
            </w:r>
          </w:p>
        </w:tc>
        <w:tc>
          <w:tcPr>
            <w:tcW w:w="2835" w:type="dxa"/>
            <w:vAlign w:val="center"/>
          </w:tcPr>
          <w:p w:rsidR="00885D14" w:rsidRPr="00D25B44" w:rsidRDefault="000934BB" w:rsidP="006446CA">
            <w:pPr>
              <w:pStyle w:val="Default"/>
              <w:jc w:val="center"/>
              <w:rPr>
                <w:rFonts w:ascii="Calibri" w:hAnsi="Calibri"/>
              </w:rPr>
            </w:pPr>
            <w:r w:rsidRPr="00D25B44">
              <w:rPr>
                <w:rFonts w:ascii="Calibri" w:hAnsi="Calibri"/>
              </w:rPr>
              <w:t>Enregistrement dans le compte de résultat, en symétrie avec l’élément couvert</w:t>
            </w:r>
            <w:r w:rsidR="00F21B4F" w:rsidRPr="00D25B44">
              <w:rPr>
                <w:rFonts w:ascii="Calibri" w:hAnsi="Calibri"/>
              </w:rPr>
              <w:t xml:space="preserve"> (</w:t>
            </w:r>
            <w:r w:rsidR="00FD5B34" w:rsidRPr="00D25B44">
              <w:rPr>
                <w:rFonts w:ascii="Calibri" w:hAnsi="Calibri"/>
              </w:rPr>
              <w:t>PCG, a</w:t>
            </w:r>
            <w:r w:rsidR="00F21B4F" w:rsidRPr="00D25B44">
              <w:rPr>
                <w:rFonts w:ascii="Calibri" w:hAnsi="Calibri"/>
              </w:rPr>
              <w:t>rt. 628-11).</w:t>
            </w:r>
          </w:p>
        </w:tc>
        <w:tc>
          <w:tcPr>
            <w:tcW w:w="4926" w:type="dxa"/>
            <w:vAlign w:val="center"/>
          </w:tcPr>
          <w:p w:rsidR="00885D14" w:rsidRPr="00D25B44" w:rsidRDefault="000934BB" w:rsidP="006446CA">
            <w:pPr>
              <w:pStyle w:val="Default"/>
              <w:jc w:val="center"/>
              <w:rPr>
                <w:rFonts w:ascii="Calibri" w:hAnsi="Calibri"/>
              </w:rPr>
            </w:pPr>
            <w:r w:rsidRPr="00D25B44">
              <w:rPr>
                <w:rFonts w:ascii="Calibri" w:hAnsi="Calibri"/>
              </w:rPr>
              <w:t>Enregistrement au bilan des variations de valeur et provisionnement des moins-values latentes</w:t>
            </w:r>
            <w:r w:rsidR="00F21B4F" w:rsidRPr="00D25B44">
              <w:rPr>
                <w:rFonts w:ascii="Calibri" w:hAnsi="Calibri"/>
              </w:rPr>
              <w:t xml:space="preserve"> (</w:t>
            </w:r>
            <w:r w:rsidR="00FD5B34" w:rsidRPr="00D25B44">
              <w:rPr>
                <w:rFonts w:ascii="Calibri" w:hAnsi="Calibri"/>
              </w:rPr>
              <w:t>PCG, a</w:t>
            </w:r>
            <w:r w:rsidR="00F21B4F" w:rsidRPr="00D25B44">
              <w:rPr>
                <w:rFonts w:ascii="Calibri" w:hAnsi="Calibri"/>
              </w:rPr>
              <w:t>rt. 628-18).</w:t>
            </w:r>
          </w:p>
        </w:tc>
      </w:tr>
    </w:tbl>
    <w:p w:rsidR="00885D14" w:rsidRDefault="00885D14" w:rsidP="006446CA">
      <w:pPr>
        <w:pStyle w:val="Default"/>
        <w:jc w:val="both"/>
        <w:rPr>
          <w:rFonts w:ascii="Calibri" w:hAnsi="Calibri"/>
          <w:sz w:val="2"/>
          <w:szCs w:val="2"/>
        </w:rPr>
      </w:pPr>
    </w:p>
    <w:p w:rsidR="00D25B44" w:rsidRDefault="00D25B44" w:rsidP="006446CA">
      <w:pPr>
        <w:pStyle w:val="Default"/>
        <w:jc w:val="both"/>
        <w:rPr>
          <w:rFonts w:ascii="Calibri" w:hAnsi="Calibri"/>
          <w:sz w:val="2"/>
          <w:szCs w:val="2"/>
        </w:rPr>
      </w:pPr>
    </w:p>
    <w:p w:rsidR="00D25B44" w:rsidRDefault="00D25B44" w:rsidP="006446CA">
      <w:pPr>
        <w:pStyle w:val="Default"/>
        <w:jc w:val="both"/>
        <w:rPr>
          <w:rFonts w:ascii="Calibri" w:hAnsi="Calibri"/>
          <w:sz w:val="2"/>
          <w:szCs w:val="2"/>
        </w:rPr>
      </w:pPr>
    </w:p>
    <w:p w:rsidR="00D25B44" w:rsidRPr="00EC618C" w:rsidRDefault="00D25B44" w:rsidP="006446CA">
      <w:pPr>
        <w:pStyle w:val="Default"/>
        <w:jc w:val="both"/>
        <w:rPr>
          <w:rFonts w:ascii="Calibri" w:hAnsi="Calibri"/>
          <w:sz w:val="2"/>
          <w:szCs w:val="2"/>
        </w:rPr>
      </w:pPr>
    </w:p>
    <w:p w:rsidR="00271430" w:rsidRPr="00271430" w:rsidRDefault="00E72A2D" w:rsidP="00271430">
      <w:pPr>
        <w:pStyle w:val="Default"/>
        <w:jc w:val="both"/>
        <w:rPr>
          <w:rFonts w:ascii="Calibri" w:hAnsi="Calibri"/>
        </w:rPr>
      </w:pPr>
      <w:r>
        <w:rPr>
          <w:rFonts w:ascii="Calibri" w:hAnsi="Calibri"/>
        </w:rPr>
        <w:t>Nous parlerons dans cette note</w:t>
      </w:r>
      <w:r w:rsidR="00690AEC">
        <w:rPr>
          <w:rFonts w:ascii="Calibri" w:hAnsi="Calibri"/>
        </w:rPr>
        <w:t xml:space="preserve"> uniquement</w:t>
      </w:r>
      <w:r w:rsidR="00054EDC">
        <w:rPr>
          <w:rFonts w:ascii="Calibri" w:hAnsi="Calibri"/>
        </w:rPr>
        <w:t xml:space="preserve"> </w:t>
      </w:r>
      <w:r>
        <w:rPr>
          <w:rFonts w:ascii="Calibri" w:hAnsi="Calibri"/>
        </w:rPr>
        <w:t xml:space="preserve">des opérations en </w:t>
      </w:r>
      <w:r w:rsidR="006E0DC6">
        <w:rPr>
          <w:rFonts w:ascii="Calibri" w:hAnsi="Calibri"/>
        </w:rPr>
        <w:t>devises</w:t>
      </w:r>
      <w:r w:rsidR="00660343">
        <w:rPr>
          <w:rFonts w:ascii="Calibri" w:hAnsi="Calibri"/>
        </w:rPr>
        <w:t xml:space="preserve"> et du risque de change.</w:t>
      </w:r>
      <w:r w:rsidR="00271430">
        <w:rPr>
          <w:rFonts w:ascii="Calibri" w:hAnsi="Calibri"/>
          <w:b/>
          <w:sz w:val="32"/>
        </w:rPr>
        <w:br w:type="page"/>
      </w:r>
    </w:p>
    <w:p w:rsidR="00246FFC" w:rsidRPr="00246FFC" w:rsidRDefault="00E94C31" w:rsidP="006446CA">
      <w:pPr>
        <w:pStyle w:val="Default"/>
        <w:jc w:val="both"/>
        <w:rPr>
          <w:rFonts w:ascii="Calibri" w:hAnsi="Calibri"/>
          <w:b/>
          <w:sz w:val="32"/>
        </w:rPr>
      </w:pPr>
      <w:r>
        <w:rPr>
          <w:rFonts w:ascii="Calibri" w:hAnsi="Calibri"/>
          <w:b/>
          <w:sz w:val="32"/>
        </w:rPr>
        <w:lastRenderedPageBreak/>
        <w:t>2</w:t>
      </w:r>
      <w:r w:rsidRPr="003F3340">
        <w:rPr>
          <w:rFonts w:ascii="Calibri" w:hAnsi="Calibri"/>
          <w:b/>
          <w:sz w:val="36"/>
        </w:rPr>
        <w:t xml:space="preserve">. </w:t>
      </w:r>
      <w:r w:rsidR="00246FFC" w:rsidRPr="003F3340">
        <w:rPr>
          <w:rFonts w:ascii="Calibri" w:hAnsi="Calibri"/>
          <w:b/>
          <w:sz w:val="36"/>
        </w:rPr>
        <w:t xml:space="preserve">Les opérations en </w:t>
      </w:r>
      <w:r w:rsidR="00E7050D">
        <w:rPr>
          <w:rFonts w:ascii="Calibri" w:hAnsi="Calibri"/>
          <w:b/>
          <w:sz w:val="36"/>
        </w:rPr>
        <w:t>devises</w:t>
      </w:r>
      <w:r w:rsidR="00246FFC" w:rsidRPr="003F3340">
        <w:rPr>
          <w:rFonts w:ascii="Calibri" w:hAnsi="Calibri"/>
          <w:b/>
          <w:sz w:val="36"/>
        </w:rPr>
        <w:t xml:space="preserve"> étrangères sans couverture</w:t>
      </w:r>
    </w:p>
    <w:p w:rsidR="00E72A2D" w:rsidRDefault="00E72A2D" w:rsidP="006446CA">
      <w:pPr>
        <w:pStyle w:val="Default"/>
        <w:jc w:val="both"/>
        <w:rPr>
          <w:rFonts w:ascii="Calibri" w:hAnsi="Calibri"/>
        </w:rPr>
      </w:pPr>
      <w:r>
        <w:rPr>
          <w:rFonts w:ascii="Calibri" w:hAnsi="Calibri"/>
        </w:rPr>
        <w:t xml:space="preserve">Le nouveau règlement </w:t>
      </w:r>
      <w:r w:rsidRPr="005F55A2">
        <w:rPr>
          <w:rFonts w:ascii="Calibri" w:hAnsi="Calibri"/>
          <w:b/>
        </w:rPr>
        <w:t>ne modifie pas le traitement comptable</w:t>
      </w:r>
      <w:r>
        <w:rPr>
          <w:rFonts w:ascii="Calibri" w:hAnsi="Calibri"/>
        </w:rPr>
        <w:t xml:space="preserve"> général</w:t>
      </w:r>
      <w:r w:rsidR="00054EDC">
        <w:rPr>
          <w:rFonts w:ascii="Calibri" w:hAnsi="Calibri"/>
        </w:rPr>
        <w:t xml:space="preserve"> </w:t>
      </w:r>
      <w:r>
        <w:rPr>
          <w:rFonts w:ascii="Calibri" w:hAnsi="Calibri"/>
        </w:rPr>
        <w:t xml:space="preserve">des opérations en </w:t>
      </w:r>
      <w:r w:rsidR="00E7050D">
        <w:rPr>
          <w:rFonts w:ascii="Calibri" w:hAnsi="Calibri"/>
        </w:rPr>
        <w:t>devises</w:t>
      </w:r>
      <w:r>
        <w:rPr>
          <w:rFonts w:ascii="Calibri" w:hAnsi="Calibri"/>
        </w:rPr>
        <w:t xml:space="preserve"> étrangères, cependant</w:t>
      </w:r>
      <w:r w:rsidR="00FE384A">
        <w:rPr>
          <w:rFonts w:ascii="Calibri" w:hAnsi="Calibri"/>
        </w:rPr>
        <w:t>,</w:t>
      </w:r>
      <w:r>
        <w:rPr>
          <w:rFonts w:ascii="Calibri" w:hAnsi="Calibri"/>
        </w:rPr>
        <w:t xml:space="preserve"> </w:t>
      </w:r>
      <w:r w:rsidRPr="005F55A2">
        <w:rPr>
          <w:rFonts w:ascii="Calibri" w:hAnsi="Calibri"/>
          <w:b/>
        </w:rPr>
        <w:t>il lui apporte quelques modifications</w:t>
      </w:r>
      <w:r>
        <w:rPr>
          <w:rFonts w:ascii="Calibri" w:hAnsi="Calibri"/>
        </w:rPr>
        <w:t>. Le traitement actualisé est résumé dans le tableau ci-dessous :</w:t>
      </w:r>
    </w:p>
    <w:p w:rsidR="00690AEC" w:rsidRPr="004C304E" w:rsidRDefault="00690AEC" w:rsidP="006446CA">
      <w:pPr>
        <w:pStyle w:val="Default"/>
        <w:jc w:val="both"/>
        <w:rPr>
          <w:rFonts w:ascii="Calibri" w:hAnsi="Calibri"/>
          <w:sz w:val="10"/>
          <w:szCs w:val="10"/>
        </w:rPr>
      </w:pPr>
    </w:p>
    <w:tbl>
      <w:tblPr>
        <w:tblStyle w:val="Grilledutableau"/>
        <w:tblW w:w="9209" w:type="dxa"/>
        <w:tblLook w:val="04A0"/>
      </w:tblPr>
      <w:tblGrid>
        <w:gridCol w:w="2376"/>
        <w:gridCol w:w="6833"/>
      </w:tblGrid>
      <w:tr w:rsidR="00E72A2D" w:rsidTr="004C304E">
        <w:tc>
          <w:tcPr>
            <w:tcW w:w="2376" w:type="dxa"/>
            <w:vAlign w:val="center"/>
          </w:tcPr>
          <w:p w:rsidR="00E72A2D" w:rsidRPr="00246FFC" w:rsidRDefault="00A93D8F" w:rsidP="00807C25">
            <w:pPr>
              <w:pStyle w:val="Default"/>
              <w:jc w:val="center"/>
              <w:rPr>
                <w:rFonts w:ascii="Calibri" w:hAnsi="Calibri"/>
                <w:b/>
              </w:rPr>
            </w:pPr>
            <w:r w:rsidRPr="00246FFC">
              <w:rPr>
                <w:rFonts w:ascii="Calibri" w:hAnsi="Calibri"/>
                <w:b/>
              </w:rPr>
              <w:t xml:space="preserve">Créances et dettes en </w:t>
            </w:r>
            <w:r w:rsidR="009A4DE0">
              <w:rPr>
                <w:rFonts w:ascii="Calibri" w:hAnsi="Calibri"/>
                <w:b/>
              </w:rPr>
              <w:t>devises</w:t>
            </w:r>
            <w:r w:rsidRPr="00246FFC">
              <w:rPr>
                <w:rFonts w:ascii="Calibri" w:hAnsi="Calibri"/>
                <w:b/>
              </w:rPr>
              <w:t xml:space="preserve"> étrangères</w:t>
            </w:r>
          </w:p>
        </w:tc>
        <w:tc>
          <w:tcPr>
            <w:tcW w:w="6833" w:type="dxa"/>
            <w:vAlign w:val="center"/>
          </w:tcPr>
          <w:p w:rsidR="00E72A2D" w:rsidRPr="00246FFC" w:rsidRDefault="00A93D8F" w:rsidP="00807C25">
            <w:pPr>
              <w:pStyle w:val="Default"/>
              <w:jc w:val="center"/>
              <w:rPr>
                <w:rFonts w:ascii="Calibri" w:hAnsi="Calibri"/>
                <w:b/>
              </w:rPr>
            </w:pPr>
            <w:r w:rsidRPr="00246FFC">
              <w:rPr>
                <w:rFonts w:ascii="Calibri" w:hAnsi="Calibri"/>
                <w:b/>
              </w:rPr>
              <w:t>Traitement comptable</w:t>
            </w:r>
          </w:p>
        </w:tc>
      </w:tr>
      <w:tr w:rsidR="00E72A2D" w:rsidTr="004C304E">
        <w:trPr>
          <w:trHeight w:val="760"/>
        </w:trPr>
        <w:tc>
          <w:tcPr>
            <w:tcW w:w="2376" w:type="dxa"/>
            <w:vAlign w:val="center"/>
          </w:tcPr>
          <w:p w:rsidR="00E72A2D" w:rsidRDefault="00DA78EB" w:rsidP="00807C25">
            <w:pPr>
              <w:pStyle w:val="Default"/>
              <w:jc w:val="center"/>
              <w:rPr>
                <w:rFonts w:ascii="Calibri" w:hAnsi="Calibri"/>
              </w:rPr>
            </w:pPr>
            <w:r>
              <w:rPr>
                <w:rFonts w:ascii="Calibri" w:hAnsi="Calibri"/>
              </w:rPr>
              <w:t xml:space="preserve">À </w:t>
            </w:r>
            <w:r w:rsidR="00A93D8F">
              <w:rPr>
                <w:rFonts w:ascii="Calibri" w:hAnsi="Calibri"/>
              </w:rPr>
              <w:t>leur date d’entrée dans le patrimoine</w:t>
            </w:r>
          </w:p>
        </w:tc>
        <w:tc>
          <w:tcPr>
            <w:tcW w:w="6833" w:type="dxa"/>
            <w:vAlign w:val="center"/>
          </w:tcPr>
          <w:p w:rsidR="00E72A2D" w:rsidRDefault="00A93D8F" w:rsidP="00807C25">
            <w:pPr>
              <w:pStyle w:val="Default"/>
              <w:jc w:val="both"/>
              <w:rPr>
                <w:rFonts w:ascii="Calibri" w:hAnsi="Calibri"/>
              </w:rPr>
            </w:pPr>
            <w:r>
              <w:rPr>
                <w:rFonts w:ascii="Calibri" w:hAnsi="Calibri"/>
              </w:rPr>
              <w:t>Elles sont converties et comptabilisées en euros, sur la base du dernier cours de change (« cours spot »)</w:t>
            </w:r>
          </w:p>
        </w:tc>
      </w:tr>
      <w:tr w:rsidR="00E72A2D" w:rsidTr="004C304E">
        <w:trPr>
          <w:trHeight w:val="2401"/>
        </w:trPr>
        <w:tc>
          <w:tcPr>
            <w:tcW w:w="2376" w:type="dxa"/>
            <w:vAlign w:val="center"/>
          </w:tcPr>
          <w:p w:rsidR="00E72A2D" w:rsidRDefault="00DA78EB" w:rsidP="00807C25">
            <w:pPr>
              <w:pStyle w:val="Default"/>
              <w:jc w:val="center"/>
              <w:rPr>
                <w:rFonts w:ascii="Calibri" w:hAnsi="Calibri"/>
              </w:rPr>
            </w:pPr>
            <w:r>
              <w:rPr>
                <w:rFonts w:ascii="Calibri" w:hAnsi="Calibri"/>
              </w:rPr>
              <w:t xml:space="preserve">À </w:t>
            </w:r>
            <w:r w:rsidR="00690AEC">
              <w:rPr>
                <w:rFonts w:ascii="Calibri" w:hAnsi="Calibri"/>
              </w:rPr>
              <w:t>l’arrêté des comptes</w:t>
            </w:r>
          </w:p>
        </w:tc>
        <w:tc>
          <w:tcPr>
            <w:tcW w:w="6833" w:type="dxa"/>
            <w:vAlign w:val="center"/>
          </w:tcPr>
          <w:p w:rsidR="00E72A2D" w:rsidRDefault="00A93D8F" w:rsidP="00807C25">
            <w:pPr>
              <w:pStyle w:val="Default"/>
              <w:numPr>
                <w:ilvl w:val="0"/>
                <w:numId w:val="1"/>
              </w:numPr>
              <w:jc w:val="both"/>
              <w:rPr>
                <w:rFonts w:ascii="Calibri" w:hAnsi="Calibri"/>
              </w:rPr>
            </w:pPr>
            <w:r>
              <w:rPr>
                <w:rFonts w:ascii="Calibri" w:hAnsi="Calibri"/>
              </w:rPr>
              <w:t>Elles sont converties au cours de clôture en contrepartie de comptes d’écarts de conversion au bilan (comptes</w:t>
            </w:r>
            <w:r w:rsidR="00A6394D">
              <w:rPr>
                <w:rFonts w:ascii="Calibri" w:hAnsi="Calibri"/>
              </w:rPr>
              <w:t> </w:t>
            </w:r>
            <w:r>
              <w:rPr>
                <w:rFonts w:ascii="Calibri" w:hAnsi="Calibri"/>
              </w:rPr>
              <w:t>476 différences de conversion-Actif et 477 différences de conversion-Passif) ;</w:t>
            </w:r>
          </w:p>
          <w:p w:rsidR="00807C25" w:rsidRPr="00807C25" w:rsidRDefault="00807C25" w:rsidP="00807C25">
            <w:pPr>
              <w:pStyle w:val="Default"/>
              <w:ind w:left="720"/>
              <w:jc w:val="both"/>
              <w:rPr>
                <w:rFonts w:ascii="Calibri" w:hAnsi="Calibri"/>
                <w:sz w:val="10"/>
                <w:szCs w:val="10"/>
              </w:rPr>
            </w:pPr>
          </w:p>
          <w:p w:rsidR="00A93D8F" w:rsidRDefault="00A93D8F" w:rsidP="00807C25">
            <w:pPr>
              <w:pStyle w:val="Default"/>
              <w:numPr>
                <w:ilvl w:val="0"/>
                <w:numId w:val="1"/>
              </w:numPr>
              <w:jc w:val="both"/>
              <w:rPr>
                <w:rFonts w:ascii="Calibri" w:hAnsi="Calibri"/>
              </w:rPr>
            </w:pPr>
            <w:r>
              <w:rPr>
                <w:rFonts w:ascii="Calibri" w:hAnsi="Calibri"/>
              </w:rPr>
              <w:t>Les écarts de conversion actifs (les pertes latentes) sont provisionnés (compte</w:t>
            </w:r>
            <w:r w:rsidR="00A6394D">
              <w:rPr>
                <w:rFonts w:ascii="Calibri" w:hAnsi="Calibri"/>
              </w:rPr>
              <w:t> </w:t>
            </w:r>
            <w:r>
              <w:rPr>
                <w:rFonts w:ascii="Calibri" w:hAnsi="Calibri"/>
              </w:rPr>
              <w:t>1515 Provision pour perte de chang</w:t>
            </w:r>
            <w:r w:rsidR="00807C25">
              <w:rPr>
                <w:rFonts w:ascii="Calibri" w:hAnsi="Calibri"/>
              </w:rPr>
              <w:t>e) en</w:t>
            </w:r>
            <w:r>
              <w:rPr>
                <w:rFonts w:ascii="Calibri" w:hAnsi="Calibri"/>
              </w:rPr>
              <w:t xml:space="preserve"> l’absence de couverture.</w:t>
            </w:r>
          </w:p>
        </w:tc>
      </w:tr>
      <w:tr w:rsidR="00E72A2D" w:rsidTr="004C304E">
        <w:trPr>
          <w:trHeight w:val="4391"/>
        </w:trPr>
        <w:tc>
          <w:tcPr>
            <w:tcW w:w="2376" w:type="dxa"/>
            <w:vAlign w:val="center"/>
          </w:tcPr>
          <w:p w:rsidR="00E72A2D" w:rsidRDefault="005D7B3C" w:rsidP="00807C25">
            <w:pPr>
              <w:pStyle w:val="Default"/>
              <w:jc w:val="center"/>
              <w:rPr>
                <w:rFonts w:ascii="Calibri" w:hAnsi="Calibri"/>
              </w:rPr>
            </w:pPr>
            <w:r>
              <w:rPr>
                <w:rFonts w:ascii="Calibri" w:hAnsi="Calibri"/>
              </w:rPr>
              <w:t>Au règlement et au paiement</w:t>
            </w:r>
          </w:p>
        </w:tc>
        <w:tc>
          <w:tcPr>
            <w:tcW w:w="6833" w:type="dxa"/>
            <w:vAlign w:val="center"/>
          </w:tcPr>
          <w:p w:rsidR="00E72A2D" w:rsidRDefault="005D7B3C" w:rsidP="00807C25">
            <w:pPr>
              <w:pStyle w:val="Default"/>
              <w:jc w:val="both"/>
              <w:rPr>
                <w:rFonts w:ascii="Calibri" w:hAnsi="Calibri"/>
              </w:rPr>
            </w:pPr>
            <w:r>
              <w:rPr>
                <w:rFonts w:ascii="Calibri" w:hAnsi="Calibri"/>
              </w:rPr>
              <w:t xml:space="preserve">Le résultat de change (gain ou perte réalisé) est enregistré </w:t>
            </w:r>
            <w:r w:rsidRPr="00246FFC">
              <w:rPr>
                <w:rFonts w:ascii="Calibri" w:hAnsi="Calibri"/>
                <w:b/>
              </w:rPr>
              <w:t>en résultat d’exploitation ou en résultat financier</w:t>
            </w:r>
            <w:r>
              <w:rPr>
                <w:rFonts w:ascii="Calibri" w:hAnsi="Calibri"/>
              </w:rPr>
              <w:t>, en fonction de la nature des opérations l’</w:t>
            </w:r>
            <w:r w:rsidR="00246FFC">
              <w:rPr>
                <w:rFonts w:ascii="Calibri" w:hAnsi="Calibri"/>
              </w:rPr>
              <w:t>ayant généré :</w:t>
            </w:r>
          </w:p>
          <w:p w:rsidR="00807C25" w:rsidRPr="00807C25" w:rsidRDefault="00807C25" w:rsidP="00807C25">
            <w:pPr>
              <w:pStyle w:val="Default"/>
              <w:jc w:val="both"/>
              <w:rPr>
                <w:rFonts w:ascii="Calibri" w:hAnsi="Calibri"/>
                <w:sz w:val="10"/>
                <w:szCs w:val="10"/>
              </w:rPr>
            </w:pPr>
          </w:p>
          <w:p w:rsidR="00246FFC" w:rsidRDefault="00246FFC" w:rsidP="00807C25">
            <w:pPr>
              <w:pStyle w:val="Default"/>
              <w:numPr>
                <w:ilvl w:val="0"/>
                <w:numId w:val="1"/>
              </w:numPr>
              <w:jc w:val="both"/>
              <w:rPr>
                <w:rFonts w:ascii="Calibri" w:hAnsi="Calibri"/>
              </w:rPr>
            </w:pPr>
            <w:r>
              <w:rPr>
                <w:rFonts w:ascii="Calibri" w:hAnsi="Calibri"/>
              </w:rPr>
              <w:t>Le résultat de change sur les créances et les dettes commerciales est enregistré en résultat d’exploitation, dans les comptes</w:t>
            </w:r>
            <w:r w:rsidR="00A6394D">
              <w:rPr>
                <w:rFonts w:ascii="Calibri" w:hAnsi="Calibri"/>
              </w:rPr>
              <w:t> </w:t>
            </w:r>
            <w:r w:rsidRPr="00581962">
              <w:rPr>
                <w:rFonts w:ascii="Calibri" w:hAnsi="Calibri"/>
                <w:b/>
              </w:rPr>
              <w:t>656</w:t>
            </w:r>
            <w:r w:rsidR="00C610E0">
              <w:rPr>
                <w:rStyle w:val="Appelnotedebasdep"/>
                <w:rFonts w:ascii="Calibri" w:hAnsi="Calibri"/>
                <w:b/>
              </w:rPr>
              <w:footnoteReference w:id="3"/>
            </w:r>
            <w:r w:rsidRPr="00581962">
              <w:rPr>
                <w:rFonts w:ascii="Calibri" w:hAnsi="Calibri"/>
                <w:b/>
              </w:rPr>
              <w:t xml:space="preserve"> </w:t>
            </w:r>
            <w:r w:rsidR="00FE384A">
              <w:rPr>
                <w:rFonts w:ascii="Calibri" w:hAnsi="Calibri"/>
                <w:b/>
              </w:rPr>
              <w:t>–</w:t>
            </w:r>
            <w:r w:rsidR="00FE384A" w:rsidRPr="00581962">
              <w:rPr>
                <w:rFonts w:ascii="Calibri" w:hAnsi="Calibri"/>
                <w:b/>
              </w:rPr>
              <w:t xml:space="preserve"> </w:t>
            </w:r>
            <w:r w:rsidRPr="00581962">
              <w:rPr>
                <w:rFonts w:ascii="Calibri" w:hAnsi="Calibri"/>
                <w:b/>
              </w:rPr>
              <w:t xml:space="preserve">Pertes de change sur créances et dettes commerciales et 756 </w:t>
            </w:r>
            <w:r w:rsidR="00FE384A">
              <w:rPr>
                <w:rFonts w:ascii="Calibri" w:hAnsi="Calibri"/>
                <w:b/>
              </w:rPr>
              <w:t>–</w:t>
            </w:r>
            <w:r w:rsidRPr="00581962">
              <w:rPr>
                <w:rFonts w:ascii="Calibri" w:hAnsi="Calibri"/>
                <w:b/>
              </w:rPr>
              <w:t xml:space="preserve"> Gains de change sur créances et dettes commerciales</w:t>
            </w:r>
            <w:r>
              <w:rPr>
                <w:rFonts w:ascii="Calibri" w:hAnsi="Calibri"/>
              </w:rPr>
              <w:t xml:space="preserve"> (PCG, art.</w:t>
            </w:r>
            <w:r w:rsidR="00A6394D">
              <w:rPr>
                <w:rFonts w:ascii="Calibri" w:hAnsi="Calibri"/>
              </w:rPr>
              <w:t> </w:t>
            </w:r>
            <w:r>
              <w:rPr>
                <w:rFonts w:ascii="Calibri" w:hAnsi="Calibri"/>
              </w:rPr>
              <w:t>932-1).</w:t>
            </w:r>
          </w:p>
          <w:p w:rsidR="00807C25" w:rsidRPr="00807C25" w:rsidRDefault="00807C25" w:rsidP="00807C25">
            <w:pPr>
              <w:pStyle w:val="Default"/>
              <w:ind w:left="720"/>
              <w:jc w:val="both"/>
              <w:rPr>
                <w:rFonts w:ascii="Calibri" w:hAnsi="Calibri"/>
                <w:sz w:val="10"/>
                <w:szCs w:val="10"/>
              </w:rPr>
            </w:pPr>
          </w:p>
          <w:p w:rsidR="00246FFC" w:rsidRDefault="00246FFC" w:rsidP="00807C25">
            <w:pPr>
              <w:pStyle w:val="Default"/>
              <w:numPr>
                <w:ilvl w:val="0"/>
                <w:numId w:val="1"/>
              </w:numPr>
              <w:jc w:val="both"/>
              <w:rPr>
                <w:rFonts w:ascii="Calibri" w:hAnsi="Calibri"/>
              </w:rPr>
            </w:pPr>
            <w:r>
              <w:rPr>
                <w:rFonts w:ascii="Calibri" w:hAnsi="Calibri"/>
              </w:rPr>
              <w:t xml:space="preserve">Les opérations ayant un caractère financier (emprunt bancaire en </w:t>
            </w:r>
            <w:r w:rsidR="009A4DE0">
              <w:rPr>
                <w:rFonts w:ascii="Calibri" w:hAnsi="Calibri"/>
              </w:rPr>
              <w:t>devises</w:t>
            </w:r>
            <w:r>
              <w:rPr>
                <w:rFonts w:ascii="Calibri" w:hAnsi="Calibri"/>
              </w:rPr>
              <w:t xml:space="preserve">, liquidités en </w:t>
            </w:r>
            <w:r w:rsidR="009A4DE0">
              <w:rPr>
                <w:rFonts w:ascii="Calibri" w:hAnsi="Calibri"/>
              </w:rPr>
              <w:t>devises</w:t>
            </w:r>
            <w:r>
              <w:rPr>
                <w:rFonts w:ascii="Calibri" w:hAnsi="Calibri"/>
              </w:rPr>
              <w:t xml:space="preserve">…) apparaissent en résultat financier, dans </w:t>
            </w:r>
            <w:r w:rsidRPr="00581962">
              <w:rPr>
                <w:rFonts w:ascii="Calibri" w:hAnsi="Calibri"/>
                <w:b/>
              </w:rPr>
              <w:t>les comptes</w:t>
            </w:r>
            <w:r w:rsidR="00A6394D">
              <w:rPr>
                <w:rFonts w:ascii="Calibri" w:hAnsi="Calibri"/>
                <w:b/>
              </w:rPr>
              <w:t> </w:t>
            </w:r>
            <w:r w:rsidRPr="00581962">
              <w:rPr>
                <w:rFonts w:ascii="Calibri" w:hAnsi="Calibri"/>
                <w:b/>
              </w:rPr>
              <w:t>666</w:t>
            </w:r>
            <w:r w:rsidR="00C610E0">
              <w:rPr>
                <w:rStyle w:val="Appelnotedebasdep"/>
                <w:rFonts w:ascii="Calibri" w:hAnsi="Calibri"/>
                <w:b/>
              </w:rPr>
              <w:footnoteReference w:id="4"/>
            </w:r>
            <w:r w:rsidRPr="00581962">
              <w:rPr>
                <w:rFonts w:ascii="Calibri" w:hAnsi="Calibri"/>
                <w:b/>
              </w:rPr>
              <w:t xml:space="preserve"> – Pertes de change financières</w:t>
            </w:r>
            <w:r w:rsidR="00FE384A">
              <w:rPr>
                <w:rFonts w:ascii="Calibri" w:hAnsi="Calibri"/>
                <w:b/>
              </w:rPr>
              <w:t> –</w:t>
            </w:r>
            <w:r w:rsidRPr="00581962">
              <w:rPr>
                <w:rFonts w:ascii="Calibri" w:hAnsi="Calibri"/>
                <w:b/>
              </w:rPr>
              <w:t xml:space="preserve"> et 766 – Gains de change financiers</w:t>
            </w:r>
            <w:r>
              <w:rPr>
                <w:rFonts w:ascii="Calibri" w:hAnsi="Calibri"/>
              </w:rPr>
              <w:t xml:space="preserve"> (PCG art.</w:t>
            </w:r>
            <w:r w:rsidR="00A6394D">
              <w:rPr>
                <w:rFonts w:ascii="Calibri" w:hAnsi="Calibri"/>
              </w:rPr>
              <w:t> </w:t>
            </w:r>
            <w:r>
              <w:rPr>
                <w:rFonts w:ascii="Calibri" w:hAnsi="Calibri"/>
              </w:rPr>
              <w:t>932-1)</w:t>
            </w:r>
            <w:r w:rsidR="00FE384A">
              <w:rPr>
                <w:rFonts w:ascii="Calibri" w:hAnsi="Calibri"/>
              </w:rPr>
              <w:t>.</w:t>
            </w:r>
          </w:p>
        </w:tc>
      </w:tr>
      <w:tr w:rsidR="00594970" w:rsidTr="004C304E">
        <w:tc>
          <w:tcPr>
            <w:tcW w:w="2376" w:type="dxa"/>
            <w:vAlign w:val="center"/>
          </w:tcPr>
          <w:p w:rsidR="00594970" w:rsidRPr="00594970" w:rsidRDefault="00594970" w:rsidP="00807C25">
            <w:pPr>
              <w:pStyle w:val="Default"/>
              <w:jc w:val="center"/>
              <w:rPr>
                <w:rFonts w:ascii="Calibri" w:hAnsi="Calibri"/>
                <w:b/>
              </w:rPr>
            </w:pPr>
            <w:r w:rsidRPr="00594970">
              <w:rPr>
                <w:rFonts w:ascii="Calibri" w:hAnsi="Calibri"/>
                <w:b/>
              </w:rPr>
              <w:t>Les liquidités en monnaies étrangères</w:t>
            </w:r>
          </w:p>
        </w:tc>
        <w:tc>
          <w:tcPr>
            <w:tcW w:w="6833" w:type="dxa"/>
            <w:vAlign w:val="center"/>
          </w:tcPr>
          <w:p w:rsidR="00594970" w:rsidRDefault="00594970" w:rsidP="00807C25">
            <w:pPr>
              <w:pStyle w:val="Default"/>
              <w:jc w:val="center"/>
              <w:rPr>
                <w:rFonts w:ascii="Calibri" w:hAnsi="Calibri"/>
              </w:rPr>
            </w:pPr>
            <w:r w:rsidRPr="00246FFC">
              <w:rPr>
                <w:rFonts w:ascii="Calibri" w:hAnsi="Calibri"/>
                <w:b/>
              </w:rPr>
              <w:t>Traitement comptable</w:t>
            </w:r>
          </w:p>
        </w:tc>
      </w:tr>
      <w:tr w:rsidR="00594970" w:rsidTr="004C304E">
        <w:trPr>
          <w:trHeight w:val="1231"/>
        </w:trPr>
        <w:tc>
          <w:tcPr>
            <w:tcW w:w="2376" w:type="dxa"/>
            <w:vAlign w:val="center"/>
          </w:tcPr>
          <w:p w:rsidR="00594970" w:rsidRPr="00594970" w:rsidRDefault="00DA78EB" w:rsidP="00807C25">
            <w:pPr>
              <w:pStyle w:val="Default"/>
              <w:jc w:val="center"/>
              <w:rPr>
                <w:rFonts w:ascii="Calibri" w:hAnsi="Calibri"/>
              </w:rPr>
            </w:pPr>
            <w:r>
              <w:rPr>
                <w:rFonts w:ascii="Calibri" w:hAnsi="Calibri"/>
              </w:rPr>
              <w:t>À</w:t>
            </w:r>
            <w:r w:rsidRPr="00594970">
              <w:rPr>
                <w:rFonts w:ascii="Calibri" w:hAnsi="Calibri"/>
              </w:rPr>
              <w:t xml:space="preserve"> </w:t>
            </w:r>
            <w:r w:rsidR="00594970" w:rsidRPr="00594970">
              <w:rPr>
                <w:rFonts w:ascii="Calibri" w:hAnsi="Calibri"/>
              </w:rPr>
              <w:t>l</w:t>
            </w:r>
            <w:r w:rsidR="00660343">
              <w:rPr>
                <w:rFonts w:ascii="Calibri" w:hAnsi="Calibri"/>
              </w:rPr>
              <w:t>’arrêté des comptes</w:t>
            </w:r>
          </w:p>
        </w:tc>
        <w:tc>
          <w:tcPr>
            <w:tcW w:w="6833" w:type="dxa"/>
            <w:vAlign w:val="center"/>
          </w:tcPr>
          <w:p w:rsidR="00594970" w:rsidRPr="00246FFC" w:rsidRDefault="00594970" w:rsidP="00807C25">
            <w:pPr>
              <w:pStyle w:val="Default"/>
              <w:jc w:val="both"/>
              <w:rPr>
                <w:rFonts w:ascii="Calibri" w:hAnsi="Calibri"/>
                <w:b/>
              </w:rPr>
            </w:pPr>
            <w:r w:rsidRPr="00594970">
              <w:rPr>
                <w:rFonts w:ascii="Calibri" w:hAnsi="Calibri"/>
              </w:rPr>
              <w:t>Elles sont converties au cours de clôture et tous les écarts de conversion (gains ou pertes latents) sont enregistrés en résultat financier, dans les comptes</w:t>
            </w:r>
            <w:r w:rsidR="00A6394D">
              <w:rPr>
                <w:rFonts w:ascii="Calibri" w:hAnsi="Calibri"/>
              </w:rPr>
              <w:t> </w:t>
            </w:r>
            <w:r w:rsidRPr="00594970">
              <w:rPr>
                <w:rFonts w:ascii="Calibri" w:hAnsi="Calibri"/>
              </w:rPr>
              <w:t>766 ou 666</w:t>
            </w:r>
            <w:r w:rsidR="00FD5B34">
              <w:rPr>
                <w:rFonts w:ascii="Calibri" w:hAnsi="Calibri"/>
              </w:rPr>
              <w:t xml:space="preserve"> (</w:t>
            </w:r>
            <w:r w:rsidR="00D67289">
              <w:rPr>
                <w:rFonts w:ascii="Calibri" w:hAnsi="Calibri"/>
              </w:rPr>
              <w:t>PCG, art. 420-7)</w:t>
            </w:r>
            <w:r w:rsidRPr="00594970">
              <w:rPr>
                <w:rFonts w:ascii="Calibri" w:hAnsi="Calibri"/>
              </w:rPr>
              <w:t>.</w:t>
            </w:r>
          </w:p>
        </w:tc>
      </w:tr>
      <w:tr w:rsidR="00594970" w:rsidTr="004C304E">
        <w:tc>
          <w:tcPr>
            <w:tcW w:w="2376" w:type="dxa"/>
            <w:vAlign w:val="center"/>
          </w:tcPr>
          <w:p w:rsidR="00594970" w:rsidRPr="00594970" w:rsidRDefault="00594970" w:rsidP="00807C25">
            <w:pPr>
              <w:pStyle w:val="Default"/>
              <w:jc w:val="center"/>
              <w:rPr>
                <w:rFonts w:ascii="Calibri" w:hAnsi="Calibri"/>
                <w:b/>
              </w:rPr>
            </w:pPr>
            <w:r w:rsidRPr="00594970">
              <w:rPr>
                <w:rFonts w:ascii="Calibri" w:hAnsi="Calibri"/>
                <w:b/>
              </w:rPr>
              <w:t xml:space="preserve">Les autres actifs ou passifs libellés en </w:t>
            </w:r>
            <w:r w:rsidR="009A4DE0">
              <w:rPr>
                <w:rFonts w:ascii="Calibri" w:hAnsi="Calibri"/>
                <w:b/>
              </w:rPr>
              <w:t>devises</w:t>
            </w:r>
            <w:r w:rsidRPr="00594970">
              <w:rPr>
                <w:rFonts w:ascii="Calibri" w:hAnsi="Calibri"/>
                <w:b/>
              </w:rPr>
              <w:t xml:space="preserve"> étrangères</w:t>
            </w:r>
          </w:p>
        </w:tc>
        <w:tc>
          <w:tcPr>
            <w:tcW w:w="6833" w:type="dxa"/>
            <w:vAlign w:val="center"/>
          </w:tcPr>
          <w:p w:rsidR="00594970" w:rsidRDefault="00594970" w:rsidP="00807C25">
            <w:pPr>
              <w:pStyle w:val="Default"/>
              <w:jc w:val="center"/>
              <w:rPr>
                <w:rFonts w:ascii="Calibri" w:hAnsi="Calibri"/>
              </w:rPr>
            </w:pPr>
            <w:r w:rsidRPr="00246FFC">
              <w:rPr>
                <w:rFonts w:ascii="Calibri" w:hAnsi="Calibri"/>
                <w:b/>
              </w:rPr>
              <w:t>Traitement comptable</w:t>
            </w:r>
          </w:p>
        </w:tc>
      </w:tr>
      <w:tr w:rsidR="00594970" w:rsidTr="004C304E">
        <w:tc>
          <w:tcPr>
            <w:tcW w:w="2376" w:type="dxa"/>
            <w:vAlign w:val="center"/>
          </w:tcPr>
          <w:p w:rsidR="00594970" w:rsidRPr="00594970" w:rsidRDefault="00DA78EB" w:rsidP="00807C25">
            <w:pPr>
              <w:pStyle w:val="Default"/>
              <w:jc w:val="center"/>
              <w:rPr>
                <w:rFonts w:ascii="Calibri" w:hAnsi="Calibri"/>
              </w:rPr>
            </w:pPr>
            <w:r>
              <w:rPr>
                <w:rFonts w:ascii="Calibri" w:hAnsi="Calibri"/>
              </w:rPr>
              <w:t xml:space="preserve">À </w:t>
            </w:r>
            <w:r w:rsidR="00594970">
              <w:rPr>
                <w:rFonts w:ascii="Calibri" w:hAnsi="Calibri"/>
              </w:rPr>
              <w:t>leur date d’entrée dans le patrimoine de l’entreprise</w:t>
            </w:r>
          </w:p>
        </w:tc>
        <w:tc>
          <w:tcPr>
            <w:tcW w:w="6833" w:type="dxa"/>
            <w:vAlign w:val="center"/>
          </w:tcPr>
          <w:p w:rsidR="00594970" w:rsidRPr="00594970" w:rsidRDefault="00594970" w:rsidP="00807C25">
            <w:pPr>
              <w:pStyle w:val="Default"/>
              <w:jc w:val="both"/>
              <w:rPr>
                <w:rFonts w:ascii="Calibri" w:hAnsi="Calibri"/>
              </w:rPr>
            </w:pPr>
            <w:r>
              <w:rPr>
                <w:rFonts w:ascii="Calibri" w:hAnsi="Calibri"/>
              </w:rPr>
              <w:t>Ils sont convertis et comptabilisés en euros, sur la base du dernier cours de change (« cours spot »)</w:t>
            </w:r>
            <w:r w:rsidR="00FE384A">
              <w:rPr>
                <w:rFonts w:ascii="Calibri" w:hAnsi="Calibri"/>
              </w:rPr>
              <w:t>.</w:t>
            </w:r>
          </w:p>
        </w:tc>
      </w:tr>
      <w:tr w:rsidR="00594970" w:rsidTr="004C304E">
        <w:trPr>
          <w:trHeight w:val="559"/>
        </w:trPr>
        <w:tc>
          <w:tcPr>
            <w:tcW w:w="2376" w:type="dxa"/>
          </w:tcPr>
          <w:p w:rsidR="00594970" w:rsidRDefault="00DA78EB" w:rsidP="00807C25">
            <w:pPr>
              <w:pStyle w:val="Default"/>
              <w:jc w:val="center"/>
              <w:rPr>
                <w:rFonts w:ascii="Calibri" w:hAnsi="Calibri"/>
              </w:rPr>
            </w:pPr>
            <w:r>
              <w:rPr>
                <w:rFonts w:ascii="Calibri" w:hAnsi="Calibri"/>
              </w:rPr>
              <w:t xml:space="preserve">À </w:t>
            </w:r>
            <w:r w:rsidR="00660343">
              <w:rPr>
                <w:rFonts w:ascii="Calibri" w:hAnsi="Calibri"/>
              </w:rPr>
              <w:t>l’arrêté des comptes</w:t>
            </w:r>
          </w:p>
        </w:tc>
        <w:tc>
          <w:tcPr>
            <w:tcW w:w="6833" w:type="dxa"/>
            <w:vAlign w:val="center"/>
          </w:tcPr>
          <w:p w:rsidR="00594970" w:rsidRDefault="00705DDA" w:rsidP="00807C25">
            <w:pPr>
              <w:pStyle w:val="Default"/>
              <w:jc w:val="both"/>
              <w:rPr>
                <w:rFonts w:ascii="Calibri" w:hAnsi="Calibri"/>
              </w:rPr>
            </w:pPr>
            <w:r>
              <w:rPr>
                <w:rFonts w:ascii="Calibri" w:hAnsi="Calibri"/>
              </w:rPr>
              <w:t xml:space="preserve">En vertu de l’application du principe du coût historique, </w:t>
            </w:r>
            <w:r w:rsidR="00594970">
              <w:rPr>
                <w:rFonts w:ascii="Calibri" w:hAnsi="Calibri"/>
              </w:rPr>
              <w:t>Ils ne sont pas réévalués au cours de clôture.</w:t>
            </w:r>
          </w:p>
        </w:tc>
      </w:tr>
    </w:tbl>
    <w:p w:rsidR="004C304E" w:rsidRPr="004C304E" w:rsidRDefault="004C304E">
      <w:pPr>
        <w:rPr>
          <w:rFonts w:ascii="Calibri" w:hAnsi="Calibri" w:cs="Times New Roman"/>
          <w:b/>
          <w:color w:val="000000"/>
          <w:sz w:val="2"/>
          <w:szCs w:val="2"/>
        </w:rPr>
      </w:pPr>
      <w:r w:rsidRPr="004C304E">
        <w:rPr>
          <w:rFonts w:ascii="Calibri" w:hAnsi="Calibri"/>
          <w:b/>
          <w:sz w:val="2"/>
          <w:szCs w:val="2"/>
        </w:rPr>
        <w:br w:type="page"/>
      </w:r>
    </w:p>
    <w:p w:rsidR="004A420C" w:rsidRDefault="004A420C" w:rsidP="006446CA">
      <w:pPr>
        <w:pStyle w:val="Default"/>
        <w:jc w:val="both"/>
        <w:rPr>
          <w:rFonts w:ascii="Calibri" w:hAnsi="Calibri"/>
        </w:rPr>
      </w:pPr>
      <w:r w:rsidRPr="004A420C">
        <w:rPr>
          <w:rFonts w:ascii="Calibri" w:hAnsi="Calibri"/>
          <w:b/>
        </w:rPr>
        <w:lastRenderedPageBreak/>
        <w:t>Exemple 1</w:t>
      </w:r>
      <w:r>
        <w:rPr>
          <w:rFonts w:ascii="Calibri" w:hAnsi="Calibri"/>
        </w:rPr>
        <w:t xml:space="preserve"> : </w:t>
      </w:r>
    </w:p>
    <w:p w:rsidR="000052B4" w:rsidRDefault="000052B4" w:rsidP="006446CA">
      <w:pPr>
        <w:pStyle w:val="Default"/>
        <w:jc w:val="both"/>
        <w:rPr>
          <w:rFonts w:ascii="Calibri" w:hAnsi="Calibri"/>
        </w:rPr>
      </w:pPr>
    </w:p>
    <w:p w:rsidR="004A420C" w:rsidRDefault="00370FD7" w:rsidP="006446CA">
      <w:pPr>
        <w:pStyle w:val="Default"/>
        <w:jc w:val="both"/>
        <w:rPr>
          <w:rFonts w:ascii="Calibri" w:hAnsi="Calibri"/>
        </w:rPr>
      </w:pPr>
      <w:r>
        <w:rPr>
          <w:rFonts w:ascii="Calibri" w:hAnsi="Calibri"/>
        </w:rPr>
        <w:t>La société française Alpha a reçu, le 15</w:t>
      </w:r>
      <w:r w:rsidR="00A6394D">
        <w:rPr>
          <w:rFonts w:ascii="Calibri" w:hAnsi="Calibri"/>
        </w:rPr>
        <w:t> </w:t>
      </w:r>
      <w:r>
        <w:rPr>
          <w:rFonts w:ascii="Calibri" w:hAnsi="Calibri"/>
        </w:rPr>
        <w:t>septembre N, de son fournisseur américain, une livraison de 350</w:t>
      </w:r>
      <w:r w:rsidR="00A6394D">
        <w:rPr>
          <w:rFonts w:ascii="Calibri" w:hAnsi="Calibri"/>
        </w:rPr>
        <w:t> </w:t>
      </w:r>
      <w:r>
        <w:rPr>
          <w:rFonts w:ascii="Calibri" w:hAnsi="Calibri"/>
        </w:rPr>
        <w:t>000</w:t>
      </w:r>
      <w:r w:rsidR="00A6394D">
        <w:rPr>
          <w:rFonts w:ascii="Calibri" w:hAnsi="Calibri"/>
        </w:rPr>
        <w:t> </w:t>
      </w:r>
      <w:r>
        <w:rPr>
          <w:rFonts w:ascii="Calibri" w:hAnsi="Calibri"/>
        </w:rPr>
        <w:t>dollars</w:t>
      </w:r>
      <w:r w:rsidR="009851BE">
        <w:rPr>
          <w:rFonts w:ascii="Calibri" w:hAnsi="Calibri"/>
        </w:rPr>
        <w:t xml:space="preserve"> (USD)</w:t>
      </w:r>
      <w:r>
        <w:rPr>
          <w:rFonts w:ascii="Calibri" w:hAnsi="Calibri"/>
        </w:rPr>
        <w:t xml:space="preserve"> de marchandises. La facture correspondante indique un règlement pour le 31</w:t>
      </w:r>
      <w:r w:rsidR="00A6394D">
        <w:rPr>
          <w:rFonts w:ascii="Calibri" w:hAnsi="Calibri"/>
        </w:rPr>
        <w:t> </w:t>
      </w:r>
      <w:r>
        <w:rPr>
          <w:rFonts w:ascii="Calibri" w:hAnsi="Calibri"/>
        </w:rPr>
        <w:t>janvier N+1. L’entreprise française clôture son exercice comptable le 31</w:t>
      </w:r>
      <w:r w:rsidR="00FE384A">
        <w:rPr>
          <w:rFonts w:ascii="Calibri" w:hAnsi="Calibri"/>
        </w:rPr>
        <w:t> </w:t>
      </w:r>
      <w:r>
        <w:rPr>
          <w:rFonts w:ascii="Calibri" w:hAnsi="Calibri"/>
        </w:rPr>
        <w:t>décembre de chaque année.</w:t>
      </w:r>
      <w:r w:rsidR="00FC5E9A">
        <w:rPr>
          <w:rFonts w:ascii="Calibri" w:hAnsi="Calibri"/>
        </w:rPr>
        <w:t xml:space="preserve"> Cette opération n’a pas fait l’objet d’une opération de couverture.</w:t>
      </w:r>
      <w:r w:rsidR="00837CA2">
        <w:rPr>
          <w:rFonts w:ascii="Calibri" w:hAnsi="Calibri"/>
        </w:rPr>
        <w:t xml:space="preserve"> On négligera la TVA.</w:t>
      </w:r>
    </w:p>
    <w:p w:rsidR="003809DE" w:rsidRDefault="003809DE" w:rsidP="006446CA">
      <w:pPr>
        <w:pStyle w:val="Default"/>
        <w:jc w:val="both"/>
        <w:rPr>
          <w:rFonts w:ascii="Calibri" w:hAnsi="Calibri"/>
        </w:rPr>
      </w:pPr>
      <w:r>
        <w:rPr>
          <w:rFonts w:ascii="Calibri" w:hAnsi="Calibri"/>
        </w:rPr>
        <w:t xml:space="preserve">Les cours </w:t>
      </w:r>
      <w:r w:rsidR="009851BE">
        <w:rPr>
          <w:rFonts w:ascii="Calibri" w:hAnsi="Calibri"/>
        </w:rPr>
        <w:t>de change EUR/USD SPOT sont les suivants :</w:t>
      </w:r>
    </w:p>
    <w:p w:rsidR="009851BE" w:rsidRDefault="009851BE" w:rsidP="006446CA">
      <w:pPr>
        <w:pStyle w:val="Default"/>
        <w:jc w:val="both"/>
        <w:rPr>
          <w:rFonts w:ascii="Calibri" w:hAnsi="Calibri"/>
        </w:rPr>
      </w:pPr>
      <w:r>
        <w:rPr>
          <w:rFonts w:ascii="Calibri" w:hAnsi="Calibri"/>
        </w:rPr>
        <w:t xml:space="preserve">15/09/N : </w:t>
      </w:r>
      <w:r w:rsidR="00491FAE">
        <w:rPr>
          <w:rFonts w:ascii="Calibri" w:hAnsi="Calibri"/>
        </w:rPr>
        <w:t xml:space="preserve">  </w:t>
      </w:r>
      <w:r w:rsidR="00C610E0">
        <w:rPr>
          <w:rFonts w:ascii="Calibri" w:hAnsi="Calibri"/>
        </w:rPr>
        <w:t xml:space="preserve"> </w:t>
      </w:r>
      <w:r w:rsidR="00F1633E">
        <w:rPr>
          <w:rFonts w:ascii="Calibri" w:hAnsi="Calibri"/>
        </w:rPr>
        <w:t xml:space="preserve"> </w:t>
      </w:r>
      <w:r w:rsidR="00491FAE">
        <w:rPr>
          <w:rFonts w:ascii="Calibri" w:hAnsi="Calibri"/>
        </w:rPr>
        <w:t>1</w:t>
      </w:r>
      <w:r w:rsidR="00A6394D">
        <w:rPr>
          <w:rFonts w:ascii="Calibri" w:hAnsi="Calibri"/>
        </w:rPr>
        <w:t> </w:t>
      </w:r>
      <w:r w:rsidR="00491FAE">
        <w:rPr>
          <w:rFonts w:ascii="Calibri" w:hAnsi="Calibri"/>
        </w:rPr>
        <w:t>EUR =</w:t>
      </w:r>
      <w:r w:rsidR="00837CA2">
        <w:rPr>
          <w:rFonts w:ascii="Calibri" w:hAnsi="Calibri"/>
        </w:rPr>
        <w:t xml:space="preserve"> </w:t>
      </w:r>
      <w:r w:rsidR="00F1633E">
        <w:rPr>
          <w:rFonts w:ascii="Calibri" w:hAnsi="Calibri"/>
        </w:rPr>
        <w:t xml:space="preserve"> </w:t>
      </w:r>
      <w:r>
        <w:rPr>
          <w:rFonts w:ascii="Calibri" w:hAnsi="Calibri"/>
        </w:rPr>
        <w:t>1,096</w:t>
      </w:r>
      <w:r w:rsidR="00A6394D">
        <w:rPr>
          <w:rFonts w:ascii="Calibri" w:hAnsi="Calibri"/>
        </w:rPr>
        <w:t> </w:t>
      </w:r>
      <w:r>
        <w:rPr>
          <w:rFonts w:ascii="Calibri" w:hAnsi="Calibri"/>
        </w:rPr>
        <w:t>USD</w:t>
      </w:r>
    </w:p>
    <w:p w:rsidR="009851BE" w:rsidRDefault="009851BE" w:rsidP="006446CA">
      <w:pPr>
        <w:pStyle w:val="Default"/>
        <w:jc w:val="both"/>
        <w:rPr>
          <w:rFonts w:ascii="Calibri" w:hAnsi="Calibri"/>
        </w:rPr>
      </w:pPr>
      <w:r>
        <w:rPr>
          <w:rFonts w:ascii="Calibri" w:hAnsi="Calibri"/>
        </w:rPr>
        <w:t>31/12/N :</w:t>
      </w:r>
      <w:r w:rsidR="00F1633E">
        <w:rPr>
          <w:rFonts w:ascii="Calibri" w:hAnsi="Calibri"/>
        </w:rPr>
        <w:t xml:space="preserve"> </w:t>
      </w:r>
      <w:r w:rsidR="00C610E0">
        <w:rPr>
          <w:rFonts w:ascii="Calibri" w:hAnsi="Calibri"/>
        </w:rPr>
        <w:t xml:space="preserve">  </w:t>
      </w:r>
      <w:r w:rsidR="00F1633E">
        <w:rPr>
          <w:rFonts w:ascii="Calibri" w:hAnsi="Calibri"/>
        </w:rPr>
        <w:t xml:space="preserve"> </w:t>
      </w:r>
      <w:r w:rsidR="00837CA2">
        <w:rPr>
          <w:rFonts w:ascii="Calibri" w:hAnsi="Calibri"/>
        </w:rPr>
        <w:t xml:space="preserve"> </w:t>
      </w:r>
      <w:r w:rsidR="00491FAE">
        <w:rPr>
          <w:rFonts w:ascii="Calibri" w:hAnsi="Calibri"/>
        </w:rPr>
        <w:t>1</w:t>
      </w:r>
      <w:r w:rsidR="00A6394D">
        <w:rPr>
          <w:rFonts w:ascii="Calibri" w:hAnsi="Calibri"/>
        </w:rPr>
        <w:t> </w:t>
      </w:r>
      <w:r w:rsidR="00491FAE">
        <w:rPr>
          <w:rFonts w:ascii="Calibri" w:hAnsi="Calibri"/>
        </w:rPr>
        <w:t xml:space="preserve">EUR = </w:t>
      </w:r>
      <w:r w:rsidR="00F1633E">
        <w:rPr>
          <w:rFonts w:ascii="Calibri" w:hAnsi="Calibri"/>
        </w:rPr>
        <w:t xml:space="preserve"> </w:t>
      </w:r>
      <w:r>
        <w:rPr>
          <w:rFonts w:ascii="Calibri" w:hAnsi="Calibri"/>
        </w:rPr>
        <w:t xml:space="preserve"> </w:t>
      </w:r>
      <w:r w:rsidR="00491FAE">
        <w:rPr>
          <w:rFonts w:ascii="Calibri" w:hAnsi="Calibri"/>
        </w:rPr>
        <w:t>1,098</w:t>
      </w:r>
      <w:r w:rsidR="00A6394D">
        <w:rPr>
          <w:rFonts w:ascii="Calibri" w:hAnsi="Calibri"/>
        </w:rPr>
        <w:t> </w:t>
      </w:r>
      <w:r>
        <w:rPr>
          <w:rFonts w:ascii="Calibri" w:hAnsi="Calibri"/>
        </w:rPr>
        <w:t>USD</w:t>
      </w:r>
    </w:p>
    <w:p w:rsidR="009851BE" w:rsidRDefault="009851BE" w:rsidP="006446CA">
      <w:pPr>
        <w:pStyle w:val="Default"/>
        <w:jc w:val="both"/>
        <w:rPr>
          <w:rFonts w:ascii="Calibri" w:hAnsi="Calibri"/>
        </w:rPr>
      </w:pPr>
      <w:r>
        <w:rPr>
          <w:rFonts w:ascii="Calibri" w:hAnsi="Calibri"/>
        </w:rPr>
        <w:t>31/01/N+1 </w:t>
      </w:r>
      <w:r w:rsidR="00837CA2">
        <w:rPr>
          <w:rFonts w:ascii="Calibri" w:hAnsi="Calibri"/>
        </w:rPr>
        <w:t xml:space="preserve">: </w:t>
      </w:r>
      <w:r w:rsidR="00491FAE">
        <w:rPr>
          <w:rFonts w:ascii="Calibri" w:hAnsi="Calibri"/>
        </w:rPr>
        <w:t>1</w:t>
      </w:r>
      <w:r w:rsidR="00A6394D">
        <w:rPr>
          <w:rFonts w:ascii="Calibri" w:hAnsi="Calibri"/>
        </w:rPr>
        <w:t> </w:t>
      </w:r>
      <w:r w:rsidR="00491FAE">
        <w:rPr>
          <w:rFonts w:ascii="Calibri" w:hAnsi="Calibri"/>
        </w:rPr>
        <w:t xml:space="preserve">EUR = </w:t>
      </w:r>
      <w:r w:rsidR="00837CA2">
        <w:rPr>
          <w:rFonts w:ascii="Calibri" w:hAnsi="Calibri"/>
        </w:rPr>
        <w:t>1,10</w:t>
      </w:r>
      <w:r w:rsidR="00A6394D">
        <w:rPr>
          <w:rFonts w:ascii="Calibri" w:hAnsi="Calibri"/>
        </w:rPr>
        <w:t> </w:t>
      </w:r>
      <w:r>
        <w:rPr>
          <w:rFonts w:ascii="Calibri" w:hAnsi="Calibri"/>
        </w:rPr>
        <w:t>USD</w:t>
      </w:r>
    </w:p>
    <w:p w:rsidR="009713D9" w:rsidRDefault="009713D9" w:rsidP="006446CA">
      <w:pPr>
        <w:pStyle w:val="Default"/>
        <w:jc w:val="both"/>
        <w:rPr>
          <w:rFonts w:ascii="Calibri" w:hAnsi="Calibri"/>
        </w:rPr>
      </w:pPr>
    </w:p>
    <w:p w:rsidR="00837CA2" w:rsidRDefault="00331858" w:rsidP="006446CA">
      <w:pPr>
        <w:pStyle w:val="Default"/>
        <w:jc w:val="both"/>
        <w:rPr>
          <w:rFonts w:ascii="Calibri" w:hAnsi="Calibri"/>
        </w:rPr>
      </w:pPr>
      <w:r>
        <w:rPr>
          <w:rFonts w:ascii="Calibri" w:hAnsi="Calibri"/>
        </w:rPr>
        <w:t>Dans la c</w:t>
      </w:r>
      <w:r w:rsidR="00837CA2">
        <w:rPr>
          <w:rFonts w:ascii="Calibri" w:hAnsi="Calibri"/>
        </w:rPr>
        <w:t>omptabilité de l’entreprise Alpha :</w:t>
      </w:r>
    </w:p>
    <w:p w:rsidR="004C304E" w:rsidRDefault="004C304E" w:rsidP="006446CA">
      <w:pPr>
        <w:pStyle w:val="Default"/>
        <w:jc w:val="both"/>
        <w:rPr>
          <w:rFonts w:ascii="Calibri" w:hAnsi="Calibri"/>
          <w:b/>
        </w:rPr>
      </w:pPr>
    </w:p>
    <w:p w:rsidR="00837CA2" w:rsidRDefault="00837CA2" w:rsidP="006446CA">
      <w:pPr>
        <w:pStyle w:val="Default"/>
        <w:jc w:val="both"/>
        <w:rPr>
          <w:rFonts w:ascii="Calibri" w:hAnsi="Calibri"/>
          <w:b/>
        </w:rPr>
      </w:pPr>
      <w:r w:rsidRPr="00837CA2">
        <w:rPr>
          <w:rFonts w:ascii="Calibri" w:hAnsi="Calibri"/>
          <w:b/>
        </w:rPr>
        <w:t>15/09/N : date de facturation</w:t>
      </w:r>
    </w:p>
    <w:p w:rsidR="004C304E" w:rsidRPr="00837CA2" w:rsidRDefault="004C304E" w:rsidP="006446CA">
      <w:pPr>
        <w:pStyle w:val="Default"/>
        <w:jc w:val="both"/>
        <w:rPr>
          <w:rFonts w:ascii="Calibri" w:hAnsi="Calibri"/>
          <w:b/>
        </w:rPr>
      </w:pPr>
    </w:p>
    <w:tbl>
      <w:tblPr>
        <w:tblStyle w:val="Grilledutableau"/>
        <w:tblW w:w="0" w:type="auto"/>
        <w:tblLook w:val="04A0"/>
      </w:tblPr>
      <w:tblGrid>
        <w:gridCol w:w="1413"/>
        <w:gridCol w:w="4811"/>
        <w:gridCol w:w="1426"/>
        <w:gridCol w:w="1412"/>
      </w:tblGrid>
      <w:tr w:rsidR="00837CA2" w:rsidTr="00491FAE">
        <w:tc>
          <w:tcPr>
            <w:tcW w:w="1413" w:type="dxa"/>
          </w:tcPr>
          <w:p w:rsidR="00837CA2" w:rsidRDefault="00837CA2" w:rsidP="006446CA">
            <w:pPr>
              <w:pStyle w:val="Default"/>
              <w:jc w:val="both"/>
              <w:rPr>
                <w:rFonts w:ascii="Calibri" w:hAnsi="Calibri"/>
              </w:rPr>
            </w:pPr>
            <w:r>
              <w:rPr>
                <w:rFonts w:ascii="Calibri" w:hAnsi="Calibri"/>
              </w:rPr>
              <w:t>607</w:t>
            </w:r>
          </w:p>
          <w:p w:rsidR="00837CA2" w:rsidRDefault="00837CA2" w:rsidP="006446CA">
            <w:pPr>
              <w:pStyle w:val="Default"/>
              <w:jc w:val="both"/>
              <w:rPr>
                <w:rFonts w:ascii="Calibri" w:hAnsi="Calibri"/>
              </w:rPr>
            </w:pPr>
            <w:r>
              <w:rPr>
                <w:rFonts w:ascii="Calibri" w:hAnsi="Calibri"/>
              </w:rPr>
              <w:t>401</w:t>
            </w:r>
          </w:p>
        </w:tc>
        <w:tc>
          <w:tcPr>
            <w:tcW w:w="4811" w:type="dxa"/>
          </w:tcPr>
          <w:p w:rsidR="00837CA2" w:rsidRDefault="00837CA2" w:rsidP="006446CA">
            <w:pPr>
              <w:pStyle w:val="Default"/>
              <w:jc w:val="both"/>
              <w:rPr>
                <w:rFonts w:ascii="Calibri" w:hAnsi="Calibri"/>
              </w:rPr>
            </w:pPr>
            <w:r>
              <w:rPr>
                <w:rFonts w:ascii="Calibri" w:hAnsi="Calibri"/>
              </w:rPr>
              <w:t>Achats de marchandises</w:t>
            </w:r>
          </w:p>
          <w:p w:rsidR="00837CA2" w:rsidRDefault="00837CA2" w:rsidP="006446CA">
            <w:pPr>
              <w:pStyle w:val="Default"/>
              <w:jc w:val="both"/>
              <w:rPr>
                <w:rFonts w:ascii="Calibri" w:hAnsi="Calibri"/>
              </w:rPr>
            </w:pPr>
            <w:r>
              <w:rPr>
                <w:rFonts w:ascii="Calibri" w:hAnsi="Calibri"/>
              </w:rPr>
              <w:t xml:space="preserve">                          Fournisseurs</w:t>
            </w:r>
          </w:p>
          <w:p w:rsidR="00837CA2" w:rsidRDefault="00491FAE" w:rsidP="006446CA">
            <w:pPr>
              <w:pStyle w:val="Default"/>
              <w:jc w:val="both"/>
              <w:rPr>
                <w:rFonts w:ascii="Calibri" w:hAnsi="Calibri"/>
              </w:rPr>
            </w:pPr>
            <w:r>
              <w:rPr>
                <w:rFonts w:ascii="Calibri" w:hAnsi="Calibri"/>
              </w:rPr>
              <w:t>350 000</w:t>
            </w:r>
            <w:r w:rsidR="00A6394D">
              <w:rPr>
                <w:rFonts w:ascii="Calibri" w:hAnsi="Calibri"/>
              </w:rPr>
              <w:t> </w:t>
            </w:r>
            <w:r>
              <w:rPr>
                <w:rFonts w:ascii="Calibri" w:hAnsi="Calibri"/>
              </w:rPr>
              <w:t>$/1,096</w:t>
            </w:r>
          </w:p>
        </w:tc>
        <w:tc>
          <w:tcPr>
            <w:tcW w:w="1426" w:type="dxa"/>
          </w:tcPr>
          <w:p w:rsidR="00837CA2" w:rsidRDefault="00491FAE" w:rsidP="006446CA">
            <w:pPr>
              <w:pStyle w:val="Default"/>
              <w:jc w:val="center"/>
              <w:rPr>
                <w:rFonts w:ascii="Calibri" w:hAnsi="Calibri"/>
              </w:rPr>
            </w:pPr>
            <w:r>
              <w:rPr>
                <w:rFonts w:ascii="Calibri" w:hAnsi="Calibri"/>
              </w:rPr>
              <w:t>319 343</w:t>
            </w:r>
          </w:p>
        </w:tc>
        <w:tc>
          <w:tcPr>
            <w:tcW w:w="1412" w:type="dxa"/>
          </w:tcPr>
          <w:p w:rsidR="00837CA2" w:rsidRDefault="00837CA2" w:rsidP="006446CA">
            <w:pPr>
              <w:pStyle w:val="Default"/>
              <w:jc w:val="center"/>
              <w:rPr>
                <w:rFonts w:ascii="Calibri" w:hAnsi="Calibri"/>
              </w:rPr>
            </w:pPr>
          </w:p>
          <w:p w:rsidR="00491FAE" w:rsidRDefault="00491FAE" w:rsidP="006446CA">
            <w:pPr>
              <w:pStyle w:val="Default"/>
              <w:jc w:val="center"/>
              <w:rPr>
                <w:rFonts w:ascii="Calibri" w:hAnsi="Calibri"/>
              </w:rPr>
            </w:pPr>
            <w:r>
              <w:rPr>
                <w:rFonts w:ascii="Calibri" w:hAnsi="Calibri"/>
              </w:rPr>
              <w:t>319 343</w:t>
            </w:r>
          </w:p>
        </w:tc>
      </w:tr>
    </w:tbl>
    <w:p w:rsidR="009713D9" w:rsidRDefault="009713D9" w:rsidP="006446CA">
      <w:pPr>
        <w:pStyle w:val="Default"/>
        <w:jc w:val="both"/>
        <w:rPr>
          <w:rFonts w:ascii="Calibri" w:hAnsi="Calibri"/>
        </w:rPr>
      </w:pPr>
    </w:p>
    <w:p w:rsidR="00491FAE" w:rsidRDefault="00491FAE" w:rsidP="006446CA">
      <w:pPr>
        <w:pStyle w:val="Default"/>
        <w:jc w:val="both"/>
        <w:rPr>
          <w:rFonts w:ascii="Calibri" w:hAnsi="Calibri"/>
          <w:b/>
        </w:rPr>
      </w:pPr>
      <w:r>
        <w:rPr>
          <w:rFonts w:ascii="Calibri" w:hAnsi="Calibri"/>
          <w:b/>
        </w:rPr>
        <w:t>31/12/N</w:t>
      </w:r>
      <w:r w:rsidRPr="00837CA2">
        <w:rPr>
          <w:rFonts w:ascii="Calibri" w:hAnsi="Calibri"/>
          <w:b/>
        </w:rPr>
        <w:t> :</w:t>
      </w:r>
      <w:r w:rsidR="00DC3F70">
        <w:rPr>
          <w:rFonts w:ascii="Calibri" w:hAnsi="Calibri"/>
          <w:b/>
        </w:rPr>
        <w:t xml:space="preserve"> arrêté de l’exercice</w:t>
      </w:r>
    </w:p>
    <w:p w:rsidR="004C304E" w:rsidRPr="00837CA2" w:rsidRDefault="004C304E" w:rsidP="006446CA">
      <w:pPr>
        <w:pStyle w:val="Default"/>
        <w:jc w:val="both"/>
        <w:rPr>
          <w:rFonts w:ascii="Calibri" w:hAnsi="Calibri"/>
          <w:b/>
        </w:rPr>
      </w:pPr>
    </w:p>
    <w:tbl>
      <w:tblPr>
        <w:tblStyle w:val="Grilledutableau"/>
        <w:tblW w:w="0" w:type="auto"/>
        <w:tblLook w:val="04A0"/>
      </w:tblPr>
      <w:tblGrid>
        <w:gridCol w:w="1413"/>
        <w:gridCol w:w="4819"/>
        <w:gridCol w:w="1418"/>
        <w:gridCol w:w="1412"/>
      </w:tblGrid>
      <w:tr w:rsidR="00491FAE" w:rsidTr="00491FAE">
        <w:tc>
          <w:tcPr>
            <w:tcW w:w="1413" w:type="dxa"/>
          </w:tcPr>
          <w:p w:rsidR="00491FAE" w:rsidRDefault="00491FAE" w:rsidP="006446CA">
            <w:pPr>
              <w:pStyle w:val="Default"/>
              <w:jc w:val="both"/>
              <w:rPr>
                <w:rFonts w:ascii="Calibri" w:hAnsi="Calibri"/>
              </w:rPr>
            </w:pPr>
            <w:r>
              <w:rPr>
                <w:rFonts w:ascii="Calibri" w:hAnsi="Calibri"/>
              </w:rPr>
              <w:t>401</w:t>
            </w:r>
          </w:p>
          <w:p w:rsidR="00491FAE" w:rsidRDefault="00491FAE" w:rsidP="006446CA">
            <w:pPr>
              <w:pStyle w:val="Default"/>
              <w:jc w:val="both"/>
              <w:rPr>
                <w:rFonts w:ascii="Calibri" w:hAnsi="Calibri"/>
              </w:rPr>
            </w:pPr>
            <w:r>
              <w:rPr>
                <w:rFonts w:ascii="Calibri" w:hAnsi="Calibri"/>
              </w:rPr>
              <w:t>477</w:t>
            </w:r>
          </w:p>
        </w:tc>
        <w:tc>
          <w:tcPr>
            <w:tcW w:w="4819" w:type="dxa"/>
          </w:tcPr>
          <w:p w:rsidR="00491FAE" w:rsidRDefault="00491FAE" w:rsidP="006446CA">
            <w:pPr>
              <w:pStyle w:val="Default"/>
              <w:jc w:val="both"/>
              <w:rPr>
                <w:rFonts w:ascii="Calibri" w:hAnsi="Calibri"/>
              </w:rPr>
            </w:pPr>
            <w:r>
              <w:rPr>
                <w:rFonts w:ascii="Calibri" w:hAnsi="Calibri"/>
              </w:rPr>
              <w:t>Fournisseurs</w:t>
            </w:r>
          </w:p>
          <w:p w:rsidR="00491FAE" w:rsidRDefault="00491FAE" w:rsidP="006446CA">
            <w:pPr>
              <w:pStyle w:val="Default"/>
              <w:jc w:val="both"/>
              <w:rPr>
                <w:rFonts w:ascii="Calibri" w:hAnsi="Calibri"/>
              </w:rPr>
            </w:pPr>
            <w:r>
              <w:rPr>
                <w:rFonts w:ascii="Calibri" w:hAnsi="Calibri"/>
              </w:rPr>
              <w:t xml:space="preserve">           Différences de conversion-Passif</w:t>
            </w:r>
          </w:p>
          <w:p w:rsidR="00491FAE" w:rsidRDefault="00491FAE" w:rsidP="006446CA">
            <w:pPr>
              <w:pStyle w:val="Default"/>
              <w:jc w:val="both"/>
              <w:rPr>
                <w:rFonts w:ascii="Calibri" w:hAnsi="Calibri"/>
              </w:rPr>
            </w:pPr>
          </w:p>
          <w:p w:rsidR="00491FAE" w:rsidRDefault="00491FAE" w:rsidP="006446CA">
            <w:pPr>
              <w:pStyle w:val="Default"/>
              <w:jc w:val="both"/>
              <w:rPr>
                <w:rFonts w:ascii="Calibri" w:hAnsi="Calibri"/>
              </w:rPr>
            </w:pPr>
            <w:r>
              <w:rPr>
                <w:rFonts w:ascii="Calibri" w:hAnsi="Calibri"/>
              </w:rPr>
              <w:t>(350 000</w:t>
            </w:r>
            <w:r w:rsidR="00A6394D">
              <w:rPr>
                <w:rFonts w:ascii="Calibri" w:hAnsi="Calibri"/>
              </w:rPr>
              <w:t> </w:t>
            </w:r>
            <w:r>
              <w:rPr>
                <w:rFonts w:ascii="Calibri" w:hAnsi="Calibri"/>
              </w:rPr>
              <w:t>$/1,098) – 319 343 = 582 = gain latent</w:t>
            </w:r>
          </w:p>
        </w:tc>
        <w:tc>
          <w:tcPr>
            <w:tcW w:w="1418" w:type="dxa"/>
          </w:tcPr>
          <w:p w:rsidR="00491FAE" w:rsidRDefault="00491FAE" w:rsidP="006446CA">
            <w:pPr>
              <w:pStyle w:val="Default"/>
              <w:jc w:val="center"/>
              <w:rPr>
                <w:rFonts w:ascii="Calibri" w:hAnsi="Calibri"/>
              </w:rPr>
            </w:pPr>
            <w:r>
              <w:rPr>
                <w:rFonts w:ascii="Calibri" w:hAnsi="Calibri"/>
              </w:rPr>
              <w:t>582</w:t>
            </w:r>
          </w:p>
        </w:tc>
        <w:tc>
          <w:tcPr>
            <w:tcW w:w="1412" w:type="dxa"/>
          </w:tcPr>
          <w:p w:rsidR="00491FAE" w:rsidRDefault="00491FAE" w:rsidP="006446CA">
            <w:pPr>
              <w:pStyle w:val="Default"/>
              <w:jc w:val="center"/>
              <w:rPr>
                <w:rFonts w:ascii="Calibri" w:hAnsi="Calibri"/>
              </w:rPr>
            </w:pPr>
          </w:p>
          <w:p w:rsidR="00491FAE" w:rsidRDefault="00491FAE" w:rsidP="006446CA">
            <w:pPr>
              <w:pStyle w:val="Default"/>
              <w:jc w:val="center"/>
              <w:rPr>
                <w:rFonts w:ascii="Calibri" w:hAnsi="Calibri"/>
              </w:rPr>
            </w:pPr>
            <w:r>
              <w:rPr>
                <w:rFonts w:ascii="Calibri" w:hAnsi="Calibri"/>
              </w:rPr>
              <w:t>582</w:t>
            </w:r>
          </w:p>
          <w:p w:rsidR="00491FAE" w:rsidRDefault="00491FAE" w:rsidP="006446CA">
            <w:pPr>
              <w:pStyle w:val="Default"/>
              <w:jc w:val="center"/>
              <w:rPr>
                <w:rFonts w:ascii="Calibri" w:hAnsi="Calibri"/>
              </w:rPr>
            </w:pPr>
          </w:p>
        </w:tc>
      </w:tr>
    </w:tbl>
    <w:p w:rsidR="00837CA2" w:rsidRDefault="00837CA2" w:rsidP="006446CA">
      <w:pPr>
        <w:pStyle w:val="Default"/>
        <w:jc w:val="both"/>
        <w:rPr>
          <w:rFonts w:ascii="Calibri" w:hAnsi="Calibri"/>
        </w:rPr>
      </w:pPr>
    </w:p>
    <w:p w:rsidR="001022CD" w:rsidRDefault="001022CD" w:rsidP="006446CA">
      <w:pPr>
        <w:pStyle w:val="Default"/>
        <w:jc w:val="both"/>
        <w:rPr>
          <w:rFonts w:ascii="Calibri" w:hAnsi="Calibri"/>
          <w:b/>
        </w:rPr>
      </w:pPr>
      <w:r>
        <w:rPr>
          <w:rFonts w:ascii="Calibri" w:hAnsi="Calibri"/>
          <w:b/>
        </w:rPr>
        <w:t>01/01/N+1</w:t>
      </w:r>
      <w:r w:rsidRPr="00837CA2">
        <w:rPr>
          <w:rFonts w:ascii="Calibri" w:hAnsi="Calibri"/>
          <w:b/>
        </w:rPr>
        <w:t>:</w:t>
      </w:r>
      <w:r>
        <w:rPr>
          <w:rFonts w:ascii="Calibri" w:hAnsi="Calibri"/>
          <w:b/>
        </w:rPr>
        <w:t xml:space="preserve"> contrepassation</w:t>
      </w:r>
    </w:p>
    <w:p w:rsidR="004C304E" w:rsidRPr="00837CA2" w:rsidRDefault="004C304E" w:rsidP="006446CA">
      <w:pPr>
        <w:pStyle w:val="Default"/>
        <w:jc w:val="both"/>
        <w:rPr>
          <w:rFonts w:ascii="Calibri" w:hAnsi="Calibri"/>
          <w:b/>
        </w:rPr>
      </w:pPr>
    </w:p>
    <w:tbl>
      <w:tblPr>
        <w:tblStyle w:val="Grilledutableau"/>
        <w:tblW w:w="0" w:type="auto"/>
        <w:tblLook w:val="04A0"/>
      </w:tblPr>
      <w:tblGrid>
        <w:gridCol w:w="1413"/>
        <w:gridCol w:w="4819"/>
        <w:gridCol w:w="1418"/>
        <w:gridCol w:w="1412"/>
      </w:tblGrid>
      <w:tr w:rsidR="001022CD" w:rsidTr="000A4DBE">
        <w:tc>
          <w:tcPr>
            <w:tcW w:w="1413" w:type="dxa"/>
          </w:tcPr>
          <w:p w:rsidR="001022CD" w:rsidRDefault="000A4DBE" w:rsidP="006446CA">
            <w:pPr>
              <w:pStyle w:val="Default"/>
              <w:jc w:val="both"/>
              <w:rPr>
                <w:rFonts w:ascii="Calibri" w:hAnsi="Calibri"/>
              </w:rPr>
            </w:pPr>
            <w:r>
              <w:rPr>
                <w:rFonts w:ascii="Calibri" w:hAnsi="Calibri"/>
              </w:rPr>
              <w:t>477</w:t>
            </w:r>
          </w:p>
          <w:p w:rsidR="000A4DBE" w:rsidRDefault="000A4DBE" w:rsidP="006446CA">
            <w:pPr>
              <w:pStyle w:val="Default"/>
              <w:jc w:val="both"/>
              <w:rPr>
                <w:rFonts w:ascii="Calibri" w:hAnsi="Calibri"/>
              </w:rPr>
            </w:pPr>
            <w:r>
              <w:rPr>
                <w:rFonts w:ascii="Calibri" w:hAnsi="Calibri"/>
              </w:rPr>
              <w:t>401</w:t>
            </w:r>
          </w:p>
        </w:tc>
        <w:tc>
          <w:tcPr>
            <w:tcW w:w="4819" w:type="dxa"/>
          </w:tcPr>
          <w:p w:rsidR="000A4DBE" w:rsidRDefault="000A4DBE" w:rsidP="006446CA">
            <w:pPr>
              <w:pStyle w:val="Default"/>
              <w:jc w:val="both"/>
              <w:rPr>
                <w:rFonts w:ascii="Calibri" w:hAnsi="Calibri"/>
              </w:rPr>
            </w:pPr>
            <w:r>
              <w:rPr>
                <w:rFonts w:ascii="Calibri" w:hAnsi="Calibri"/>
              </w:rPr>
              <w:t xml:space="preserve"> Différences de conversion-Passif</w:t>
            </w:r>
          </w:p>
          <w:p w:rsidR="001022CD" w:rsidRDefault="000A4DBE" w:rsidP="006446CA">
            <w:pPr>
              <w:pStyle w:val="Default"/>
              <w:jc w:val="both"/>
              <w:rPr>
                <w:rFonts w:ascii="Calibri" w:hAnsi="Calibri"/>
              </w:rPr>
            </w:pPr>
            <w:r>
              <w:rPr>
                <w:rFonts w:ascii="Calibri" w:hAnsi="Calibri"/>
              </w:rPr>
              <w:t xml:space="preserve">                          Fournisseurs</w:t>
            </w:r>
          </w:p>
        </w:tc>
        <w:tc>
          <w:tcPr>
            <w:tcW w:w="1418" w:type="dxa"/>
          </w:tcPr>
          <w:p w:rsidR="001022CD" w:rsidRDefault="000A4DBE" w:rsidP="006446CA">
            <w:pPr>
              <w:pStyle w:val="Default"/>
              <w:jc w:val="center"/>
              <w:rPr>
                <w:rFonts w:ascii="Calibri" w:hAnsi="Calibri"/>
              </w:rPr>
            </w:pPr>
            <w:r>
              <w:rPr>
                <w:rFonts w:ascii="Calibri" w:hAnsi="Calibri"/>
              </w:rPr>
              <w:t>582</w:t>
            </w:r>
          </w:p>
        </w:tc>
        <w:tc>
          <w:tcPr>
            <w:tcW w:w="1412" w:type="dxa"/>
          </w:tcPr>
          <w:p w:rsidR="001022CD" w:rsidRDefault="001022CD" w:rsidP="006446CA">
            <w:pPr>
              <w:pStyle w:val="Default"/>
              <w:jc w:val="center"/>
              <w:rPr>
                <w:rFonts w:ascii="Calibri" w:hAnsi="Calibri"/>
              </w:rPr>
            </w:pPr>
          </w:p>
          <w:p w:rsidR="000A4DBE" w:rsidRDefault="000A4DBE" w:rsidP="006446CA">
            <w:pPr>
              <w:pStyle w:val="Default"/>
              <w:jc w:val="center"/>
              <w:rPr>
                <w:rFonts w:ascii="Calibri" w:hAnsi="Calibri"/>
              </w:rPr>
            </w:pPr>
            <w:r>
              <w:rPr>
                <w:rFonts w:ascii="Calibri" w:hAnsi="Calibri"/>
              </w:rPr>
              <w:t>582</w:t>
            </w:r>
          </w:p>
        </w:tc>
      </w:tr>
    </w:tbl>
    <w:p w:rsidR="006B3B8E" w:rsidRDefault="006B3B8E" w:rsidP="006446CA">
      <w:pPr>
        <w:pStyle w:val="Default"/>
        <w:jc w:val="both"/>
        <w:rPr>
          <w:rFonts w:ascii="Calibri" w:hAnsi="Calibri"/>
          <w:b/>
        </w:rPr>
      </w:pPr>
    </w:p>
    <w:p w:rsidR="001022CD" w:rsidRDefault="001022CD" w:rsidP="006446CA">
      <w:pPr>
        <w:pStyle w:val="Default"/>
        <w:jc w:val="both"/>
        <w:rPr>
          <w:rFonts w:ascii="Calibri" w:hAnsi="Calibri"/>
          <w:b/>
        </w:rPr>
      </w:pPr>
      <w:r>
        <w:rPr>
          <w:rFonts w:ascii="Calibri" w:hAnsi="Calibri"/>
          <w:b/>
        </w:rPr>
        <w:t>31/01/N+1</w:t>
      </w:r>
      <w:r w:rsidRPr="00837CA2">
        <w:rPr>
          <w:rFonts w:ascii="Calibri" w:hAnsi="Calibri"/>
          <w:b/>
        </w:rPr>
        <w:t> :</w:t>
      </w:r>
      <w:r>
        <w:rPr>
          <w:rFonts w:ascii="Calibri" w:hAnsi="Calibri"/>
          <w:b/>
        </w:rPr>
        <w:t xml:space="preserve"> date du paiement</w:t>
      </w:r>
    </w:p>
    <w:p w:rsidR="004C304E" w:rsidRPr="00837CA2" w:rsidRDefault="004C304E" w:rsidP="006446CA">
      <w:pPr>
        <w:pStyle w:val="Default"/>
        <w:jc w:val="both"/>
        <w:rPr>
          <w:rFonts w:ascii="Calibri" w:hAnsi="Calibri"/>
          <w:b/>
        </w:rPr>
      </w:pPr>
    </w:p>
    <w:tbl>
      <w:tblPr>
        <w:tblStyle w:val="Grilledutableau"/>
        <w:tblW w:w="0" w:type="auto"/>
        <w:tblLook w:val="04A0"/>
      </w:tblPr>
      <w:tblGrid>
        <w:gridCol w:w="1413"/>
        <w:gridCol w:w="3969"/>
        <w:gridCol w:w="1843"/>
        <w:gridCol w:w="1837"/>
      </w:tblGrid>
      <w:tr w:rsidR="001022CD" w:rsidTr="00C906C1">
        <w:tc>
          <w:tcPr>
            <w:tcW w:w="1413" w:type="dxa"/>
          </w:tcPr>
          <w:p w:rsidR="001022CD" w:rsidRDefault="001022CD" w:rsidP="006446CA">
            <w:pPr>
              <w:pStyle w:val="Default"/>
              <w:jc w:val="both"/>
              <w:rPr>
                <w:rFonts w:ascii="Calibri" w:hAnsi="Calibri"/>
              </w:rPr>
            </w:pPr>
            <w:r>
              <w:rPr>
                <w:rFonts w:ascii="Calibri" w:hAnsi="Calibri"/>
              </w:rPr>
              <w:t>401</w:t>
            </w:r>
          </w:p>
          <w:p w:rsidR="00F71054" w:rsidRDefault="00F71054" w:rsidP="006446CA">
            <w:pPr>
              <w:pStyle w:val="Default"/>
              <w:jc w:val="both"/>
              <w:rPr>
                <w:rFonts w:ascii="Calibri" w:hAnsi="Calibri"/>
              </w:rPr>
            </w:pPr>
            <w:r>
              <w:rPr>
                <w:rFonts w:ascii="Calibri" w:hAnsi="Calibri"/>
              </w:rPr>
              <w:t>512</w:t>
            </w:r>
          </w:p>
          <w:p w:rsidR="00F71054" w:rsidRDefault="00F71054" w:rsidP="006446CA">
            <w:pPr>
              <w:pStyle w:val="Default"/>
              <w:jc w:val="both"/>
              <w:rPr>
                <w:rFonts w:ascii="Calibri" w:hAnsi="Calibri"/>
              </w:rPr>
            </w:pPr>
            <w:r w:rsidRPr="00F71054">
              <w:rPr>
                <w:rFonts w:ascii="Calibri" w:hAnsi="Calibri"/>
                <w:b/>
              </w:rPr>
              <w:t>756</w:t>
            </w:r>
          </w:p>
        </w:tc>
        <w:tc>
          <w:tcPr>
            <w:tcW w:w="3969" w:type="dxa"/>
          </w:tcPr>
          <w:p w:rsidR="001022CD" w:rsidRDefault="000A4DBE" w:rsidP="006446CA">
            <w:pPr>
              <w:pStyle w:val="Default"/>
              <w:jc w:val="both"/>
              <w:rPr>
                <w:rFonts w:ascii="Calibri" w:hAnsi="Calibri"/>
              </w:rPr>
            </w:pPr>
            <w:r>
              <w:rPr>
                <w:rFonts w:ascii="Calibri" w:hAnsi="Calibri"/>
              </w:rPr>
              <w:t>Fournisseurs</w:t>
            </w:r>
          </w:p>
          <w:p w:rsidR="00F71054" w:rsidRDefault="00F71054" w:rsidP="006446CA">
            <w:pPr>
              <w:pStyle w:val="Default"/>
              <w:jc w:val="both"/>
              <w:rPr>
                <w:rFonts w:ascii="Calibri" w:hAnsi="Calibri"/>
              </w:rPr>
            </w:pPr>
            <w:r>
              <w:rPr>
                <w:rFonts w:ascii="Calibri" w:hAnsi="Calibri"/>
              </w:rPr>
              <w:t xml:space="preserve">           Banques (350 000</w:t>
            </w:r>
            <w:r w:rsidR="00A6394D">
              <w:rPr>
                <w:rFonts w:ascii="Calibri" w:hAnsi="Calibri"/>
              </w:rPr>
              <w:t> </w:t>
            </w:r>
            <w:r>
              <w:rPr>
                <w:rFonts w:ascii="Calibri" w:hAnsi="Calibri"/>
              </w:rPr>
              <w:t>$/1,10)</w:t>
            </w:r>
          </w:p>
          <w:p w:rsidR="00F71054" w:rsidRDefault="00F71054" w:rsidP="006446CA">
            <w:pPr>
              <w:pStyle w:val="Default"/>
              <w:jc w:val="both"/>
              <w:rPr>
                <w:rFonts w:ascii="Calibri" w:hAnsi="Calibri"/>
                <w:b/>
              </w:rPr>
            </w:pPr>
            <w:r w:rsidRPr="00581962">
              <w:rPr>
                <w:rFonts w:ascii="Calibri" w:hAnsi="Calibri"/>
                <w:b/>
              </w:rPr>
              <w:t xml:space="preserve"> </w:t>
            </w:r>
            <w:r>
              <w:rPr>
                <w:rFonts w:ascii="Calibri" w:hAnsi="Calibri"/>
                <w:b/>
              </w:rPr>
              <w:t xml:space="preserve">   </w:t>
            </w:r>
            <w:r w:rsidRPr="00581962">
              <w:rPr>
                <w:rFonts w:ascii="Calibri" w:hAnsi="Calibri"/>
                <w:b/>
              </w:rPr>
              <w:t xml:space="preserve">Gains de change sur créances </w:t>
            </w:r>
            <w:r>
              <w:rPr>
                <w:rFonts w:ascii="Calibri" w:hAnsi="Calibri"/>
                <w:b/>
              </w:rPr>
              <w:t xml:space="preserve"> </w:t>
            </w:r>
          </w:p>
          <w:p w:rsidR="001022CD" w:rsidRDefault="00F71054" w:rsidP="006446CA">
            <w:pPr>
              <w:pStyle w:val="Default"/>
              <w:jc w:val="both"/>
              <w:rPr>
                <w:rFonts w:ascii="Calibri" w:hAnsi="Calibri"/>
              </w:rPr>
            </w:pPr>
            <w:r>
              <w:rPr>
                <w:rFonts w:ascii="Calibri" w:hAnsi="Calibri"/>
                <w:b/>
              </w:rPr>
              <w:t xml:space="preserve">             </w:t>
            </w:r>
            <w:r w:rsidRPr="00581962">
              <w:rPr>
                <w:rFonts w:ascii="Calibri" w:hAnsi="Calibri"/>
                <w:b/>
              </w:rPr>
              <w:t>et dettes commerciales</w:t>
            </w:r>
            <w:r w:rsidR="001022CD">
              <w:rPr>
                <w:rFonts w:ascii="Calibri" w:hAnsi="Calibri"/>
              </w:rPr>
              <w:t xml:space="preserve">        </w:t>
            </w:r>
          </w:p>
          <w:p w:rsidR="001022CD" w:rsidRDefault="001022CD" w:rsidP="006446CA">
            <w:pPr>
              <w:pStyle w:val="Default"/>
              <w:jc w:val="both"/>
              <w:rPr>
                <w:rFonts w:ascii="Calibri" w:hAnsi="Calibri"/>
              </w:rPr>
            </w:pPr>
          </w:p>
        </w:tc>
        <w:tc>
          <w:tcPr>
            <w:tcW w:w="1843" w:type="dxa"/>
          </w:tcPr>
          <w:p w:rsidR="001022CD" w:rsidRDefault="001022CD" w:rsidP="006446CA">
            <w:pPr>
              <w:pStyle w:val="Default"/>
              <w:jc w:val="center"/>
              <w:rPr>
                <w:rFonts w:ascii="Calibri" w:hAnsi="Calibri"/>
              </w:rPr>
            </w:pPr>
            <w:r>
              <w:rPr>
                <w:rFonts w:ascii="Calibri" w:hAnsi="Calibri"/>
              </w:rPr>
              <w:t>319 343</w:t>
            </w:r>
          </w:p>
        </w:tc>
        <w:tc>
          <w:tcPr>
            <w:tcW w:w="1837" w:type="dxa"/>
          </w:tcPr>
          <w:p w:rsidR="001022CD" w:rsidRDefault="001022CD" w:rsidP="006446CA">
            <w:pPr>
              <w:pStyle w:val="Default"/>
              <w:jc w:val="center"/>
              <w:rPr>
                <w:rFonts w:ascii="Calibri" w:hAnsi="Calibri"/>
              </w:rPr>
            </w:pPr>
          </w:p>
          <w:p w:rsidR="001022CD" w:rsidRDefault="00F71054" w:rsidP="006446CA">
            <w:pPr>
              <w:pStyle w:val="Default"/>
              <w:jc w:val="center"/>
              <w:rPr>
                <w:rFonts w:ascii="Calibri" w:hAnsi="Calibri"/>
              </w:rPr>
            </w:pPr>
            <w:r>
              <w:rPr>
                <w:rFonts w:ascii="Calibri" w:hAnsi="Calibri"/>
              </w:rPr>
              <w:t>318 182</w:t>
            </w:r>
          </w:p>
          <w:p w:rsidR="00F71054" w:rsidRDefault="004B5B1C" w:rsidP="006446CA">
            <w:pPr>
              <w:pStyle w:val="Default"/>
              <w:jc w:val="center"/>
              <w:rPr>
                <w:rFonts w:ascii="Calibri" w:hAnsi="Calibri"/>
              </w:rPr>
            </w:pPr>
            <w:r>
              <w:rPr>
                <w:rFonts w:ascii="Calibri" w:hAnsi="Calibri"/>
              </w:rPr>
              <w:t xml:space="preserve">    </w:t>
            </w:r>
            <w:r w:rsidR="00F71054">
              <w:rPr>
                <w:rFonts w:ascii="Calibri" w:hAnsi="Calibri"/>
              </w:rPr>
              <w:t xml:space="preserve">1 </w:t>
            </w:r>
            <w:r>
              <w:rPr>
                <w:rFonts w:ascii="Calibri" w:hAnsi="Calibri"/>
              </w:rPr>
              <w:t>161</w:t>
            </w:r>
          </w:p>
        </w:tc>
      </w:tr>
    </w:tbl>
    <w:p w:rsidR="00B8321E" w:rsidRDefault="00B8321E" w:rsidP="006446CA">
      <w:pPr>
        <w:pStyle w:val="Default"/>
        <w:jc w:val="both"/>
        <w:rPr>
          <w:rFonts w:ascii="Calibri" w:hAnsi="Calibri"/>
        </w:rPr>
      </w:pPr>
    </w:p>
    <w:p w:rsidR="004C304E" w:rsidRDefault="004C304E">
      <w:pPr>
        <w:rPr>
          <w:rFonts w:ascii="Calibri" w:hAnsi="Calibri" w:cs="Times New Roman"/>
          <w:color w:val="000000"/>
          <w:sz w:val="24"/>
          <w:szCs w:val="24"/>
        </w:rPr>
      </w:pPr>
      <w:r>
        <w:rPr>
          <w:rFonts w:ascii="Calibri" w:hAnsi="Calibri"/>
        </w:rPr>
        <w:br w:type="page"/>
      </w:r>
    </w:p>
    <w:p w:rsidR="00ED00DC" w:rsidRDefault="00B8321E" w:rsidP="006446CA">
      <w:pPr>
        <w:pStyle w:val="Default"/>
        <w:jc w:val="both"/>
        <w:rPr>
          <w:rFonts w:ascii="Calibri" w:hAnsi="Calibri"/>
        </w:rPr>
      </w:pPr>
      <w:r>
        <w:rPr>
          <w:rFonts w:ascii="Calibri" w:hAnsi="Calibri"/>
        </w:rPr>
        <w:lastRenderedPageBreak/>
        <w:t>Outre le</w:t>
      </w:r>
      <w:r w:rsidR="00676910">
        <w:rPr>
          <w:rFonts w:ascii="Calibri" w:hAnsi="Calibri"/>
        </w:rPr>
        <w:t xml:space="preserve"> nouveau</w:t>
      </w:r>
      <w:r>
        <w:rPr>
          <w:rFonts w:ascii="Calibri" w:hAnsi="Calibri"/>
        </w:rPr>
        <w:t xml:space="preserve"> traitement symétrique des gains et des pertes de change réalisés, un autre changement est apporté par le règlement aux opérations en </w:t>
      </w:r>
      <w:r w:rsidR="00E7050D">
        <w:rPr>
          <w:rFonts w:ascii="Calibri" w:hAnsi="Calibri"/>
        </w:rPr>
        <w:t>devises</w:t>
      </w:r>
      <w:r>
        <w:rPr>
          <w:rFonts w:ascii="Calibri" w:hAnsi="Calibri"/>
        </w:rPr>
        <w:t xml:space="preserve"> non couvertes. </w:t>
      </w:r>
      <w:r w:rsidR="00ED00DC">
        <w:rPr>
          <w:rFonts w:ascii="Calibri" w:hAnsi="Calibri"/>
        </w:rPr>
        <w:t>L’article</w:t>
      </w:r>
      <w:r w:rsidR="00A6394D">
        <w:rPr>
          <w:rFonts w:ascii="Calibri" w:hAnsi="Calibri"/>
        </w:rPr>
        <w:t> </w:t>
      </w:r>
      <w:r w:rsidR="00ED00DC">
        <w:rPr>
          <w:rFonts w:ascii="Calibri" w:hAnsi="Calibri"/>
        </w:rPr>
        <w:t>420-6 du PCG prévoit que</w:t>
      </w:r>
      <w:r w:rsidR="00FE384A">
        <w:rPr>
          <w:rFonts w:ascii="Calibri" w:hAnsi="Calibri"/>
        </w:rPr>
        <w:t> :</w:t>
      </w:r>
      <w:r w:rsidR="00ED00DC">
        <w:rPr>
          <w:rFonts w:ascii="Calibri" w:hAnsi="Calibri"/>
        </w:rPr>
        <w:t xml:space="preserve"> </w:t>
      </w:r>
      <w:r w:rsidR="00FE384A">
        <w:rPr>
          <w:rFonts w:ascii="Calibri" w:hAnsi="Calibri"/>
        </w:rPr>
        <w:t>« </w:t>
      </w:r>
      <w:r w:rsidR="00ED00DC" w:rsidRPr="00ED00DC">
        <w:rPr>
          <w:rFonts w:ascii="Calibri" w:hAnsi="Calibri"/>
        </w:rPr>
        <w:t>Lorsque les circonstances suppriment en tout ou partie le risque de perte, les provisions sont ajustées en conséquence</w:t>
      </w:r>
      <w:r w:rsidR="00FE384A">
        <w:rPr>
          <w:rFonts w:ascii="Calibri" w:hAnsi="Calibri"/>
        </w:rPr>
        <w:t>.</w:t>
      </w:r>
      <w:r w:rsidR="00ED00DC" w:rsidRPr="00ED00DC">
        <w:rPr>
          <w:rFonts w:ascii="Calibri" w:hAnsi="Calibri"/>
        </w:rPr>
        <w:t> »</w:t>
      </w:r>
      <w:r w:rsidR="00ED00DC">
        <w:rPr>
          <w:rFonts w:ascii="Calibri" w:hAnsi="Calibri"/>
        </w:rPr>
        <w:t xml:space="preserve"> L’ancien article prévoyait cinq cas </w:t>
      </w:r>
      <w:r w:rsidR="00FE384A">
        <w:rPr>
          <w:rFonts w:ascii="Calibri" w:hAnsi="Calibri"/>
        </w:rPr>
        <w:t xml:space="preserve">où </w:t>
      </w:r>
      <w:r w:rsidR="00ED00DC">
        <w:rPr>
          <w:rFonts w:ascii="Calibri" w:hAnsi="Calibri"/>
        </w:rPr>
        <w:t>les entreprises pouvaient limiter le montant de la provision pour perte de change. Le règlement</w:t>
      </w:r>
      <w:r w:rsidR="00A6394D">
        <w:rPr>
          <w:rFonts w:ascii="Calibri" w:hAnsi="Calibri"/>
        </w:rPr>
        <w:t> </w:t>
      </w:r>
      <w:r w:rsidR="00ED00DC">
        <w:rPr>
          <w:rFonts w:ascii="Calibri" w:hAnsi="Calibri"/>
        </w:rPr>
        <w:t xml:space="preserve">2015-05 n’en prévoit plus que </w:t>
      </w:r>
      <w:r w:rsidR="00ED00DC" w:rsidRPr="00ED00DC">
        <w:rPr>
          <w:rFonts w:ascii="Calibri" w:hAnsi="Calibri"/>
          <w:b/>
        </w:rPr>
        <w:t>trois</w:t>
      </w:r>
      <w:r w:rsidR="006A53BE">
        <w:rPr>
          <w:rFonts w:ascii="Calibri" w:hAnsi="Calibri"/>
          <w:b/>
        </w:rPr>
        <w:t xml:space="preserve"> </w:t>
      </w:r>
      <w:r w:rsidR="00165456" w:rsidRPr="00165456">
        <w:rPr>
          <w:rFonts w:ascii="Calibri" w:hAnsi="Calibri"/>
        </w:rPr>
        <w:t>(PCG, art. 420-6)</w:t>
      </w:r>
      <w:r w:rsidR="00ED00DC">
        <w:rPr>
          <w:rFonts w:ascii="Calibri" w:hAnsi="Calibri"/>
        </w:rPr>
        <w:t> :</w:t>
      </w:r>
    </w:p>
    <w:p w:rsidR="004C304E" w:rsidRDefault="004C304E" w:rsidP="006446CA">
      <w:pPr>
        <w:pStyle w:val="Default"/>
        <w:jc w:val="both"/>
        <w:rPr>
          <w:rFonts w:ascii="Calibri" w:hAnsi="Calibri"/>
        </w:rPr>
      </w:pPr>
    </w:p>
    <w:tbl>
      <w:tblPr>
        <w:tblStyle w:val="Grilledutableau"/>
        <w:tblW w:w="0" w:type="auto"/>
        <w:tblLook w:val="04A0"/>
      </w:tblPr>
      <w:tblGrid>
        <w:gridCol w:w="988"/>
        <w:gridCol w:w="8759"/>
      </w:tblGrid>
      <w:tr w:rsidR="00ED00DC" w:rsidTr="002025B7">
        <w:trPr>
          <w:trHeight w:val="1481"/>
        </w:trPr>
        <w:tc>
          <w:tcPr>
            <w:tcW w:w="988" w:type="dxa"/>
            <w:vAlign w:val="center"/>
          </w:tcPr>
          <w:p w:rsidR="00ED00DC" w:rsidRDefault="00ED00DC" w:rsidP="004C304E">
            <w:pPr>
              <w:pStyle w:val="Default"/>
              <w:jc w:val="center"/>
              <w:rPr>
                <w:rFonts w:ascii="Calibri" w:hAnsi="Calibri"/>
              </w:rPr>
            </w:pPr>
            <w:r>
              <w:rPr>
                <w:rFonts w:ascii="Calibri" w:hAnsi="Calibri"/>
              </w:rPr>
              <w:t>Cas 1</w:t>
            </w:r>
          </w:p>
        </w:tc>
        <w:tc>
          <w:tcPr>
            <w:tcW w:w="8759" w:type="dxa"/>
            <w:vAlign w:val="center"/>
          </w:tcPr>
          <w:p w:rsidR="00ED00DC" w:rsidRDefault="00ED00DC" w:rsidP="004C304E">
            <w:pPr>
              <w:pStyle w:val="Default"/>
              <w:jc w:val="both"/>
              <w:rPr>
                <w:rFonts w:ascii="Calibri" w:hAnsi="Calibri"/>
              </w:rPr>
            </w:pPr>
            <w:r w:rsidRPr="00ED00DC">
              <w:rPr>
                <w:rFonts w:ascii="Calibri" w:hAnsi="Calibri"/>
              </w:rPr>
              <w:t xml:space="preserve">Lorsque l’opération traitée en </w:t>
            </w:r>
            <w:r w:rsidR="00E7050D">
              <w:rPr>
                <w:rFonts w:ascii="Calibri" w:hAnsi="Calibri"/>
              </w:rPr>
              <w:t>devises</w:t>
            </w:r>
            <w:r w:rsidRPr="00ED00DC">
              <w:rPr>
                <w:rFonts w:ascii="Calibri" w:hAnsi="Calibri"/>
              </w:rPr>
              <w:t xml:space="preserve"> est assortie par l’entité d’une opération symétrique destinée à couvrir les conséquences de la fluctuation du change, appelée couverture de change conformément à l’article</w:t>
            </w:r>
            <w:r w:rsidR="00A6394D">
              <w:rPr>
                <w:rFonts w:ascii="Calibri" w:hAnsi="Calibri"/>
              </w:rPr>
              <w:t> </w:t>
            </w:r>
            <w:r w:rsidRPr="00ED00DC">
              <w:rPr>
                <w:rFonts w:ascii="Calibri" w:hAnsi="Calibri"/>
              </w:rPr>
              <w:t xml:space="preserve">628-6, la provision n’est constituée qu’à concurrence du </w:t>
            </w:r>
            <w:r>
              <w:rPr>
                <w:rFonts w:ascii="Calibri" w:hAnsi="Calibri"/>
              </w:rPr>
              <w:t>risque non couvert.</w:t>
            </w:r>
          </w:p>
        </w:tc>
      </w:tr>
      <w:tr w:rsidR="00ED00DC" w:rsidTr="002025B7">
        <w:trPr>
          <w:trHeight w:val="1133"/>
        </w:trPr>
        <w:tc>
          <w:tcPr>
            <w:tcW w:w="988" w:type="dxa"/>
            <w:vAlign w:val="center"/>
          </w:tcPr>
          <w:p w:rsidR="00ED00DC" w:rsidRDefault="00ED00DC" w:rsidP="004C304E">
            <w:pPr>
              <w:pStyle w:val="Default"/>
              <w:jc w:val="center"/>
              <w:rPr>
                <w:rFonts w:ascii="Calibri" w:hAnsi="Calibri"/>
              </w:rPr>
            </w:pPr>
            <w:r>
              <w:rPr>
                <w:rFonts w:ascii="Calibri" w:hAnsi="Calibri"/>
              </w:rPr>
              <w:t>Cas 2</w:t>
            </w:r>
          </w:p>
        </w:tc>
        <w:tc>
          <w:tcPr>
            <w:tcW w:w="8759" w:type="dxa"/>
            <w:vAlign w:val="center"/>
          </w:tcPr>
          <w:p w:rsidR="00ED00DC" w:rsidRDefault="00ED00DC" w:rsidP="004C304E">
            <w:pPr>
              <w:pStyle w:val="Default"/>
              <w:jc w:val="both"/>
              <w:rPr>
                <w:rFonts w:ascii="Calibri" w:hAnsi="Calibri"/>
              </w:rPr>
            </w:pPr>
            <w:r w:rsidRPr="00ED00DC">
              <w:rPr>
                <w:rFonts w:ascii="Calibri" w:hAnsi="Calibri"/>
              </w:rPr>
              <w:t xml:space="preserve">Lorsqu’une opération en </w:t>
            </w:r>
            <w:r w:rsidR="009A4DE0">
              <w:rPr>
                <w:rFonts w:ascii="Calibri" w:hAnsi="Calibri"/>
              </w:rPr>
              <w:t>devises</w:t>
            </w:r>
            <w:r w:rsidRPr="00ED00DC">
              <w:rPr>
                <w:rFonts w:ascii="Calibri" w:hAnsi="Calibri"/>
              </w:rPr>
              <w:t xml:space="preserve"> sur laquelle est constatée une perte latente est qualifiée d’instrument de couverture conformément à l’article</w:t>
            </w:r>
            <w:r w:rsidR="00A6394D">
              <w:rPr>
                <w:rFonts w:ascii="Calibri" w:hAnsi="Calibri"/>
              </w:rPr>
              <w:t> </w:t>
            </w:r>
            <w:r w:rsidRPr="00ED00DC">
              <w:rPr>
                <w:rFonts w:ascii="Calibri" w:hAnsi="Calibri"/>
              </w:rPr>
              <w:t>628-7, celle-ci ne donne lieu à aucune provision.</w:t>
            </w:r>
          </w:p>
        </w:tc>
      </w:tr>
      <w:tr w:rsidR="00ED00DC" w:rsidTr="002025B7">
        <w:trPr>
          <w:trHeight w:val="1405"/>
        </w:trPr>
        <w:tc>
          <w:tcPr>
            <w:tcW w:w="988" w:type="dxa"/>
            <w:vAlign w:val="center"/>
          </w:tcPr>
          <w:p w:rsidR="00ED00DC" w:rsidRDefault="00ED00DC" w:rsidP="004C304E">
            <w:pPr>
              <w:pStyle w:val="Default"/>
              <w:jc w:val="center"/>
              <w:rPr>
                <w:rFonts w:ascii="Calibri" w:hAnsi="Calibri"/>
              </w:rPr>
            </w:pPr>
            <w:r>
              <w:rPr>
                <w:rFonts w:ascii="Calibri" w:hAnsi="Calibri"/>
              </w:rPr>
              <w:t>Cas 3</w:t>
            </w:r>
          </w:p>
        </w:tc>
        <w:tc>
          <w:tcPr>
            <w:tcW w:w="8759" w:type="dxa"/>
            <w:vAlign w:val="center"/>
          </w:tcPr>
          <w:p w:rsidR="00ED00DC" w:rsidRDefault="00ED00DC" w:rsidP="004C304E">
            <w:pPr>
              <w:pStyle w:val="Default"/>
              <w:jc w:val="both"/>
              <w:rPr>
                <w:rFonts w:ascii="Calibri" w:hAnsi="Calibri"/>
              </w:rPr>
            </w:pPr>
            <w:r w:rsidRPr="00ED00DC">
              <w:rPr>
                <w:rFonts w:ascii="Calibri" w:hAnsi="Calibri"/>
              </w:rPr>
              <w:t>Lorsque</w:t>
            </w:r>
            <w:r w:rsidR="00FE384A">
              <w:rPr>
                <w:rFonts w:ascii="Calibri" w:hAnsi="Calibri"/>
              </w:rPr>
              <w:t>,</w:t>
            </w:r>
            <w:r w:rsidRPr="00ED00DC">
              <w:rPr>
                <w:rFonts w:ascii="Calibri" w:hAnsi="Calibri"/>
              </w:rPr>
              <w:t xml:space="preserve"> pour des opérations dont les termes sont suffisamment voisins, les pertes et les gains latents peuvent être considérés comme concourant à une position globale de change, le montant de la dotation peut être limité à l’excédent des pertes sur les </w:t>
            </w:r>
            <w:r w:rsidR="00E7050D" w:rsidRPr="00ED00DC">
              <w:rPr>
                <w:rFonts w:ascii="Calibri" w:hAnsi="Calibri"/>
              </w:rPr>
              <w:t>gains.</w:t>
            </w:r>
          </w:p>
        </w:tc>
      </w:tr>
    </w:tbl>
    <w:p w:rsidR="00ED00DC" w:rsidRDefault="00ED00DC" w:rsidP="006446CA">
      <w:pPr>
        <w:pStyle w:val="Default"/>
        <w:jc w:val="both"/>
        <w:rPr>
          <w:rFonts w:ascii="Calibri" w:hAnsi="Calibri"/>
        </w:rPr>
      </w:pPr>
    </w:p>
    <w:p w:rsidR="00837DBF" w:rsidRDefault="00837DBF" w:rsidP="006446CA">
      <w:pPr>
        <w:pStyle w:val="Default"/>
        <w:jc w:val="both"/>
        <w:rPr>
          <w:rFonts w:ascii="Calibri" w:hAnsi="Calibri"/>
        </w:rPr>
      </w:pPr>
      <w:r>
        <w:rPr>
          <w:rFonts w:ascii="Calibri" w:hAnsi="Calibri"/>
        </w:rPr>
        <w:t>Les deux cas qui sont supprimés sont les suivants :</w:t>
      </w:r>
    </w:p>
    <w:p w:rsidR="00926068" w:rsidRPr="004C304E" w:rsidRDefault="00926068" w:rsidP="006446CA">
      <w:pPr>
        <w:autoSpaceDE w:val="0"/>
        <w:autoSpaceDN w:val="0"/>
        <w:adjustRightInd w:val="0"/>
        <w:spacing w:after="0" w:line="240" w:lineRule="auto"/>
        <w:rPr>
          <w:rFonts w:ascii="Times New Roman" w:hAnsi="Times New Roman" w:cs="Times New Roman"/>
          <w:color w:val="000000"/>
          <w:sz w:val="10"/>
          <w:szCs w:val="10"/>
        </w:rPr>
      </w:pPr>
    </w:p>
    <w:p w:rsidR="00BD324A" w:rsidRDefault="00BD324A" w:rsidP="006446CA">
      <w:pPr>
        <w:pStyle w:val="Paragraphedeliste"/>
        <w:numPr>
          <w:ilvl w:val="0"/>
          <w:numId w:val="1"/>
        </w:numPr>
        <w:autoSpaceDE w:val="0"/>
        <w:autoSpaceDN w:val="0"/>
        <w:adjustRightInd w:val="0"/>
        <w:spacing w:after="167" w:line="240" w:lineRule="auto"/>
        <w:jc w:val="both"/>
        <w:rPr>
          <w:rFonts w:ascii="Calibri" w:hAnsi="Calibri" w:cs="Times New Roman"/>
          <w:color w:val="000000"/>
          <w:sz w:val="24"/>
          <w:szCs w:val="24"/>
        </w:rPr>
      </w:pPr>
      <w:r w:rsidRPr="00BD324A">
        <w:rPr>
          <w:rFonts w:ascii="Calibri" w:hAnsi="Calibri" w:cs="Times New Roman"/>
          <w:color w:val="000000"/>
          <w:sz w:val="24"/>
          <w:szCs w:val="24"/>
        </w:rPr>
        <w:t>C</w:t>
      </w:r>
      <w:r w:rsidR="00926068" w:rsidRPr="00BD324A">
        <w:rPr>
          <w:rFonts w:ascii="Calibri" w:hAnsi="Calibri" w:cs="Times New Roman"/>
          <w:color w:val="000000"/>
          <w:sz w:val="24"/>
          <w:szCs w:val="24"/>
        </w:rPr>
        <w:t xml:space="preserve">harges financières liées à un emprunt en </w:t>
      </w:r>
      <w:r w:rsidR="00E7050D">
        <w:rPr>
          <w:rFonts w:ascii="Calibri" w:hAnsi="Calibri" w:cs="Times New Roman"/>
          <w:color w:val="000000"/>
          <w:sz w:val="24"/>
          <w:szCs w:val="24"/>
        </w:rPr>
        <w:t>devises</w:t>
      </w:r>
      <w:r w:rsidR="00926068" w:rsidRPr="00BD324A">
        <w:rPr>
          <w:rFonts w:ascii="Calibri" w:hAnsi="Calibri" w:cs="Times New Roman"/>
          <w:color w:val="000000"/>
          <w:sz w:val="24"/>
          <w:szCs w:val="24"/>
        </w:rPr>
        <w:t xml:space="preserve"> inférieures à celles d’un emprunt en </w:t>
      </w:r>
      <w:r w:rsidRPr="00BD324A">
        <w:rPr>
          <w:rFonts w:ascii="Calibri" w:hAnsi="Calibri" w:cs="Times New Roman"/>
          <w:color w:val="000000"/>
          <w:sz w:val="24"/>
          <w:szCs w:val="24"/>
        </w:rPr>
        <w:t xml:space="preserve">monnaie nationale </w:t>
      </w:r>
      <w:r w:rsidR="00926068" w:rsidRPr="00BD324A">
        <w:rPr>
          <w:rFonts w:ascii="Calibri" w:hAnsi="Calibri" w:cs="Times New Roman"/>
          <w:color w:val="000000"/>
          <w:sz w:val="24"/>
          <w:szCs w:val="24"/>
        </w:rPr>
        <w:t xml:space="preserve">: la dotation aux provisions pour risque de change peut être limitée à la différence entre les charges réelles et les charges calculées (si l’emprunt avait été émis directement en </w:t>
      </w:r>
      <w:r w:rsidR="009A4DE0">
        <w:rPr>
          <w:rFonts w:ascii="Calibri" w:hAnsi="Calibri" w:cs="Times New Roman"/>
          <w:color w:val="000000"/>
          <w:sz w:val="24"/>
          <w:szCs w:val="24"/>
        </w:rPr>
        <w:t>devises</w:t>
      </w:r>
      <w:r w:rsidR="004C304E">
        <w:rPr>
          <w:rFonts w:ascii="Calibri" w:hAnsi="Calibri" w:cs="Times New Roman"/>
          <w:color w:val="000000"/>
          <w:sz w:val="24"/>
          <w:szCs w:val="24"/>
        </w:rPr>
        <w:t xml:space="preserve"> nationale).</w:t>
      </w:r>
    </w:p>
    <w:p w:rsidR="004C304E" w:rsidRPr="004C304E" w:rsidRDefault="004C304E" w:rsidP="004C304E">
      <w:pPr>
        <w:pStyle w:val="Paragraphedeliste"/>
        <w:autoSpaceDE w:val="0"/>
        <w:autoSpaceDN w:val="0"/>
        <w:adjustRightInd w:val="0"/>
        <w:spacing w:after="167" w:line="240" w:lineRule="auto"/>
        <w:jc w:val="both"/>
        <w:rPr>
          <w:rFonts w:ascii="Calibri" w:hAnsi="Calibri" w:cs="Times New Roman"/>
          <w:color w:val="000000"/>
          <w:sz w:val="10"/>
          <w:szCs w:val="10"/>
        </w:rPr>
      </w:pPr>
    </w:p>
    <w:p w:rsidR="00926068" w:rsidRPr="00BD324A" w:rsidRDefault="00926068" w:rsidP="006446CA">
      <w:pPr>
        <w:pStyle w:val="Paragraphedeliste"/>
        <w:numPr>
          <w:ilvl w:val="0"/>
          <w:numId w:val="1"/>
        </w:numPr>
        <w:autoSpaceDE w:val="0"/>
        <w:autoSpaceDN w:val="0"/>
        <w:adjustRightInd w:val="0"/>
        <w:spacing w:after="167" w:line="240" w:lineRule="auto"/>
        <w:jc w:val="both"/>
        <w:rPr>
          <w:rFonts w:ascii="Calibri" w:hAnsi="Calibri" w:cs="Times New Roman"/>
          <w:color w:val="000000"/>
          <w:sz w:val="24"/>
          <w:szCs w:val="24"/>
        </w:rPr>
      </w:pPr>
      <w:r w:rsidRPr="00BD324A">
        <w:rPr>
          <w:rFonts w:ascii="Calibri" w:hAnsi="Calibri" w:cs="Times New Roman"/>
          <w:color w:val="000000"/>
          <w:sz w:val="24"/>
          <w:szCs w:val="24"/>
        </w:rPr>
        <w:t>Lorsque les pertes latentes de change sont attachées à une opération affectant plusieurs exercices, l’entité peut procéder à l’étalem</w:t>
      </w:r>
      <w:r w:rsidR="00BD324A" w:rsidRPr="00BD324A">
        <w:rPr>
          <w:rFonts w:ascii="Calibri" w:hAnsi="Calibri" w:cs="Times New Roman"/>
          <w:color w:val="000000"/>
          <w:sz w:val="24"/>
          <w:szCs w:val="24"/>
        </w:rPr>
        <w:t>ent de ces pertes</w:t>
      </w:r>
      <w:r w:rsidR="00FE384A">
        <w:rPr>
          <w:rFonts w:ascii="Calibri" w:hAnsi="Calibri" w:cs="Times New Roman"/>
          <w:color w:val="000000"/>
          <w:sz w:val="24"/>
          <w:szCs w:val="24"/>
        </w:rPr>
        <w:t>.</w:t>
      </w:r>
      <w:r w:rsidR="00BD324A" w:rsidRPr="00BD324A">
        <w:rPr>
          <w:rFonts w:ascii="Calibri" w:hAnsi="Calibri" w:cs="Times New Roman"/>
          <w:color w:val="000000"/>
          <w:sz w:val="24"/>
          <w:szCs w:val="24"/>
        </w:rPr>
        <w:t xml:space="preserve"> </w:t>
      </w:r>
      <w:r w:rsidRPr="00BD324A">
        <w:rPr>
          <w:rFonts w:ascii="Calibri" w:hAnsi="Calibri" w:cs="Times New Roman"/>
          <w:color w:val="000000"/>
          <w:sz w:val="24"/>
          <w:szCs w:val="24"/>
        </w:rPr>
        <w:t xml:space="preserve"> </w:t>
      </w:r>
    </w:p>
    <w:p w:rsidR="00926068" w:rsidRPr="004C304E" w:rsidRDefault="00926068" w:rsidP="006446CA">
      <w:pPr>
        <w:pStyle w:val="Default"/>
        <w:jc w:val="both"/>
        <w:rPr>
          <w:rFonts w:ascii="Calibri" w:hAnsi="Calibri"/>
          <w:sz w:val="10"/>
          <w:szCs w:val="10"/>
        </w:rPr>
      </w:pPr>
    </w:p>
    <w:p w:rsidR="009531B3" w:rsidRDefault="006B3B8E" w:rsidP="006446CA">
      <w:pPr>
        <w:pStyle w:val="Default"/>
        <w:jc w:val="both"/>
        <w:rPr>
          <w:rFonts w:ascii="Calibri" w:hAnsi="Calibri"/>
        </w:rPr>
      </w:pPr>
      <w:r>
        <w:rPr>
          <w:rFonts w:ascii="Calibri" w:hAnsi="Calibri"/>
        </w:rPr>
        <w:t xml:space="preserve">Le règlement 2015-05 apporte également des </w:t>
      </w:r>
      <w:r w:rsidR="004C21D4">
        <w:rPr>
          <w:rFonts w:ascii="Calibri" w:hAnsi="Calibri"/>
        </w:rPr>
        <w:t>compléments</w:t>
      </w:r>
      <w:r>
        <w:rPr>
          <w:rFonts w:ascii="Calibri" w:hAnsi="Calibri"/>
        </w:rPr>
        <w:t xml:space="preserve"> importants concernant la position globale de change.</w:t>
      </w:r>
      <w:r w:rsidR="004C21D4">
        <w:rPr>
          <w:rFonts w:ascii="Calibri" w:hAnsi="Calibri"/>
        </w:rPr>
        <w:t xml:space="preserve"> « Selon l’ANC, la position globale de change est une disposition comptable permettant de limiter les provisions pour pertes latentes au risque net global découlant de la position de l’entreprise » (</w:t>
      </w:r>
      <w:proofErr w:type="spellStart"/>
      <w:r w:rsidR="004C21D4">
        <w:rPr>
          <w:rFonts w:ascii="Calibri" w:hAnsi="Calibri"/>
        </w:rPr>
        <w:t>Sapet</w:t>
      </w:r>
      <w:proofErr w:type="spellEnd"/>
      <w:r w:rsidR="004C21D4">
        <w:rPr>
          <w:rFonts w:ascii="Calibri" w:hAnsi="Calibri"/>
        </w:rPr>
        <w:t>, Vincent, 2016, p. 60).</w:t>
      </w:r>
      <w:r>
        <w:rPr>
          <w:rFonts w:ascii="Calibri" w:hAnsi="Calibri"/>
        </w:rPr>
        <w:t xml:space="preserve"> </w:t>
      </w:r>
      <w:r w:rsidR="009531B3">
        <w:rPr>
          <w:rFonts w:ascii="Calibri" w:hAnsi="Calibri"/>
        </w:rPr>
        <w:t>Dans l’ancien article</w:t>
      </w:r>
      <w:r w:rsidR="00A6394D">
        <w:rPr>
          <w:rFonts w:ascii="Calibri" w:hAnsi="Calibri"/>
        </w:rPr>
        <w:t> </w:t>
      </w:r>
      <w:r w:rsidR="009531B3">
        <w:rPr>
          <w:rFonts w:ascii="Calibri" w:hAnsi="Calibri"/>
        </w:rPr>
        <w:t xml:space="preserve">420-6, la position globale de change n’était pas précisée. Désormais, c’est chose faite. </w:t>
      </w:r>
    </w:p>
    <w:p w:rsidR="00E94C31" w:rsidRPr="004C304E" w:rsidRDefault="00E94C31" w:rsidP="006446CA">
      <w:pPr>
        <w:pStyle w:val="Default"/>
        <w:jc w:val="both"/>
        <w:rPr>
          <w:rFonts w:ascii="Calibri" w:hAnsi="Calibri"/>
          <w:sz w:val="10"/>
          <w:szCs w:val="10"/>
        </w:rPr>
      </w:pPr>
    </w:p>
    <w:p w:rsidR="00E94C31" w:rsidRPr="00E94C31" w:rsidRDefault="00E94C31" w:rsidP="006446CA">
      <w:pPr>
        <w:pStyle w:val="Default"/>
        <w:jc w:val="both"/>
        <w:rPr>
          <w:rFonts w:ascii="Calibri" w:hAnsi="Calibri"/>
        </w:rPr>
      </w:pPr>
      <w:r w:rsidRPr="00E94C31">
        <w:rPr>
          <w:rFonts w:ascii="Calibri" w:hAnsi="Calibri"/>
        </w:rPr>
        <w:t xml:space="preserve">Il convient </w:t>
      </w:r>
      <w:r w:rsidR="008656BF" w:rsidRPr="00E94C31">
        <w:rPr>
          <w:rFonts w:ascii="Calibri" w:hAnsi="Calibri"/>
        </w:rPr>
        <w:t>donc</w:t>
      </w:r>
      <w:r w:rsidR="008656BF">
        <w:rPr>
          <w:rFonts w:ascii="Calibri" w:hAnsi="Calibri"/>
        </w:rPr>
        <w:t xml:space="preserve"> maintenant </w:t>
      </w:r>
      <w:r w:rsidR="008656BF" w:rsidRPr="00E94C31">
        <w:rPr>
          <w:rFonts w:ascii="Calibri" w:hAnsi="Calibri"/>
        </w:rPr>
        <w:t>d’apprécier</w:t>
      </w:r>
      <w:r w:rsidRPr="00E94C31">
        <w:rPr>
          <w:rFonts w:ascii="Calibri" w:hAnsi="Calibri"/>
        </w:rPr>
        <w:t xml:space="preserve"> toute perte latente de change découlant d’une position nette bilancielle de l’entreprise, en tenant compte des éléments qui suivent</w:t>
      </w:r>
      <w:r w:rsidR="00FE384A">
        <w:rPr>
          <w:rFonts w:ascii="Calibri" w:hAnsi="Calibri"/>
        </w:rPr>
        <w:t> </w:t>
      </w:r>
      <w:r w:rsidRPr="00E94C31">
        <w:rPr>
          <w:rFonts w:ascii="Calibri" w:hAnsi="Calibri"/>
        </w:rPr>
        <w:t xml:space="preserve">: </w:t>
      </w:r>
    </w:p>
    <w:p w:rsidR="00E94C31" w:rsidRPr="00E94C31" w:rsidRDefault="00E94C31" w:rsidP="006446CA">
      <w:pPr>
        <w:pStyle w:val="Default"/>
        <w:numPr>
          <w:ilvl w:val="0"/>
          <w:numId w:val="1"/>
        </w:numPr>
        <w:jc w:val="both"/>
        <w:rPr>
          <w:rFonts w:ascii="Calibri" w:hAnsi="Calibri"/>
        </w:rPr>
      </w:pPr>
      <w:r w:rsidRPr="00E94C31">
        <w:rPr>
          <w:rFonts w:ascii="Calibri" w:hAnsi="Calibri"/>
        </w:rPr>
        <w:t xml:space="preserve">la position doit être élaborée </w:t>
      </w:r>
      <w:r w:rsidR="009A4DE0">
        <w:rPr>
          <w:rFonts w:ascii="Calibri" w:hAnsi="Calibri"/>
        </w:rPr>
        <w:t>devises</w:t>
      </w:r>
      <w:r w:rsidRPr="00E94C31">
        <w:rPr>
          <w:rFonts w:ascii="Calibri" w:hAnsi="Calibri"/>
        </w:rPr>
        <w:t xml:space="preserve"> par </w:t>
      </w:r>
      <w:r w:rsidR="009A4DE0">
        <w:rPr>
          <w:rFonts w:ascii="Calibri" w:hAnsi="Calibri"/>
        </w:rPr>
        <w:t>devises</w:t>
      </w:r>
      <w:r w:rsidR="003E5115">
        <w:rPr>
          <w:rStyle w:val="Appelnotedebasdep"/>
          <w:rFonts w:ascii="Calibri" w:hAnsi="Calibri"/>
        </w:rPr>
        <w:footnoteReference w:id="5"/>
      </w:r>
      <w:r w:rsidRPr="00E94C31">
        <w:rPr>
          <w:rFonts w:ascii="Calibri" w:hAnsi="Calibri"/>
        </w:rPr>
        <w:t> ;</w:t>
      </w:r>
    </w:p>
    <w:p w:rsidR="00FE384A" w:rsidRDefault="00E94C31" w:rsidP="006446CA">
      <w:pPr>
        <w:pStyle w:val="Default"/>
        <w:numPr>
          <w:ilvl w:val="0"/>
          <w:numId w:val="1"/>
        </w:numPr>
        <w:jc w:val="both"/>
        <w:rPr>
          <w:rFonts w:ascii="Calibri" w:hAnsi="Calibri"/>
        </w:rPr>
      </w:pPr>
      <w:r w:rsidRPr="00E94C31">
        <w:rPr>
          <w:rFonts w:ascii="Calibri" w:hAnsi="Calibri"/>
        </w:rPr>
        <w:t>les opérations de couverture</w:t>
      </w:r>
      <w:r w:rsidR="00E7050D">
        <w:rPr>
          <w:rFonts w:ascii="Calibri" w:hAnsi="Calibri"/>
        </w:rPr>
        <w:t xml:space="preserve"> </w:t>
      </w:r>
      <w:r w:rsidRPr="00E94C31">
        <w:rPr>
          <w:rFonts w:ascii="Calibri" w:hAnsi="Calibri"/>
        </w:rPr>
        <w:t>et les éléments couverts (</w:t>
      </w:r>
      <w:r w:rsidRPr="008656BF">
        <w:rPr>
          <w:rFonts w:ascii="Calibri" w:hAnsi="Calibri"/>
          <w:b/>
        </w:rPr>
        <w:t>pour la partie couverte</w:t>
      </w:r>
      <w:r w:rsidRPr="00E94C31">
        <w:rPr>
          <w:rFonts w:ascii="Calibri" w:hAnsi="Calibri"/>
        </w:rPr>
        <w:t>) sont exclus de cette position ;</w:t>
      </w:r>
    </w:p>
    <w:p w:rsidR="00E94C31" w:rsidRPr="00E94C31" w:rsidRDefault="00E94C31" w:rsidP="006446CA">
      <w:pPr>
        <w:pStyle w:val="Default"/>
        <w:numPr>
          <w:ilvl w:val="0"/>
          <w:numId w:val="1"/>
        </w:numPr>
        <w:jc w:val="both"/>
        <w:rPr>
          <w:rFonts w:ascii="Calibri" w:hAnsi="Calibri"/>
        </w:rPr>
      </w:pPr>
      <w:r w:rsidRPr="00E94C31">
        <w:rPr>
          <w:rFonts w:ascii="Calibri" w:hAnsi="Calibri"/>
        </w:rPr>
        <w:t xml:space="preserve">l’échéance des éléments inclus dans la position doit être </w:t>
      </w:r>
      <w:r w:rsidR="00165456" w:rsidRPr="00165456">
        <w:rPr>
          <w:rFonts w:ascii="Calibri" w:hAnsi="Calibri"/>
          <w:b/>
        </w:rPr>
        <w:t>comprise dans le même exercice comptable</w:t>
      </w:r>
      <w:r w:rsidRPr="00E94C31">
        <w:rPr>
          <w:rFonts w:ascii="Calibri" w:hAnsi="Calibri"/>
        </w:rPr>
        <w:t xml:space="preserve"> ; </w:t>
      </w:r>
    </w:p>
    <w:p w:rsidR="00FE384A" w:rsidRDefault="00E94C31" w:rsidP="004C304E">
      <w:pPr>
        <w:pStyle w:val="Default"/>
        <w:numPr>
          <w:ilvl w:val="0"/>
          <w:numId w:val="1"/>
        </w:numPr>
        <w:jc w:val="both"/>
        <w:rPr>
          <w:rFonts w:ascii="Calibri" w:hAnsi="Calibri"/>
        </w:rPr>
      </w:pPr>
      <w:r w:rsidRPr="00E94C31">
        <w:rPr>
          <w:rFonts w:ascii="Calibri" w:hAnsi="Calibri"/>
        </w:rPr>
        <w:t>ne doivent être inclus dans la position que des éléments réalisables (créances, dettes, instruments dérivés…) à l’exception des disponibilités</w:t>
      </w:r>
      <w:r w:rsidR="00FE384A">
        <w:rPr>
          <w:rFonts w:ascii="Calibri" w:hAnsi="Calibri"/>
        </w:rPr>
        <w:t> ;</w:t>
      </w:r>
    </w:p>
    <w:p w:rsidR="00E94C31" w:rsidRPr="00FE384A" w:rsidRDefault="00E94C31" w:rsidP="004C304E">
      <w:pPr>
        <w:pStyle w:val="Default"/>
        <w:numPr>
          <w:ilvl w:val="0"/>
          <w:numId w:val="1"/>
        </w:numPr>
        <w:jc w:val="both"/>
        <w:rPr>
          <w:rFonts w:ascii="Calibri" w:hAnsi="Calibri"/>
        </w:rPr>
      </w:pPr>
      <w:r w:rsidRPr="00FE384A">
        <w:rPr>
          <w:rFonts w:ascii="Calibri" w:hAnsi="Calibri"/>
        </w:rPr>
        <w:t>la position est utilisée uniquement pour la détermination de la provision</w:t>
      </w:r>
      <w:r w:rsidR="00FE384A">
        <w:rPr>
          <w:rFonts w:ascii="Calibri" w:hAnsi="Calibri"/>
        </w:rPr>
        <w:t> ;</w:t>
      </w:r>
      <w:r w:rsidRPr="00FE384A">
        <w:rPr>
          <w:rFonts w:ascii="Calibri" w:hAnsi="Calibri"/>
        </w:rPr>
        <w:t xml:space="preserve"> </w:t>
      </w:r>
    </w:p>
    <w:p w:rsidR="002025B7" w:rsidRPr="002025B7" w:rsidRDefault="00E94C31" w:rsidP="002025B7">
      <w:pPr>
        <w:pStyle w:val="Default"/>
        <w:numPr>
          <w:ilvl w:val="0"/>
          <w:numId w:val="1"/>
        </w:numPr>
        <w:rPr>
          <w:rFonts w:ascii="Calibri" w:hAnsi="Calibri"/>
        </w:rPr>
      </w:pPr>
      <w:r w:rsidRPr="00FE384A">
        <w:rPr>
          <w:rFonts w:ascii="Calibri" w:hAnsi="Calibri"/>
        </w:rPr>
        <w:t xml:space="preserve">une justification formalisée appropriée doit être établie. </w:t>
      </w:r>
      <w:r w:rsidR="002025B7" w:rsidRPr="002025B7">
        <w:rPr>
          <w:rFonts w:ascii="Calibri" w:hAnsi="Calibri"/>
          <w:b/>
        </w:rPr>
        <w:br w:type="page"/>
      </w:r>
    </w:p>
    <w:p w:rsidR="000052B4" w:rsidRDefault="004A420C" w:rsidP="006446CA">
      <w:pPr>
        <w:pStyle w:val="Default"/>
        <w:jc w:val="both"/>
        <w:rPr>
          <w:rFonts w:ascii="Calibri" w:hAnsi="Calibri"/>
        </w:rPr>
      </w:pPr>
      <w:r w:rsidRPr="00FE384A">
        <w:rPr>
          <w:rFonts w:ascii="Calibri" w:hAnsi="Calibri"/>
          <w:b/>
        </w:rPr>
        <w:lastRenderedPageBreak/>
        <w:t>Exemple 2</w:t>
      </w:r>
      <w:r w:rsidR="000052B4">
        <w:rPr>
          <w:rFonts w:ascii="Calibri" w:hAnsi="Calibri"/>
        </w:rPr>
        <w:t xml:space="preserve"> :</w:t>
      </w:r>
    </w:p>
    <w:p w:rsidR="000052B4" w:rsidRDefault="000052B4" w:rsidP="006446CA">
      <w:pPr>
        <w:pStyle w:val="Default"/>
        <w:jc w:val="both"/>
        <w:rPr>
          <w:rFonts w:ascii="Calibri" w:hAnsi="Calibri"/>
        </w:rPr>
      </w:pPr>
    </w:p>
    <w:p w:rsidR="00944169" w:rsidRDefault="00944169" w:rsidP="006446CA">
      <w:pPr>
        <w:pStyle w:val="Default"/>
        <w:jc w:val="both"/>
        <w:rPr>
          <w:rFonts w:ascii="Calibri" w:hAnsi="Calibri"/>
        </w:rPr>
      </w:pPr>
      <w:r w:rsidRPr="00FE384A">
        <w:rPr>
          <w:rFonts w:ascii="Calibri" w:hAnsi="Calibri"/>
        </w:rPr>
        <w:t>Au 31/12/N,</w:t>
      </w:r>
      <w:r w:rsidR="00C256E9">
        <w:rPr>
          <w:rFonts w:ascii="Calibri" w:hAnsi="Calibri"/>
        </w:rPr>
        <w:t xml:space="preserve"> l’état des créances et dettes libellées en monnaies étrangères de  </w:t>
      </w:r>
      <w:r w:rsidRPr="00FE384A">
        <w:rPr>
          <w:rFonts w:ascii="Calibri" w:hAnsi="Calibri"/>
        </w:rPr>
        <w:t xml:space="preserve"> l’</w:t>
      </w:r>
      <w:r w:rsidR="00370FD7" w:rsidRPr="00FE384A">
        <w:rPr>
          <w:rFonts w:ascii="Calibri" w:hAnsi="Calibri"/>
        </w:rPr>
        <w:t>entreprise Gamma</w:t>
      </w:r>
      <w:r w:rsidR="00FE384A">
        <w:rPr>
          <w:rFonts w:ascii="Calibri" w:hAnsi="Calibri"/>
        </w:rPr>
        <w:t>,</w:t>
      </w:r>
      <w:r w:rsidR="00370FD7" w:rsidRPr="00FE384A">
        <w:rPr>
          <w:rFonts w:ascii="Calibri" w:hAnsi="Calibri"/>
        </w:rPr>
        <w:t xml:space="preserve"> </w:t>
      </w:r>
      <w:r w:rsidRPr="00FE384A">
        <w:rPr>
          <w:rFonts w:ascii="Calibri" w:hAnsi="Calibri"/>
        </w:rPr>
        <w:t>qui fabrique des pièces automobiles</w:t>
      </w:r>
      <w:r w:rsidR="00FE384A">
        <w:rPr>
          <w:rFonts w:ascii="Calibri" w:hAnsi="Calibri"/>
        </w:rPr>
        <w:t>,</w:t>
      </w:r>
      <w:r w:rsidR="00C256E9">
        <w:rPr>
          <w:rFonts w:ascii="Calibri" w:hAnsi="Calibri"/>
        </w:rPr>
        <w:t xml:space="preserve"> se présente ainsi :</w:t>
      </w:r>
    </w:p>
    <w:p w:rsidR="002025B7" w:rsidRPr="008656BF" w:rsidRDefault="002025B7" w:rsidP="006446CA">
      <w:pPr>
        <w:pStyle w:val="Default"/>
        <w:jc w:val="both"/>
        <w:rPr>
          <w:rFonts w:ascii="Calibri" w:hAnsi="Calibri"/>
          <w:i/>
        </w:rPr>
      </w:pPr>
    </w:p>
    <w:tbl>
      <w:tblPr>
        <w:tblStyle w:val="Grilledutableau"/>
        <w:tblW w:w="0" w:type="auto"/>
        <w:tblLook w:val="04A0"/>
      </w:tblPr>
      <w:tblGrid>
        <w:gridCol w:w="2235"/>
        <w:gridCol w:w="1781"/>
        <w:gridCol w:w="1621"/>
        <w:gridCol w:w="2835"/>
        <w:gridCol w:w="1270"/>
      </w:tblGrid>
      <w:tr w:rsidR="00C256E9" w:rsidRPr="00BB6CFF" w:rsidTr="004D5CC7">
        <w:trPr>
          <w:trHeight w:val="954"/>
        </w:trPr>
        <w:tc>
          <w:tcPr>
            <w:tcW w:w="2235" w:type="dxa"/>
            <w:vAlign w:val="center"/>
          </w:tcPr>
          <w:p w:rsidR="00C256E9" w:rsidRPr="008656BF" w:rsidRDefault="002025B7" w:rsidP="002025B7">
            <w:pPr>
              <w:pStyle w:val="Default"/>
              <w:jc w:val="center"/>
              <w:rPr>
                <w:rFonts w:ascii="Calibri" w:hAnsi="Calibri"/>
                <w:sz w:val="22"/>
              </w:rPr>
            </w:pPr>
            <w:r w:rsidRPr="008656BF">
              <w:rPr>
                <w:rFonts w:ascii="Calibri" w:hAnsi="Calibri"/>
                <w:sz w:val="22"/>
              </w:rPr>
              <w:t>Éléments</w:t>
            </w:r>
          </w:p>
        </w:tc>
        <w:tc>
          <w:tcPr>
            <w:tcW w:w="1781" w:type="dxa"/>
            <w:vAlign w:val="center"/>
          </w:tcPr>
          <w:p w:rsidR="00C256E9" w:rsidRPr="008656BF" w:rsidRDefault="00C256E9" w:rsidP="002025B7">
            <w:pPr>
              <w:pStyle w:val="Default"/>
              <w:jc w:val="center"/>
              <w:rPr>
                <w:rFonts w:ascii="Calibri" w:hAnsi="Calibri"/>
                <w:sz w:val="22"/>
              </w:rPr>
            </w:pPr>
            <w:r w:rsidRPr="008656BF">
              <w:rPr>
                <w:rFonts w:ascii="Calibri" w:hAnsi="Calibri"/>
                <w:sz w:val="22"/>
              </w:rPr>
              <w:t xml:space="preserve">Montants </w:t>
            </w:r>
            <w:r>
              <w:rPr>
                <w:rFonts w:ascii="Calibri" w:hAnsi="Calibri"/>
                <w:sz w:val="22"/>
              </w:rPr>
              <w:t>en devises étrangères</w:t>
            </w:r>
            <w:r w:rsidR="003155CE">
              <w:rPr>
                <w:rFonts w:ascii="Calibri" w:hAnsi="Calibri"/>
                <w:sz w:val="22"/>
              </w:rPr>
              <w:t xml:space="preserve"> (1)</w:t>
            </w:r>
          </w:p>
        </w:tc>
        <w:tc>
          <w:tcPr>
            <w:tcW w:w="1621" w:type="dxa"/>
            <w:vAlign w:val="center"/>
          </w:tcPr>
          <w:p w:rsidR="00A816A1" w:rsidRDefault="00A816A1" w:rsidP="002025B7">
            <w:pPr>
              <w:pStyle w:val="Default"/>
              <w:jc w:val="center"/>
              <w:rPr>
                <w:rFonts w:ascii="Calibri" w:hAnsi="Calibri"/>
                <w:sz w:val="22"/>
              </w:rPr>
            </w:pPr>
            <w:r w:rsidRPr="008656BF">
              <w:rPr>
                <w:rFonts w:ascii="Calibri" w:hAnsi="Calibri"/>
                <w:sz w:val="22"/>
              </w:rPr>
              <w:t>Opération</w:t>
            </w:r>
          </w:p>
          <w:p w:rsidR="00C256E9" w:rsidRPr="008656BF" w:rsidRDefault="00C256E9" w:rsidP="002025B7">
            <w:pPr>
              <w:pStyle w:val="Default"/>
              <w:jc w:val="center"/>
              <w:rPr>
                <w:rFonts w:ascii="Calibri" w:hAnsi="Calibri"/>
                <w:sz w:val="22"/>
              </w:rPr>
            </w:pPr>
            <w:r w:rsidRPr="008656BF">
              <w:rPr>
                <w:rFonts w:ascii="Calibri" w:hAnsi="Calibri"/>
                <w:sz w:val="22"/>
              </w:rPr>
              <w:t>de couverture</w:t>
            </w:r>
          </w:p>
        </w:tc>
        <w:tc>
          <w:tcPr>
            <w:tcW w:w="2835" w:type="dxa"/>
            <w:vAlign w:val="center"/>
          </w:tcPr>
          <w:p w:rsidR="00C256E9" w:rsidRPr="008656BF" w:rsidRDefault="002025B7" w:rsidP="002025B7">
            <w:pPr>
              <w:pStyle w:val="Default"/>
              <w:jc w:val="center"/>
              <w:rPr>
                <w:rFonts w:ascii="Calibri" w:hAnsi="Calibri"/>
                <w:sz w:val="22"/>
              </w:rPr>
            </w:pPr>
            <w:r w:rsidRPr="008656BF">
              <w:rPr>
                <w:rFonts w:ascii="Calibri" w:hAnsi="Calibri"/>
                <w:sz w:val="22"/>
              </w:rPr>
              <w:t>Écarts</w:t>
            </w:r>
            <w:r w:rsidR="00C256E9" w:rsidRPr="008656BF">
              <w:rPr>
                <w:rFonts w:ascii="Calibri" w:hAnsi="Calibri"/>
                <w:sz w:val="22"/>
              </w:rPr>
              <w:t xml:space="preserve"> de conversion  (en €)</w:t>
            </w:r>
            <w:r w:rsidR="00C256E9">
              <w:rPr>
                <w:rFonts w:ascii="Calibri" w:hAnsi="Calibri"/>
                <w:sz w:val="22"/>
              </w:rPr>
              <w:t xml:space="preserve"> </w:t>
            </w:r>
            <w:r w:rsidR="00C256E9" w:rsidRPr="008656BF">
              <w:rPr>
                <w:rFonts w:ascii="Calibri" w:hAnsi="Calibri"/>
                <w:sz w:val="22"/>
              </w:rPr>
              <w:t>:</w:t>
            </w:r>
          </w:p>
          <w:p w:rsidR="00C256E9" w:rsidRPr="008656BF" w:rsidRDefault="00C256E9" w:rsidP="002025B7">
            <w:pPr>
              <w:pStyle w:val="Default"/>
              <w:jc w:val="center"/>
              <w:rPr>
                <w:rFonts w:ascii="Calibri" w:hAnsi="Calibri"/>
                <w:sz w:val="22"/>
              </w:rPr>
            </w:pPr>
            <w:r w:rsidRPr="008656BF">
              <w:rPr>
                <w:rFonts w:ascii="Calibri" w:hAnsi="Calibri"/>
                <w:sz w:val="22"/>
              </w:rPr>
              <w:t>+ gains latents de change</w:t>
            </w:r>
          </w:p>
          <w:p w:rsidR="00C256E9" w:rsidRPr="008656BF" w:rsidRDefault="00C256E9" w:rsidP="002025B7">
            <w:pPr>
              <w:pStyle w:val="Default"/>
              <w:jc w:val="center"/>
              <w:rPr>
                <w:rFonts w:ascii="Calibri" w:hAnsi="Calibri"/>
                <w:sz w:val="22"/>
              </w:rPr>
            </w:pPr>
            <w:r w:rsidRPr="008656BF">
              <w:rPr>
                <w:rFonts w:ascii="Calibri" w:hAnsi="Calibri"/>
                <w:sz w:val="22"/>
              </w:rPr>
              <w:t>- Pertes latentes</w:t>
            </w:r>
          </w:p>
        </w:tc>
        <w:tc>
          <w:tcPr>
            <w:tcW w:w="1270" w:type="dxa"/>
            <w:vAlign w:val="center"/>
          </w:tcPr>
          <w:p w:rsidR="00C256E9" w:rsidRPr="008656BF" w:rsidRDefault="002025B7" w:rsidP="002025B7">
            <w:pPr>
              <w:pStyle w:val="Default"/>
              <w:jc w:val="center"/>
              <w:rPr>
                <w:rFonts w:ascii="Calibri" w:hAnsi="Calibri"/>
                <w:sz w:val="22"/>
              </w:rPr>
            </w:pPr>
            <w:r>
              <w:rPr>
                <w:rFonts w:ascii="Calibri" w:hAnsi="Calibri"/>
                <w:sz w:val="22"/>
              </w:rPr>
              <w:t>Échéance</w:t>
            </w:r>
          </w:p>
        </w:tc>
      </w:tr>
      <w:tr w:rsidR="00C256E9" w:rsidRPr="00BB6CFF" w:rsidTr="004D5CC7">
        <w:tc>
          <w:tcPr>
            <w:tcW w:w="2235" w:type="dxa"/>
            <w:vAlign w:val="center"/>
          </w:tcPr>
          <w:p w:rsidR="008F76F2" w:rsidRDefault="00C256E9" w:rsidP="002025B7">
            <w:pPr>
              <w:pStyle w:val="Default"/>
              <w:jc w:val="center"/>
              <w:rPr>
                <w:rFonts w:ascii="Calibri" w:hAnsi="Calibri"/>
                <w:sz w:val="22"/>
              </w:rPr>
            </w:pPr>
            <w:r w:rsidRPr="008656BF">
              <w:rPr>
                <w:rFonts w:ascii="Calibri" w:hAnsi="Calibri"/>
                <w:sz w:val="22"/>
              </w:rPr>
              <w:t>Avances et acomptes versés</w:t>
            </w:r>
            <w:r w:rsidR="00E805D3">
              <w:rPr>
                <w:rFonts w:ascii="Calibri" w:hAnsi="Calibri"/>
                <w:sz w:val="22"/>
              </w:rPr>
              <w:t xml:space="preserve"> sur commandes</w:t>
            </w:r>
          </w:p>
        </w:tc>
        <w:tc>
          <w:tcPr>
            <w:tcW w:w="1781" w:type="dxa"/>
            <w:vAlign w:val="center"/>
          </w:tcPr>
          <w:p w:rsidR="00C256E9" w:rsidRPr="008656BF" w:rsidRDefault="00C256E9" w:rsidP="002025B7">
            <w:pPr>
              <w:pStyle w:val="Default"/>
              <w:jc w:val="center"/>
              <w:rPr>
                <w:rFonts w:ascii="Calibri" w:hAnsi="Calibri"/>
                <w:sz w:val="22"/>
              </w:rPr>
            </w:pPr>
            <w:r w:rsidRPr="008656BF">
              <w:rPr>
                <w:rFonts w:ascii="Calibri" w:hAnsi="Calibri"/>
                <w:sz w:val="22"/>
              </w:rPr>
              <w:t>50</w:t>
            </w:r>
            <w:r>
              <w:rPr>
                <w:rFonts w:ascii="Calibri" w:hAnsi="Calibri"/>
                <w:sz w:val="22"/>
              </w:rPr>
              <w:t> </w:t>
            </w:r>
            <w:r w:rsidRPr="008656BF">
              <w:rPr>
                <w:rFonts w:ascii="Calibri" w:hAnsi="Calibri"/>
                <w:sz w:val="22"/>
              </w:rPr>
              <w:t>000</w:t>
            </w:r>
            <w:r>
              <w:rPr>
                <w:rFonts w:ascii="Calibri" w:hAnsi="Calibri"/>
                <w:sz w:val="22"/>
              </w:rPr>
              <w:t xml:space="preserve"> </w:t>
            </w:r>
            <w:r w:rsidR="006E0790">
              <w:rPr>
                <w:rFonts w:ascii="Calibri" w:hAnsi="Calibri"/>
                <w:sz w:val="22"/>
              </w:rPr>
              <w:t>DE1</w:t>
            </w:r>
          </w:p>
        </w:tc>
        <w:tc>
          <w:tcPr>
            <w:tcW w:w="1621" w:type="dxa"/>
            <w:vAlign w:val="center"/>
          </w:tcPr>
          <w:p w:rsidR="00C256E9" w:rsidRPr="008656BF" w:rsidRDefault="00C256E9" w:rsidP="002025B7">
            <w:pPr>
              <w:pStyle w:val="Default"/>
              <w:jc w:val="center"/>
              <w:rPr>
                <w:rFonts w:ascii="Calibri" w:hAnsi="Calibri"/>
                <w:sz w:val="22"/>
              </w:rPr>
            </w:pPr>
            <w:r w:rsidRPr="008656BF">
              <w:rPr>
                <w:rFonts w:ascii="Calibri" w:hAnsi="Calibri"/>
                <w:sz w:val="22"/>
              </w:rPr>
              <w:t>Non</w:t>
            </w:r>
          </w:p>
        </w:tc>
        <w:tc>
          <w:tcPr>
            <w:tcW w:w="2835" w:type="dxa"/>
            <w:vAlign w:val="center"/>
          </w:tcPr>
          <w:p w:rsidR="00C256E9" w:rsidRPr="008656BF" w:rsidRDefault="00C256E9" w:rsidP="002025B7">
            <w:pPr>
              <w:pStyle w:val="Default"/>
              <w:jc w:val="center"/>
              <w:rPr>
                <w:rFonts w:ascii="Calibri" w:hAnsi="Calibri"/>
                <w:sz w:val="22"/>
              </w:rPr>
            </w:pPr>
            <w:r w:rsidRPr="008656BF">
              <w:rPr>
                <w:rFonts w:ascii="Calibri" w:hAnsi="Calibri"/>
                <w:sz w:val="22"/>
              </w:rPr>
              <w:t>+ 15 000</w:t>
            </w:r>
          </w:p>
        </w:tc>
        <w:tc>
          <w:tcPr>
            <w:tcW w:w="1270" w:type="dxa"/>
            <w:vAlign w:val="center"/>
          </w:tcPr>
          <w:p w:rsidR="00C256E9" w:rsidRPr="008656BF" w:rsidRDefault="00E805D3" w:rsidP="002025B7">
            <w:pPr>
              <w:pStyle w:val="Default"/>
              <w:jc w:val="center"/>
              <w:rPr>
                <w:rFonts w:ascii="Calibri" w:hAnsi="Calibri"/>
                <w:sz w:val="22"/>
              </w:rPr>
            </w:pPr>
            <w:r>
              <w:rPr>
                <w:rFonts w:ascii="Calibri" w:hAnsi="Calibri"/>
                <w:sz w:val="22"/>
              </w:rPr>
              <w:t>30/06/N+1</w:t>
            </w:r>
          </w:p>
        </w:tc>
      </w:tr>
      <w:tr w:rsidR="00C256E9" w:rsidRPr="00BB6CFF" w:rsidTr="004D5CC7">
        <w:trPr>
          <w:trHeight w:val="441"/>
        </w:trPr>
        <w:tc>
          <w:tcPr>
            <w:tcW w:w="2235" w:type="dxa"/>
            <w:vAlign w:val="center"/>
          </w:tcPr>
          <w:p w:rsidR="00C256E9" w:rsidRPr="008656BF" w:rsidRDefault="00C256E9" w:rsidP="002025B7">
            <w:pPr>
              <w:pStyle w:val="Default"/>
              <w:jc w:val="center"/>
              <w:rPr>
                <w:rFonts w:ascii="Calibri" w:hAnsi="Calibri"/>
                <w:sz w:val="22"/>
              </w:rPr>
            </w:pPr>
            <w:r w:rsidRPr="008656BF">
              <w:rPr>
                <w:rFonts w:ascii="Calibri" w:hAnsi="Calibri"/>
                <w:sz w:val="22"/>
              </w:rPr>
              <w:t>Dettes fournisseurs</w:t>
            </w:r>
          </w:p>
        </w:tc>
        <w:tc>
          <w:tcPr>
            <w:tcW w:w="1781" w:type="dxa"/>
            <w:vAlign w:val="center"/>
          </w:tcPr>
          <w:p w:rsidR="00C256E9" w:rsidRPr="008656BF" w:rsidRDefault="00C256E9" w:rsidP="002025B7">
            <w:pPr>
              <w:pStyle w:val="Default"/>
              <w:jc w:val="center"/>
              <w:rPr>
                <w:rFonts w:ascii="Calibri" w:hAnsi="Calibri"/>
                <w:sz w:val="22"/>
              </w:rPr>
            </w:pPr>
            <w:r w:rsidRPr="008656BF">
              <w:rPr>
                <w:rFonts w:ascii="Calibri" w:hAnsi="Calibri"/>
                <w:sz w:val="22"/>
              </w:rPr>
              <w:t>1 500</w:t>
            </w:r>
            <w:r>
              <w:rPr>
                <w:rFonts w:ascii="Calibri" w:hAnsi="Calibri"/>
                <w:sz w:val="22"/>
              </w:rPr>
              <w:t> </w:t>
            </w:r>
            <w:r w:rsidRPr="008656BF">
              <w:rPr>
                <w:rFonts w:ascii="Calibri" w:hAnsi="Calibri"/>
                <w:sz w:val="22"/>
              </w:rPr>
              <w:t>000</w:t>
            </w:r>
            <w:r>
              <w:rPr>
                <w:rFonts w:ascii="Calibri" w:hAnsi="Calibri"/>
                <w:sz w:val="22"/>
              </w:rPr>
              <w:t xml:space="preserve"> </w:t>
            </w:r>
            <w:r w:rsidR="006E0790">
              <w:rPr>
                <w:rFonts w:ascii="Calibri" w:hAnsi="Calibri"/>
                <w:sz w:val="22"/>
              </w:rPr>
              <w:t>DE1</w:t>
            </w:r>
          </w:p>
        </w:tc>
        <w:tc>
          <w:tcPr>
            <w:tcW w:w="1621" w:type="dxa"/>
            <w:vAlign w:val="center"/>
          </w:tcPr>
          <w:p w:rsidR="00C256E9" w:rsidRPr="008656BF" w:rsidRDefault="00C256E9" w:rsidP="002025B7">
            <w:pPr>
              <w:pStyle w:val="Default"/>
              <w:jc w:val="center"/>
              <w:rPr>
                <w:rFonts w:ascii="Calibri" w:hAnsi="Calibri"/>
                <w:sz w:val="22"/>
              </w:rPr>
            </w:pPr>
            <w:r w:rsidRPr="008656BF">
              <w:rPr>
                <w:rFonts w:ascii="Calibri" w:hAnsi="Calibri"/>
                <w:sz w:val="22"/>
              </w:rPr>
              <w:t>Non</w:t>
            </w:r>
          </w:p>
        </w:tc>
        <w:tc>
          <w:tcPr>
            <w:tcW w:w="2835" w:type="dxa"/>
            <w:vAlign w:val="center"/>
          </w:tcPr>
          <w:p w:rsidR="00C256E9" w:rsidRPr="008656BF" w:rsidRDefault="00C256E9" w:rsidP="002025B7">
            <w:pPr>
              <w:pStyle w:val="Default"/>
              <w:jc w:val="center"/>
              <w:rPr>
                <w:rFonts w:ascii="Calibri" w:hAnsi="Calibri"/>
                <w:sz w:val="22"/>
              </w:rPr>
            </w:pPr>
            <w:r w:rsidRPr="008656BF">
              <w:rPr>
                <w:rFonts w:ascii="Calibri" w:hAnsi="Calibri"/>
                <w:sz w:val="22"/>
              </w:rPr>
              <w:t>+ 50 000</w:t>
            </w:r>
          </w:p>
        </w:tc>
        <w:tc>
          <w:tcPr>
            <w:tcW w:w="1270" w:type="dxa"/>
            <w:vAlign w:val="center"/>
          </w:tcPr>
          <w:p w:rsidR="00C256E9" w:rsidRPr="008656BF" w:rsidRDefault="00E805D3" w:rsidP="002025B7">
            <w:pPr>
              <w:pStyle w:val="Default"/>
              <w:jc w:val="center"/>
              <w:rPr>
                <w:rFonts w:ascii="Calibri" w:hAnsi="Calibri"/>
                <w:sz w:val="22"/>
              </w:rPr>
            </w:pPr>
            <w:r>
              <w:rPr>
                <w:rFonts w:ascii="Calibri" w:hAnsi="Calibri"/>
                <w:sz w:val="22"/>
              </w:rPr>
              <w:t>30/06/N+1</w:t>
            </w:r>
          </w:p>
        </w:tc>
      </w:tr>
      <w:tr w:rsidR="00C256E9" w:rsidRPr="00BB6CFF" w:rsidTr="004D5CC7">
        <w:tc>
          <w:tcPr>
            <w:tcW w:w="2235" w:type="dxa"/>
            <w:vAlign w:val="center"/>
          </w:tcPr>
          <w:p w:rsidR="00A816A1" w:rsidRDefault="00C256E9" w:rsidP="002025B7">
            <w:pPr>
              <w:pStyle w:val="Default"/>
              <w:jc w:val="center"/>
              <w:rPr>
                <w:rFonts w:ascii="Calibri" w:hAnsi="Calibri"/>
                <w:sz w:val="22"/>
              </w:rPr>
            </w:pPr>
            <w:r w:rsidRPr="008656BF">
              <w:rPr>
                <w:rFonts w:ascii="Calibri" w:hAnsi="Calibri"/>
                <w:sz w:val="22"/>
              </w:rPr>
              <w:t>Créances</w:t>
            </w:r>
          </w:p>
          <w:p w:rsidR="00C256E9" w:rsidRPr="008656BF" w:rsidRDefault="00C256E9" w:rsidP="002025B7">
            <w:pPr>
              <w:pStyle w:val="Default"/>
              <w:jc w:val="center"/>
              <w:rPr>
                <w:rFonts w:ascii="Calibri" w:hAnsi="Calibri"/>
                <w:sz w:val="22"/>
              </w:rPr>
            </w:pPr>
            <w:r w:rsidRPr="008656BF">
              <w:rPr>
                <w:rFonts w:ascii="Calibri" w:hAnsi="Calibri"/>
                <w:sz w:val="22"/>
              </w:rPr>
              <w:t>client A</w:t>
            </w:r>
          </w:p>
        </w:tc>
        <w:tc>
          <w:tcPr>
            <w:tcW w:w="1781" w:type="dxa"/>
            <w:vAlign w:val="center"/>
          </w:tcPr>
          <w:p w:rsidR="00C256E9" w:rsidRPr="008656BF" w:rsidRDefault="00C256E9" w:rsidP="002025B7">
            <w:pPr>
              <w:pStyle w:val="Default"/>
              <w:jc w:val="center"/>
              <w:rPr>
                <w:rFonts w:ascii="Calibri" w:hAnsi="Calibri"/>
                <w:sz w:val="22"/>
              </w:rPr>
            </w:pPr>
            <w:r w:rsidRPr="008656BF">
              <w:rPr>
                <w:rFonts w:ascii="Calibri" w:hAnsi="Calibri"/>
                <w:sz w:val="22"/>
              </w:rPr>
              <w:t>3 000</w:t>
            </w:r>
            <w:r>
              <w:rPr>
                <w:rFonts w:ascii="Calibri" w:hAnsi="Calibri"/>
                <w:sz w:val="22"/>
              </w:rPr>
              <w:t> </w:t>
            </w:r>
            <w:r w:rsidRPr="008656BF">
              <w:rPr>
                <w:rFonts w:ascii="Calibri" w:hAnsi="Calibri"/>
                <w:sz w:val="22"/>
              </w:rPr>
              <w:t>000</w:t>
            </w:r>
            <w:r>
              <w:rPr>
                <w:rFonts w:ascii="Calibri" w:hAnsi="Calibri"/>
                <w:sz w:val="22"/>
              </w:rPr>
              <w:t xml:space="preserve"> </w:t>
            </w:r>
            <w:r w:rsidR="006E0790">
              <w:rPr>
                <w:rFonts w:ascii="Calibri" w:hAnsi="Calibri"/>
                <w:sz w:val="22"/>
              </w:rPr>
              <w:t>DE1</w:t>
            </w:r>
          </w:p>
        </w:tc>
        <w:tc>
          <w:tcPr>
            <w:tcW w:w="1621" w:type="dxa"/>
            <w:vAlign w:val="center"/>
          </w:tcPr>
          <w:p w:rsidR="00C256E9" w:rsidRPr="008656BF" w:rsidRDefault="00C256E9" w:rsidP="002025B7">
            <w:pPr>
              <w:pStyle w:val="Default"/>
              <w:jc w:val="center"/>
              <w:rPr>
                <w:rFonts w:ascii="Calibri" w:hAnsi="Calibri"/>
                <w:sz w:val="22"/>
              </w:rPr>
            </w:pPr>
            <w:r w:rsidRPr="008656BF">
              <w:rPr>
                <w:rFonts w:ascii="Calibri" w:hAnsi="Calibri"/>
                <w:sz w:val="22"/>
              </w:rPr>
              <w:t>Non</w:t>
            </w:r>
          </w:p>
        </w:tc>
        <w:tc>
          <w:tcPr>
            <w:tcW w:w="2835" w:type="dxa"/>
            <w:vAlign w:val="center"/>
          </w:tcPr>
          <w:p w:rsidR="00C256E9" w:rsidRPr="008656BF" w:rsidRDefault="00C256E9" w:rsidP="002025B7">
            <w:pPr>
              <w:pStyle w:val="Default"/>
              <w:jc w:val="center"/>
              <w:rPr>
                <w:rFonts w:ascii="Calibri" w:hAnsi="Calibri"/>
                <w:sz w:val="22"/>
              </w:rPr>
            </w:pPr>
            <w:r w:rsidRPr="008656BF">
              <w:rPr>
                <w:rFonts w:ascii="Calibri" w:hAnsi="Calibri"/>
                <w:sz w:val="22"/>
              </w:rPr>
              <w:t>(-) 100 000</w:t>
            </w:r>
          </w:p>
        </w:tc>
        <w:tc>
          <w:tcPr>
            <w:tcW w:w="1270" w:type="dxa"/>
            <w:vAlign w:val="center"/>
          </w:tcPr>
          <w:p w:rsidR="00C256E9" w:rsidRPr="008656BF" w:rsidRDefault="00E805D3" w:rsidP="002025B7">
            <w:pPr>
              <w:pStyle w:val="Default"/>
              <w:jc w:val="center"/>
              <w:rPr>
                <w:rFonts w:ascii="Calibri" w:hAnsi="Calibri"/>
                <w:sz w:val="22"/>
              </w:rPr>
            </w:pPr>
            <w:r>
              <w:rPr>
                <w:rFonts w:ascii="Calibri" w:hAnsi="Calibri"/>
                <w:sz w:val="22"/>
              </w:rPr>
              <w:t>15/03/N+1</w:t>
            </w:r>
          </w:p>
        </w:tc>
      </w:tr>
      <w:tr w:rsidR="00C256E9" w:rsidRPr="00BB6CFF" w:rsidTr="004D5CC7">
        <w:tc>
          <w:tcPr>
            <w:tcW w:w="2235" w:type="dxa"/>
            <w:vAlign w:val="center"/>
          </w:tcPr>
          <w:p w:rsidR="00A816A1" w:rsidRDefault="00C256E9" w:rsidP="002025B7">
            <w:pPr>
              <w:pStyle w:val="Default"/>
              <w:jc w:val="center"/>
              <w:rPr>
                <w:rFonts w:ascii="Calibri" w:hAnsi="Calibri"/>
                <w:sz w:val="22"/>
              </w:rPr>
            </w:pPr>
            <w:r w:rsidRPr="008656BF">
              <w:rPr>
                <w:rFonts w:ascii="Calibri" w:hAnsi="Calibri"/>
                <w:sz w:val="22"/>
              </w:rPr>
              <w:t>Créances</w:t>
            </w:r>
          </w:p>
          <w:p w:rsidR="00C256E9" w:rsidRPr="008656BF" w:rsidRDefault="00C256E9" w:rsidP="002025B7">
            <w:pPr>
              <w:pStyle w:val="Default"/>
              <w:jc w:val="center"/>
              <w:rPr>
                <w:rFonts w:ascii="Calibri" w:hAnsi="Calibri"/>
                <w:sz w:val="22"/>
              </w:rPr>
            </w:pPr>
            <w:r w:rsidRPr="008656BF">
              <w:rPr>
                <w:rFonts w:ascii="Calibri" w:hAnsi="Calibri"/>
                <w:sz w:val="22"/>
              </w:rPr>
              <w:t>client B</w:t>
            </w:r>
          </w:p>
        </w:tc>
        <w:tc>
          <w:tcPr>
            <w:tcW w:w="1781" w:type="dxa"/>
            <w:vAlign w:val="center"/>
          </w:tcPr>
          <w:p w:rsidR="006E0790" w:rsidRPr="008656BF" w:rsidRDefault="00C256E9" w:rsidP="002025B7">
            <w:pPr>
              <w:pStyle w:val="Default"/>
              <w:jc w:val="center"/>
              <w:rPr>
                <w:rFonts w:ascii="Calibri" w:hAnsi="Calibri"/>
                <w:sz w:val="22"/>
              </w:rPr>
            </w:pPr>
            <w:r w:rsidRPr="008656BF">
              <w:rPr>
                <w:rFonts w:ascii="Calibri" w:hAnsi="Calibri"/>
                <w:sz w:val="22"/>
              </w:rPr>
              <w:t>2 000</w:t>
            </w:r>
            <w:r w:rsidR="006E0790">
              <w:rPr>
                <w:rFonts w:ascii="Calibri" w:hAnsi="Calibri"/>
                <w:sz w:val="22"/>
              </w:rPr>
              <w:t> </w:t>
            </w:r>
            <w:r w:rsidRPr="008656BF">
              <w:rPr>
                <w:rFonts w:ascii="Calibri" w:hAnsi="Calibri"/>
                <w:sz w:val="22"/>
              </w:rPr>
              <w:t>000</w:t>
            </w:r>
            <w:r>
              <w:rPr>
                <w:rFonts w:ascii="Calibri" w:hAnsi="Calibri"/>
                <w:sz w:val="22"/>
              </w:rPr>
              <w:t xml:space="preserve"> </w:t>
            </w:r>
            <w:r w:rsidR="006E0790">
              <w:rPr>
                <w:rFonts w:ascii="Calibri" w:hAnsi="Calibri"/>
                <w:sz w:val="22"/>
              </w:rPr>
              <w:t>DE1</w:t>
            </w:r>
          </w:p>
        </w:tc>
        <w:tc>
          <w:tcPr>
            <w:tcW w:w="1621" w:type="dxa"/>
            <w:vAlign w:val="center"/>
          </w:tcPr>
          <w:p w:rsidR="00C256E9" w:rsidRPr="008656BF" w:rsidRDefault="00C256E9" w:rsidP="002025B7">
            <w:pPr>
              <w:pStyle w:val="Default"/>
              <w:jc w:val="center"/>
              <w:rPr>
                <w:rFonts w:ascii="Calibri" w:hAnsi="Calibri"/>
                <w:sz w:val="22"/>
              </w:rPr>
            </w:pPr>
            <w:r w:rsidRPr="008656BF">
              <w:rPr>
                <w:rFonts w:ascii="Calibri" w:hAnsi="Calibri"/>
                <w:sz w:val="22"/>
              </w:rPr>
              <w:t>Oui, vente à terme à échéance 30/06/N+1 sur la moitié du montant de la créance</w:t>
            </w:r>
          </w:p>
        </w:tc>
        <w:tc>
          <w:tcPr>
            <w:tcW w:w="2835" w:type="dxa"/>
            <w:vAlign w:val="center"/>
          </w:tcPr>
          <w:p w:rsidR="00C256E9" w:rsidRPr="008656BF" w:rsidRDefault="00C256E9" w:rsidP="002025B7">
            <w:pPr>
              <w:pStyle w:val="Default"/>
              <w:jc w:val="center"/>
              <w:rPr>
                <w:rFonts w:ascii="Calibri" w:hAnsi="Calibri"/>
                <w:sz w:val="22"/>
              </w:rPr>
            </w:pPr>
            <w:r w:rsidRPr="008656BF">
              <w:rPr>
                <w:rFonts w:ascii="Calibri" w:hAnsi="Calibri"/>
                <w:sz w:val="22"/>
              </w:rPr>
              <w:t xml:space="preserve">(-) </w:t>
            </w:r>
            <w:r w:rsidR="00E805D3">
              <w:rPr>
                <w:rFonts w:ascii="Calibri" w:hAnsi="Calibri"/>
                <w:sz w:val="22"/>
              </w:rPr>
              <w:t>4</w:t>
            </w:r>
            <w:r w:rsidRPr="008656BF">
              <w:rPr>
                <w:rFonts w:ascii="Calibri" w:hAnsi="Calibri"/>
                <w:sz w:val="22"/>
              </w:rPr>
              <w:t>0 000 (client B)</w:t>
            </w:r>
          </w:p>
          <w:p w:rsidR="00C256E9" w:rsidRPr="008656BF" w:rsidRDefault="00C256E9" w:rsidP="002025B7">
            <w:pPr>
              <w:pStyle w:val="Default"/>
              <w:ind w:left="720"/>
              <w:jc w:val="center"/>
              <w:rPr>
                <w:rFonts w:ascii="Calibri" w:hAnsi="Calibri"/>
                <w:sz w:val="22"/>
              </w:rPr>
            </w:pPr>
            <w:r w:rsidRPr="008656BF">
              <w:rPr>
                <w:rFonts w:ascii="Calibri" w:hAnsi="Calibri"/>
                <w:sz w:val="22"/>
              </w:rPr>
              <w:t>+ 20 000 (instrument de trésorerie)</w:t>
            </w:r>
          </w:p>
        </w:tc>
        <w:tc>
          <w:tcPr>
            <w:tcW w:w="1270" w:type="dxa"/>
            <w:vAlign w:val="center"/>
          </w:tcPr>
          <w:p w:rsidR="00C256E9" w:rsidRPr="008656BF" w:rsidRDefault="00E805D3" w:rsidP="002025B7">
            <w:pPr>
              <w:pStyle w:val="Default"/>
              <w:jc w:val="center"/>
              <w:rPr>
                <w:rFonts w:ascii="Calibri" w:hAnsi="Calibri"/>
                <w:sz w:val="22"/>
              </w:rPr>
            </w:pPr>
            <w:r>
              <w:rPr>
                <w:rFonts w:ascii="Calibri" w:hAnsi="Calibri"/>
                <w:sz w:val="22"/>
              </w:rPr>
              <w:t>1/12/N+1</w:t>
            </w:r>
          </w:p>
        </w:tc>
      </w:tr>
      <w:tr w:rsidR="00C256E9" w:rsidRPr="00BB6CFF" w:rsidTr="004D5CC7">
        <w:trPr>
          <w:trHeight w:val="507"/>
        </w:trPr>
        <w:tc>
          <w:tcPr>
            <w:tcW w:w="2235" w:type="dxa"/>
            <w:vAlign w:val="center"/>
          </w:tcPr>
          <w:p w:rsidR="00C256E9" w:rsidRPr="008656BF" w:rsidRDefault="00C256E9" w:rsidP="002025B7">
            <w:pPr>
              <w:pStyle w:val="Default"/>
              <w:jc w:val="center"/>
              <w:rPr>
                <w:rFonts w:ascii="Calibri" w:hAnsi="Calibri"/>
                <w:sz w:val="22"/>
              </w:rPr>
            </w:pPr>
            <w:r>
              <w:rPr>
                <w:rFonts w:ascii="Calibri" w:hAnsi="Calibri"/>
                <w:sz w:val="22"/>
              </w:rPr>
              <w:t>Fournisseur X</w:t>
            </w:r>
          </w:p>
        </w:tc>
        <w:tc>
          <w:tcPr>
            <w:tcW w:w="1781" w:type="dxa"/>
            <w:vAlign w:val="center"/>
          </w:tcPr>
          <w:p w:rsidR="00C256E9" w:rsidRPr="008656BF" w:rsidRDefault="004D374A" w:rsidP="002025B7">
            <w:pPr>
              <w:pStyle w:val="Default"/>
              <w:jc w:val="center"/>
              <w:rPr>
                <w:rFonts w:ascii="Calibri" w:hAnsi="Calibri"/>
                <w:sz w:val="22"/>
              </w:rPr>
            </w:pPr>
            <w:r>
              <w:rPr>
                <w:rFonts w:ascii="Calibri" w:hAnsi="Calibri"/>
                <w:sz w:val="22"/>
              </w:rPr>
              <w:t xml:space="preserve">250 000 </w:t>
            </w:r>
            <w:r w:rsidR="006E0790">
              <w:rPr>
                <w:rFonts w:ascii="Calibri" w:hAnsi="Calibri"/>
                <w:sz w:val="22"/>
              </w:rPr>
              <w:t>DE2</w:t>
            </w:r>
          </w:p>
        </w:tc>
        <w:tc>
          <w:tcPr>
            <w:tcW w:w="1621" w:type="dxa"/>
            <w:vAlign w:val="center"/>
          </w:tcPr>
          <w:p w:rsidR="00C256E9" w:rsidRPr="008656BF" w:rsidRDefault="002025B7" w:rsidP="002025B7">
            <w:pPr>
              <w:pStyle w:val="Default"/>
              <w:jc w:val="center"/>
              <w:rPr>
                <w:rFonts w:ascii="Calibri" w:hAnsi="Calibri"/>
                <w:sz w:val="22"/>
              </w:rPr>
            </w:pPr>
            <w:r>
              <w:rPr>
                <w:rFonts w:ascii="Calibri" w:hAnsi="Calibri"/>
                <w:sz w:val="22"/>
              </w:rPr>
              <w:t>N</w:t>
            </w:r>
            <w:r w:rsidR="00E14E5F">
              <w:rPr>
                <w:rFonts w:ascii="Calibri" w:hAnsi="Calibri"/>
                <w:sz w:val="22"/>
              </w:rPr>
              <w:t>on</w:t>
            </w:r>
          </w:p>
        </w:tc>
        <w:tc>
          <w:tcPr>
            <w:tcW w:w="2835" w:type="dxa"/>
            <w:vAlign w:val="center"/>
          </w:tcPr>
          <w:p w:rsidR="00C256E9" w:rsidRPr="008656BF" w:rsidRDefault="00E14E5F" w:rsidP="002025B7">
            <w:pPr>
              <w:pStyle w:val="Default"/>
              <w:jc w:val="center"/>
              <w:rPr>
                <w:rFonts w:ascii="Calibri" w:hAnsi="Calibri"/>
                <w:sz w:val="22"/>
              </w:rPr>
            </w:pPr>
            <w:r>
              <w:rPr>
                <w:rFonts w:ascii="Calibri" w:hAnsi="Calibri"/>
                <w:sz w:val="22"/>
              </w:rPr>
              <w:t>- 6 000</w:t>
            </w:r>
          </w:p>
        </w:tc>
        <w:tc>
          <w:tcPr>
            <w:tcW w:w="1270" w:type="dxa"/>
            <w:vAlign w:val="center"/>
          </w:tcPr>
          <w:p w:rsidR="00C256E9" w:rsidRPr="008656BF" w:rsidRDefault="00E805D3" w:rsidP="002025B7">
            <w:pPr>
              <w:pStyle w:val="Default"/>
              <w:jc w:val="center"/>
              <w:rPr>
                <w:rFonts w:ascii="Calibri" w:hAnsi="Calibri"/>
                <w:sz w:val="22"/>
              </w:rPr>
            </w:pPr>
            <w:r>
              <w:rPr>
                <w:rFonts w:ascii="Calibri" w:hAnsi="Calibri"/>
                <w:sz w:val="22"/>
              </w:rPr>
              <w:t>15/09/N+1</w:t>
            </w:r>
          </w:p>
        </w:tc>
      </w:tr>
      <w:tr w:rsidR="00C256E9" w:rsidRPr="00BB6CFF" w:rsidTr="004D5CC7">
        <w:trPr>
          <w:trHeight w:val="507"/>
        </w:trPr>
        <w:tc>
          <w:tcPr>
            <w:tcW w:w="2235" w:type="dxa"/>
            <w:vAlign w:val="center"/>
          </w:tcPr>
          <w:p w:rsidR="00C256E9" w:rsidRPr="008656BF" w:rsidRDefault="00C256E9" w:rsidP="002025B7">
            <w:pPr>
              <w:pStyle w:val="Default"/>
              <w:jc w:val="center"/>
              <w:rPr>
                <w:rFonts w:ascii="Calibri" w:hAnsi="Calibri"/>
                <w:sz w:val="22"/>
              </w:rPr>
            </w:pPr>
            <w:r>
              <w:rPr>
                <w:rFonts w:ascii="Calibri" w:hAnsi="Calibri"/>
                <w:sz w:val="22"/>
              </w:rPr>
              <w:t>Fournisseur Y</w:t>
            </w:r>
          </w:p>
        </w:tc>
        <w:tc>
          <w:tcPr>
            <w:tcW w:w="1781" w:type="dxa"/>
            <w:vAlign w:val="center"/>
          </w:tcPr>
          <w:p w:rsidR="00C256E9" w:rsidRPr="008656BF" w:rsidRDefault="00B10BF0" w:rsidP="002025B7">
            <w:pPr>
              <w:pStyle w:val="Default"/>
              <w:jc w:val="center"/>
              <w:rPr>
                <w:rFonts w:ascii="Calibri" w:hAnsi="Calibri"/>
                <w:sz w:val="22"/>
              </w:rPr>
            </w:pPr>
            <w:r>
              <w:rPr>
                <w:rFonts w:ascii="Calibri" w:hAnsi="Calibri"/>
                <w:sz w:val="22"/>
              </w:rPr>
              <w:t>30 000</w:t>
            </w:r>
            <w:r w:rsidR="006E0790">
              <w:rPr>
                <w:rFonts w:ascii="Calibri" w:hAnsi="Calibri"/>
                <w:sz w:val="22"/>
              </w:rPr>
              <w:t xml:space="preserve"> DE3</w:t>
            </w:r>
          </w:p>
        </w:tc>
        <w:tc>
          <w:tcPr>
            <w:tcW w:w="1621" w:type="dxa"/>
            <w:vAlign w:val="center"/>
          </w:tcPr>
          <w:p w:rsidR="00C256E9" w:rsidRPr="008656BF" w:rsidRDefault="006E0790" w:rsidP="002025B7">
            <w:pPr>
              <w:pStyle w:val="Default"/>
              <w:jc w:val="center"/>
              <w:rPr>
                <w:rFonts w:ascii="Calibri" w:hAnsi="Calibri"/>
                <w:sz w:val="22"/>
              </w:rPr>
            </w:pPr>
            <w:r>
              <w:rPr>
                <w:rFonts w:ascii="Calibri" w:hAnsi="Calibri"/>
                <w:sz w:val="22"/>
              </w:rPr>
              <w:t>Non</w:t>
            </w:r>
          </w:p>
        </w:tc>
        <w:tc>
          <w:tcPr>
            <w:tcW w:w="2835" w:type="dxa"/>
            <w:vAlign w:val="center"/>
          </w:tcPr>
          <w:p w:rsidR="00C256E9" w:rsidRPr="008656BF" w:rsidRDefault="00C616B6" w:rsidP="002025B7">
            <w:pPr>
              <w:pStyle w:val="Default"/>
              <w:jc w:val="center"/>
              <w:rPr>
                <w:rFonts w:ascii="Calibri" w:hAnsi="Calibri"/>
                <w:sz w:val="22"/>
              </w:rPr>
            </w:pPr>
            <w:r>
              <w:rPr>
                <w:rFonts w:ascii="Calibri" w:hAnsi="Calibri"/>
                <w:sz w:val="22"/>
              </w:rPr>
              <w:t>-</w:t>
            </w:r>
            <w:r w:rsidR="00E805D3">
              <w:rPr>
                <w:rFonts w:ascii="Calibri" w:hAnsi="Calibri"/>
                <w:sz w:val="22"/>
              </w:rPr>
              <w:t xml:space="preserve"> 8 500</w:t>
            </w:r>
          </w:p>
        </w:tc>
        <w:tc>
          <w:tcPr>
            <w:tcW w:w="1270" w:type="dxa"/>
            <w:vAlign w:val="center"/>
          </w:tcPr>
          <w:p w:rsidR="00C256E9" w:rsidRPr="008656BF" w:rsidRDefault="00E805D3" w:rsidP="002025B7">
            <w:pPr>
              <w:pStyle w:val="Default"/>
              <w:jc w:val="center"/>
              <w:rPr>
                <w:rFonts w:ascii="Calibri" w:hAnsi="Calibri"/>
                <w:sz w:val="22"/>
              </w:rPr>
            </w:pPr>
            <w:r>
              <w:rPr>
                <w:rFonts w:ascii="Calibri" w:hAnsi="Calibri"/>
                <w:sz w:val="22"/>
              </w:rPr>
              <w:t>15/04/N+1</w:t>
            </w:r>
          </w:p>
        </w:tc>
      </w:tr>
    </w:tbl>
    <w:p w:rsidR="002025B7" w:rsidRPr="002025B7" w:rsidRDefault="002025B7" w:rsidP="006446CA">
      <w:pPr>
        <w:pStyle w:val="Default"/>
        <w:jc w:val="both"/>
        <w:rPr>
          <w:rFonts w:ascii="Calibri" w:hAnsi="Calibri"/>
          <w:sz w:val="10"/>
          <w:szCs w:val="10"/>
        </w:rPr>
      </w:pPr>
    </w:p>
    <w:p w:rsidR="006E65A8" w:rsidRDefault="003155CE" w:rsidP="006446CA">
      <w:pPr>
        <w:pStyle w:val="Default"/>
        <w:jc w:val="both"/>
        <w:rPr>
          <w:rFonts w:ascii="Calibri" w:hAnsi="Calibri"/>
          <w:sz w:val="20"/>
        </w:rPr>
      </w:pPr>
      <w:r w:rsidRPr="00A816A1">
        <w:rPr>
          <w:rFonts w:ascii="Calibri" w:hAnsi="Calibri"/>
          <w:sz w:val="20"/>
        </w:rPr>
        <w:t xml:space="preserve">(1) </w:t>
      </w:r>
      <w:r w:rsidR="00E84B6D" w:rsidRPr="00A816A1">
        <w:rPr>
          <w:rFonts w:ascii="Calibri" w:hAnsi="Calibri"/>
          <w:sz w:val="20"/>
        </w:rPr>
        <w:t>Les devises</w:t>
      </w:r>
      <w:r w:rsidR="006E0790" w:rsidRPr="00A816A1">
        <w:rPr>
          <w:rFonts w:ascii="Calibri" w:hAnsi="Calibri"/>
          <w:sz w:val="20"/>
        </w:rPr>
        <w:t xml:space="preserve"> (DE) utilisées dans cet exemple sont des devises imaginaires  et </w:t>
      </w:r>
      <w:r w:rsidR="00E84B6D" w:rsidRPr="00A816A1">
        <w:rPr>
          <w:rFonts w:ascii="Calibri" w:hAnsi="Calibri"/>
          <w:sz w:val="20"/>
        </w:rPr>
        <w:t xml:space="preserve"> ne sont pas corrélées.</w:t>
      </w:r>
    </w:p>
    <w:p w:rsidR="00A816A1" w:rsidRPr="00A816A1" w:rsidRDefault="00A816A1" w:rsidP="006446CA">
      <w:pPr>
        <w:pStyle w:val="Default"/>
        <w:jc w:val="both"/>
        <w:rPr>
          <w:rFonts w:ascii="Calibri" w:hAnsi="Calibri"/>
          <w:sz w:val="20"/>
        </w:rPr>
      </w:pPr>
    </w:p>
    <w:p w:rsidR="00C21920" w:rsidRPr="00BB6CFF" w:rsidRDefault="00C21920" w:rsidP="006446CA">
      <w:pPr>
        <w:pStyle w:val="Default"/>
        <w:jc w:val="both"/>
        <w:rPr>
          <w:rFonts w:ascii="Calibri" w:hAnsi="Calibri"/>
        </w:rPr>
      </w:pPr>
      <w:r w:rsidRPr="00BB6CFF">
        <w:rPr>
          <w:rFonts w:ascii="Calibri" w:hAnsi="Calibri"/>
        </w:rPr>
        <w:t>Les opérations ci-dessus</w:t>
      </w:r>
      <w:r w:rsidR="00E805D3">
        <w:rPr>
          <w:rFonts w:ascii="Calibri" w:hAnsi="Calibri"/>
        </w:rPr>
        <w:t xml:space="preserve"> en DE1</w:t>
      </w:r>
      <w:r w:rsidRPr="00BB6CFF">
        <w:rPr>
          <w:rFonts w:ascii="Calibri" w:hAnsi="Calibri"/>
        </w:rPr>
        <w:t xml:space="preserve"> constituent une position globale de change</w:t>
      </w:r>
      <w:r w:rsidR="00E805D3">
        <w:rPr>
          <w:rFonts w:ascii="Calibri" w:hAnsi="Calibri"/>
        </w:rPr>
        <w:t xml:space="preserve"> au sens de l’article </w:t>
      </w:r>
      <w:r w:rsidR="00821ED7">
        <w:rPr>
          <w:rFonts w:ascii="Calibri" w:hAnsi="Calibri"/>
        </w:rPr>
        <w:t>420-6 du PCG</w:t>
      </w:r>
      <w:r w:rsidRPr="00BB6CFF">
        <w:rPr>
          <w:rFonts w:ascii="Calibri" w:hAnsi="Calibri"/>
        </w:rPr>
        <w:t xml:space="preserve"> : le montant de la dotation à la provision pour perte de change </w:t>
      </w:r>
      <w:r w:rsidR="00433D87">
        <w:rPr>
          <w:rFonts w:ascii="Calibri" w:hAnsi="Calibri"/>
        </w:rPr>
        <w:t xml:space="preserve">sur cette devise </w:t>
      </w:r>
      <w:r w:rsidRPr="00BB6CFF">
        <w:rPr>
          <w:rFonts w:ascii="Calibri" w:hAnsi="Calibri"/>
        </w:rPr>
        <w:t>va être limité à l’excédent des pertes sur les gains latents. Les opérations sous couverture sont exclues.</w:t>
      </w:r>
    </w:p>
    <w:p w:rsidR="00B10BF0" w:rsidRDefault="00B10BF0" w:rsidP="006446CA">
      <w:pPr>
        <w:pStyle w:val="Default"/>
        <w:jc w:val="both"/>
        <w:rPr>
          <w:rFonts w:ascii="Calibri" w:hAnsi="Calibri"/>
        </w:rPr>
      </w:pPr>
    </w:p>
    <w:p w:rsidR="00C21920" w:rsidRDefault="00C21920" w:rsidP="006446CA">
      <w:pPr>
        <w:pStyle w:val="Default"/>
        <w:jc w:val="both"/>
        <w:rPr>
          <w:rFonts w:ascii="Calibri" w:hAnsi="Calibri"/>
        </w:rPr>
      </w:pPr>
      <w:r w:rsidRPr="00BB6CFF">
        <w:rPr>
          <w:rFonts w:ascii="Calibri" w:hAnsi="Calibri"/>
        </w:rPr>
        <w:t>Montant de la provision pour perte de change à constituer</w:t>
      </w:r>
      <w:r w:rsidR="00AB24A5">
        <w:rPr>
          <w:rFonts w:ascii="Calibri" w:hAnsi="Calibri"/>
        </w:rPr>
        <w:t xml:space="preserve"> (devise DE1)</w:t>
      </w:r>
      <w:r w:rsidRPr="00BB6CFF">
        <w:rPr>
          <w:rFonts w:ascii="Calibri" w:hAnsi="Calibri"/>
        </w:rPr>
        <w:t xml:space="preserve"> au 31/12/N = 100 000 </w:t>
      </w:r>
      <w:r w:rsidR="000B296D">
        <w:rPr>
          <w:rFonts w:ascii="Calibri" w:hAnsi="Calibri"/>
        </w:rPr>
        <w:t>+ 20 000 (perte</w:t>
      </w:r>
      <w:r w:rsidR="007A492D">
        <w:rPr>
          <w:rFonts w:ascii="Calibri" w:hAnsi="Calibri"/>
        </w:rPr>
        <w:t xml:space="preserve"> latente</w:t>
      </w:r>
      <w:r w:rsidR="000B296D">
        <w:rPr>
          <w:rFonts w:ascii="Calibri" w:hAnsi="Calibri"/>
        </w:rPr>
        <w:t xml:space="preserve"> sur la partie non couverte de la créance client B</w:t>
      </w:r>
      <w:r w:rsidR="007A492D">
        <w:rPr>
          <w:rFonts w:ascii="Calibri" w:hAnsi="Calibri"/>
        </w:rPr>
        <w:t>)</w:t>
      </w:r>
      <w:r w:rsidR="007A492D" w:rsidRPr="00BB6CFF">
        <w:rPr>
          <w:rFonts w:ascii="Calibri" w:hAnsi="Calibri"/>
        </w:rPr>
        <w:t xml:space="preserve"> –</w:t>
      </w:r>
      <w:r w:rsidRPr="00BB6CFF">
        <w:rPr>
          <w:rFonts w:ascii="Calibri" w:hAnsi="Calibri"/>
        </w:rPr>
        <w:t xml:space="preserve"> 15 000 – 50 000 = </w:t>
      </w:r>
      <w:r w:rsidR="000B296D" w:rsidRPr="008656BF">
        <w:rPr>
          <w:rFonts w:ascii="Calibri" w:hAnsi="Calibri"/>
          <w:b/>
        </w:rPr>
        <w:t>55</w:t>
      </w:r>
      <w:r w:rsidRPr="008656BF">
        <w:rPr>
          <w:rFonts w:ascii="Calibri" w:hAnsi="Calibri"/>
          <w:b/>
        </w:rPr>
        <w:t> 000</w:t>
      </w:r>
      <w:r w:rsidR="00376ADB">
        <w:rPr>
          <w:rFonts w:ascii="Calibri" w:hAnsi="Calibri"/>
        </w:rPr>
        <w:t> </w:t>
      </w:r>
      <w:r w:rsidRPr="00BB6CFF">
        <w:rPr>
          <w:rFonts w:ascii="Calibri" w:hAnsi="Calibri"/>
        </w:rPr>
        <w:t>€.</w:t>
      </w:r>
    </w:p>
    <w:p w:rsidR="00B10BF0" w:rsidRDefault="00B10BF0" w:rsidP="006446CA">
      <w:pPr>
        <w:pStyle w:val="Default"/>
        <w:jc w:val="both"/>
        <w:rPr>
          <w:rFonts w:ascii="Calibri" w:hAnsi="Calibri"/>
        </w:rPr>
      </w:pPr>
    </w:p>
    <w:p w:rsidR="00C616B6" w:rsidRDefault="00C616B6" w:rsidP="006446CA">
      <w:pPr>
        <w:pStyle w:val="Default"/>
        <w:jc w:val="both"/>
        <w:rPr>
          <w:rFonts w:ascii="Calibri" w:hAnsi="Calibri"/>
        </w:rPr>
      </w:pPr>
      <w:r>
        <w:rPr>
          <w:rFonts w:ascii="Calibri" w:hAnsi="Calibri"/>
        </w:rPr>
        <w:t>Les opérations en DE2 et DE3 n’étant pas corrélées à la DE1, doivent être traitées séparément. Elles n’entrent pas dans la position globale de change.</w:t>
      </w:r>
    </w:p>
    <w:p w:rsidR="00C616B6" w:rsidRPr="00BB6CFF" w:rsidRDefault="00C616B6" w:rsidP="006446CA">
      <w:pPr>
        <w:pStyle w:val="Default"/>
        <w:jc w:val="both"/>
        <w:rPr>
          <w:rFonts w:ascii="Calibri" w:hAnsi="Calibri"/>
        </w:rPr>
      </w:pPr>
    </w:p>
    <w:p w:rsidR="00333ECF" w:rsidRDefault="00333ECF" w:rsidP="006446CA">
      <w:pPr>
        <w:pStyle w:val="Default"/>
        <w:jc w:val="both"/>
        <w:rPr>
          <w:rFonts w:ascii="Calibri" w:hAnsi="Calibri"/>
          <w:b/>
        </w:rPr>
      </w:pPr>
      <w:r w:rsidRPr="00BB6CFF">
        <w:rPr>
          <w:rFonts w:ascii="Calibri" w:hAnsi="Calibri"/>
          <w:b/>
        </w:rPr>
        <w:t>31/12/N</w:t>
      </w:r>
      <w:r w:rsidR="00BB6CFF" w:rsidRPr="00BB6CFF">
        <w:rPr>
          <w:rFonts w:ascii="Calibri" w:hAnsi="Calibri"/>
          <w:b/>
        </w:rPr>
        <w:t> : arrêté des comptes</w:t>
      </w:r>
    </w:p>
    <w:p w:rsidR="00B10BF0" w:rsidRPr="00BB6CFF" w:rsidRDefault="00B10BF0" w:rsidP="006446CA">
      <w:pPr>
        <w:pStyle w:val="Default"/>
        <w:jc w:val="both"/>
        <w:rPr>
          <w:rFonts w:ascii="Calibri" w:hAnsi="Calibri"/>
          <w:b/>
        </w:rPr>
      </w:pPr>
    </w:p>
    <w:tbl>
      <w:tblPr>
        <w:tblStyle w:val="Grilledutableau"/>
        <w:tblW w:w="0" w:type="auto"/>
        <w:tblLook w:val="04A0"/>
      </w:tblPr>
      <w:tblGrid>
        <w:gridCol w:w="1271"/>
        <w:gridCol w:w="4820"/>
        <w:gridCol w:w="1417"/>
        <w:gridCol w:w="1554"/>
      </w:tblGrid>
      <w:tr w:rsidR="00333ECF" w:rsidRPr="00BB6CFF" w:rsidTr="00333ECF">
        <w:trPr>
          <w:trHeight w:val="825"/>
        </w:trPr>
        <w:tc>
          <w:tcPr>
            <w:tcW w:w="1271" w:type="dxa"/>
          </w:tcPr>
          <w:p w:rsidR="00333ECF" w:rsidRPr="00BB6CFF" w:rsidRDefault="00333ECF" w:rsidP="006446CA">
            <w:pPr>
              <w:pStyle w:val="Default"/>
              <w:jc w:val="both"/>
              <w:rPr>
                <w:rFonts w:ascii="Calibri" w:hAnsi="Calibri"/>
              </w:rPr>
            </w:pPr>
            <w:r w:rsidRPr="00BB6CFF">
              <w:rPr>
                <w:rFonts w:ascii="Calibri" w:hAnsi="Calibri"/>
              </w:rPr>
              <w:t>6865</w:t>
            </w:r>
          </w:p>
          <w:p w:rsidR="00333ECF" w:rsidRPr="00BB6CFF" w:rsidRDefault="00333ECF" w:rsidP="006446CA">
            <w:pPr>
              <w:pStyle w:val="Default"/>
              <w:jc w:val="both"/>
              <w:rPr>
                <w:rFonts w:ascii="Calibri" w:hAnsi="Calibri"/>
              </w:rPr>
            </w:pPr>
            <w:r w:rsidRPr="00BB6CFF">
              <w:rPr>
                <w:rFonts w:ascii="Calibri" w:hAnsi="Calibri"/>
              </w:rPr>
              <w:t>1515</w:t>
            </w:r>
          </w:p>
        </w:tc>
        <w:tc>
          <w:tcPr>
            <w:tcW w:w="4820" w:type="dxa"/>
          </w:tcPr>
          <w:p w:rsidR="00333ECF" w:rsidRPr="00BB6CFF" w:rsidRDefault="00333ECF" w:rsidP="006446CA">
            <w:pPr>
              <w:pStyle w:val="Default"/>
              <w:jc w:val="both"/>
              <w:rPr>
                <w:rFonts w:ascii="Calibri" w:hAnsi="Calibri"/>
              </w:rPr>
            </w:pPr>
            <w:r w:rsidRPr="00BB6CFF">
              <w:rPr>
                <w:rFonts w:ascii="Calibri" w:hAnsi="Calibri"/>
              </w:rPr>
              <w:t>Dotations aux provisions financières</w:t>
            </w:r>
          </w:p>
          <w:p w:rsidR="00333ECF" w:rsidRPr="00BB6CFF" w:rsidRDefault="00333ECF" w:rsidP="006446CA">
            <w:pPr>
              <w:pStyle w:val="Default"/>
              <w:jc w:val="both"/>
              <w:rPr>
                <w:rFonts w:ascii="Calibri" w:hAnsi="Calibri"/>
              </w:rPr>
            </w:pPr>
            <w:r w:rsidRPr="00BB6CFF">
              <w:rPr>
                <w:rFonts w:ascii="Calibri" w:hAnsi="Calibri"/>
              </w:rPr>
              <w:t xml:space="preserve">             Provisions pour pertes de change </w:t>
            </w:r>
          </w:p>
          <w:p w:rsidR="00333ECF" w:rsidRPr="00BB6CFF" w:rsidRDefault="00C616B6" w:rsidP="006446CA">
            <w:pPr>
              <w:pStyle w:val="Default"/>
              <w:jc w:val="both"/>
              <w:rPr>
                <w:rFonts w:ascii="Calibri" w:hAnsi="Calibri"/>
              </w:rPr>
            </w:pPr>
            <w:r>
              <w:rPr>
                <w:rFonts w:ascii="Calibri" w:hAnsi="Calibri"/>
              </w:rPr>
              <w:t>55 000 + 6 000 + 8 500</w:t>
            </w:r>
          </w:p>
        </w:tc>
        <w:tc>
          <w:tcPr>
            <w:tcW w:w="1417" w:type="dxa"/>
          </w:tcPr>
          <w:p w:rsidR="00333ECF" w:rsidRPr="00BB6CFF" w:rsidRDefault="00C616B6" w:rsidP="006446CA">
            <w:pPr>
              <w:pStyle w:val="Default"/>
              <w:jc w:val="center"/>
              <w:rPr>
                <w:rFonts w:ascii="Calibri" w:hAnsi="Calibri"/>
              </w:rPr>
            </w:pPr>
            <w:r>
              <w:rPr>
                <w:rFonts w:ascii="Calibri" w:hAnsi="Calibri"/>
              </w:rPr>
              <w:t>69 500</w:t>
            </w:r>
          </w:p>
        </w:tc>
        <w:tc>
          <w:tcPr>
            <w:tcW w:w="1554" w:type="dxa"/>
          </w:tcPr>
          <w:p w:rsidR="00333ECF" w:rsidRPr="00BB6CFF" w:rsidRDefault="00333ECF" w:rsidP="006446CA">
            <w:pPr>
              <w:pStyle w:val="Default"/>
              <w:jc w:val="center"/>
              <w:rPr>
                <w:rFonts w:ascii="Calibri" w:hAnsi="Calibri"/>
              </w:rPr>
            </w:pPr>
          </w:p>
          <w:p w:rsidR="00333ECF" w:rsidRPr="00BB6CFF" w:rsidRDefault="00C616B6" w:rsidP="006446CA">
            <w:pPr>
              <w:pStyle w:val="Default"/>
              <w:jc w:val="center"/>
              <w:rPr>
                <w:rFonts w:ascii="Calibri" w:hAnsi="Calibri"/>
              </w:rPr>
            </w:pPr>
            <w:r>
              <w:rPr>
                <w:rFonts w:ascii="Calibri" w:hAnsi="Calibri"/>
              </w:rPr>
              <w:t>69 500</w:t>
            </w:r>
          </w:p>
        </w:tc>
      </w:tr>
    </w:tbl>
    <w:p w:rsidR="00333ECF" w:rsidRDefault="00333ECF" w:rsidP="006446CA">
      <w:pPr>
        <w:pStyle w:val="Default"/>
        <w:jc w:val="both"/>
      </w:pPr>
    </w:p>
    <w:p w:rsidR="00B10BF0" w:rsidRDefault="00B10BF0">
      <w:pPr>
        <w:rPr>
          <w:rFonts w:ascii="Calibri" w:hAnsi="Calibri" w:cs="Times New Roman"/>
          <w:b/>
          <w:color w:val="000000"/>
          <w:sz w:val="36"/>
          <w:szCs w:val="24"/>
        </w:rPr>
      </w:pPr>
      <w:r>
        <w:rPr>
          <w:rFonts w:ascii="Calibri" w:hAnsi="Calibri"/>
          <w:b/>
          <w:sz w:val="36"/>
        </w:rPr>
        <w:br w:type="page"/>
      </w:r>
    </w:p>
    <w:p w:rsidR="009257E9" w:rsidRPr="003F3340" w:rsidRDefault="009E3145" w:rsidP="006446CA">
      <w:pPr>
        <w:pStyle w:val="Default"/>
        <w:jc w:val="both"/>
        <w:rPr>
          <w:rFonts w:ascii="Calibri" w:hAnsi="Calibri"/>
          <w:b/>
          <w:sz w:val="36"/>
        </w:rPr>
      </w:pPr>
      <w:r w:rsidRPr="003F3340">
        <w:rPr>
          <w:rFonts w:ascii="Calibri" w:hAnsi="Calibri"/>
          <w:b/>
          <w:sz w:val="36"/>
        </w:rPr>
        <w:lastRenderedPageBreak/>
        <w:t xml:space="preserve">3. </w:t>
      </w:r>
      <w:r w:rsidR="005B3510" w:rsidRPr="003F3340">
        <w:rPr>
          <w:rFonts w:ascii="Calibri" w:hAnsi="Calibri"/>
          <w:b/>
          <w:sz w:val="36"/>
        </w:rPr>
        <w:t>Les opérations de couverture</w:t>
      </w:r>
    </w:p>
    <w:p w:rsidR="004D5CC7" w:rsidRPr="004D5CC7" w:rsidRDefault="004D5CC7" w:rsidP="006446CA">
      <w:pPr>
        <w:pStyle w:val="Default"/>
        <w:jc w:val="both"/>
        <w:rPr>
          <w:rFonts w:asciiTheme="minorHAnsi" w:hAnsiTheme="minorHAnsi"/>
          <w:sz w:val="10"/>
          <w:szCs w:val="10"/>
        </w:rPr>
      </w:pPr>
    </w:p>
    <w:p w:rsidR="004216BC" w:rsidRDefault="00314C32" w:rsidP="006446CA">
      <w:pPr>
        <w:pStyle w:val="Default"/>
        <w:jc w:val="both"/>
        <w:rPr>
          <w:rFonts w:asciiTheme="minorHAnsi" w:hAnsiTheme="minorHAnsi"/>
        </w:rPr>
      </w:pPr>
      <w:r>
        <w:rPr>
          <w:rFonts w:asciiTheme="minorHAnsi" w:hAnsiTheme="minorHAnsi"/>
        </w:rPr>
        <w:t>Toute opération en monnaies étrangères entraine un risque de change pour l’entreprise, car elle ne connaît pas à l’avance le cours de sa devise nationale au moment du dénouement de l’opération, c’est-à-dire au moment où elle devra encaisser ou payer en devises.</w:t>
      </w:r>
      <w:r w:rsidR="00C906C1">
        <w:rPr>
          <w:rFonts w:asciiTheme="minorHAnsi" w:hAnsiTheme="minorHAnsi"/>
        </w:rPr>
        <w:t xml:space="preserve"> Par prudence et pour limiter les pertes de change,  e</w:t>
      </w:r>
      <w:r>
        <w:rPr>
          <w:rFonts w:asciiTheme="minorHAnsi" w:hAnsiTheme="minorHAnsi"/>
        </w:rPr>
        <w:t xml:space="preserve">lle « va vouloir </w:t>
      </w:r>
      <w:r w:rsidR="00C906C1">
        <w:rPr>
          <w:rFonts w:asciiTheme="minorHAnsi" w:hAnsiTheme="minorHAnsi"/>
        </w:rPr>
        <w:t>gérer ce risque, voire le couvrir, c’est-à-dire tenter de l’éliminer en mettant en place une transaction garantissant le cours de conversion des flux futurs de devises » (Fontaine, 2010, p.7</w:t>
      </w:r>
      <w:r w:rsidR="00131C9D">
        <w:rPr>
          <w:rFonts w:asciiTheme="minorHAnsi" w:hAnsiTheme="minorHAnsi"/>
        </w:rPr>
        <w:t>)</w:t>
      </w:r>
      <w:r w:rsidR="00C906C1">
        <w:rPr>
          <w:rFonts w:asciiTheme="minorHAnsi" w:hAnsiTheme="minorHAnsi"/>
        </w:rPr>
        <w:t>. En</w:t>
      </w:r>
      <w:r w:rsidR="003F25F6">
        <w:rPr>
          <w:rFonts w:asciiTheme="minorHAnsi" w:hAnsiTheme="minorHAnsi"/>
        </w:rPr>
        <w:t xml:space="preserve"> réalisant</w:t>
      </w:r>
      <w:r w:rsidR="00C906C1">
        <w:rPr>
          <w:rFonts w:asciiTheme="minorHAnsi" w:hAnsiTheme="minorHAnsi"/>
        </w:rPr>
        <w:t xml:space="preserve"> une opération de couverture, l’entreprise </w:t>
      </w:r>
      <w:r w:rsidR="00E610E7">
        <w:rPr>
          <w:rFonts w:asciiTheme="minorHAnsi" w:hAnsiTheme="minorHAnsi"/>
        </w:rPr>
        <w:t>détermine donc</w:t>
      </w:r>
      <w:r w:rsidR="00131C9D">
        <w:rPr>
          <w:rFonts w:asciiTheme="minorHAnsi" w:hAnsiTheme="minorHAnsi"/>
        </w:rPr>
        <w:t xml:space="preserve"> à l’avance,</w:t>
      </w:r>
      <w:r w:rsidR="00E610E7">
        <w:rPr>
          <w:rFonts w:asciiTheme="minorHAnsi" w:hAnsiTheme="minorHAnsi"/>
        </w:rPr>
        <w:t xml:space="preserve"> </w:t>
      </w:r>
      <w:r w:rsidR="000E1FFE">
        <w:rPr>
          <w:rFonts w:asciiTheme="minorHAnsi" w:hAnsiTheme="minorHAnsi"/>
        </w:rPr>
        <w:t xml:space="preserve"> la contrepartie dans sa monnaie des flux de devises futurs.</w:t>
      </w:r>
    </w:p>
    <w:p w:rsidR="004216BC" w:rsidRDefault="004216BC" w:rsidP="006446CA">
      <w:pPr>
        <w:pStyle w:val="Default"/>
        <w:jc w:val="both"/>
        <w:rPr>
          <w:rFonts w:asciiTheme="minorHAnsi" w:hAnsiTheme="minorHAnsi"/>
        </w:rPr>
      </w:pPr>
      <w:r>
        <w:rPr>
          <w:rFonts w:asciiTheme="minorHAnsi" w:hAnsiTheme="minorHAnsi"/>
        </w:rPr>
        <w:t xml:space="preserve">Avant </w:t>
      </w:r>
      <w:r w:rsidR="00492DA0">
        <w:rPr>
          <w:rFonts w:asciiTheme="minorHAnsi" w:hAnsiTheme="minorHAnsi"/>
        </w:rPr>
        <w:t xml:space="preserve">le règlement 2015 de l’ANC, les </w:t>
      </w:r>
      <w:r w:rsidR="00BB6CFF">
        <w:rPr>
          <w:rFonts w:asciiTheme="minorHAnsi" w:hAnsiTheme="minorHAnsi"/>
        </w:rPr>
        <w:t>règles</w:t>
      </w:r>
      <w:r w:rsidR="00054EDC">
        <w:rPr>
          <w:rFonts w:asciiTheme="minorHAnsi" w:hAnsiTheme="minorHAnsi"/>
        </w:rPr>
        <w:t xml:space="preserve"> </w:t>
      </w:r>
      <w:r w:rsidR="007C1700" w:rsidRPr="007C1700">
        <w:rPr>
          <w:rFonts w:asciiTheme="minorHAnsi" w:hAnsiTheme="minorHAnsi"/>
        </w:rPr>
        <w:t>de comptabilisation</w:t>
      </w:r>
      <w:r w:rsidR="00BB6CFF">
        <w:rPr>
          <w:rFonts w:asciiTheme="minorHAnsi" w:hAnsiTheme="minorHAnsi"/>
        </w:rPr>
        <w:t xml:space="preserve"> </w:t>
      </w:r>
      <w:r w:rsidR="00E610E7">
        <w:rPr>
          <w:rFonts w:asciiTheme="minorHAnsi" w:hAnsiTheme="minorHAnsi"/>
        </w:rPr>
        <w:t>des opérations de couverture des transactions en monnaies étrangères</w:t>
      </w:r>
      <w:r>
        <w:rPr>
          <w:rFonts w:asciiTheme="minorHAnsi" w:hAnsiTheme="minorHAnsi"/>
        </w:rPr>
        <w:t xml:space="preserve"> résultaient  de divers textes généraux (PCG, art 224-1 </w:t>
      </w:r>
      <w:proofErr w:type="gramStart"/>
      <w:r>
        <w:rPr>
          <w:rFonts w:asciiTheme="minorHAnsi" w:hAnsiTheme="minorHAnsi"/>
        </w:rPr>
        <w:t>s.,</w:t>
      </w:r>
      <w:proofErr w:type="gramEnd"/>
      <w:r>
        <w:rPr>
          <w:rFonts w:asciiTheme="minorHAnsi" w:hAnsiTheme="minorHAnsi"/>
        </w:rPr>
        <w:t xml:space="preserve"> avis CNC n° 29 et 32) datant de 1986 et de 1987 et qui se limitaient à certains instruments</w:t>
      </w:r>
      <w:r w:rsidR="00684207">
        <w:rPr>
          <w:rFonts w:asciiTheme="minorHAnsi" w:hAnsiTheme="minorHAnsi"/>
        </w:rPr>
        <w:t xml:space="preserve"> dérivés de taux.</w:t>
      </w:r>
      <w:r w:rsidR="00BA3556">
        <w:rPr>
          <w:rFonts w:asciiTheme="minorHAnsi" w:hAnsiTheme="minorHAnsi"/>
        </w:rPr>
        <w:t xml:space="preserve"> </w:t>
      </w:r>
      <w:r>
        <w:rPr>
          <w:rFonts w:asciiTheme="minorHAnsi" w:hAnsiTheme="minorHAnsi"/>
        </w:rPr>
        <w:t>Les règles de comptabilisation étaient donc peu</w:t>
      </w:r>
      <w:r w:rsidR="00684207">
        <w:rPr>
          <w:rFonts w:asciiTheme="minorHAnsi" w:hAnsiTheme="minorHAnsi"/>
        </w:rPr>
        <w:t xml:space="preserve"> précises, laissant une grande place à l’interprétation.</w:t>
      </w:r>
    </w:p>
    <w:p w:rsidR="004D5CC7" w:rsidRPr="007D6079" w:rsidRDefault="004D5CC7" w:rsidP="006446CA">
      <w:pPr>
        <w:pStyle w:val="Default"/>
        <w:jc w:val="both"/>
        <w:rPr>
          <w:rFonts w:asciiTheme="minorHAnsi" w:hAnsiTheme="minorHAnsi"/>
          <w:sz w:val="16"/>
          <w:szCs w:val="16"/>
        </w:rPr>
      </w:pPr>
    </w:p>
    <w:tbl>
      <w:tblPr>
        <w:tblStyle w:val="Grilledutableau"/>
        <w:tblW w:w="0" w:type="auto"/>
        <w:tblLook w:val="04A0"/>
      </w:tblPr>
      <w:tblGrid>
        <w:gridCol w:w="9747"/>
      </w:tblGrid>
      <w:tr w:rsidR="00E572FE" w:rsidTr="007D6079">
        <w:trPr>
          <w:trHeight w:val="3428"/>
        </w:trPr>
        <w:tc>
          <w:tcPr>
            <w:tcW w:w="9747" w:type="dxa"/>
            <w:vAlign w:val="center"/>
          </w:tcPr>
          <w:p w:rsidR="00E05F69" w:rsidRDefault="00BA3556" w:rsidP="007D6079">
            <w:pPr>
              <w:pStyle w:val="Default"/>
              <w:jc w:val="both"/>
              <w:rPr>
                <w:rFonts w:asciiTheme="minorHAnsi" w:hAnsiTheme="minorHAnsi"/>
                <w:i/>
              </w:rPr>
            </w:pPr>
            <w:r>
              <w:rPr>
                <w:rFonts w:asciiTheme="minorHAnsi" w:hAnsiTheme="minorHAnsi"/>
              </w:rPr>
              <w:t xml:space="preserve">Désormais, elles relèvent de </w:t>
            </w:r>
            <w:r w:rsidR="00BB6CFF">
              <w:rPr>
                <w:rFonts w:asciiTheme="minorHAnsi" w:hAnsiTheme="minorHAnsi"/>
              </w:rPr>
              <w:t>l</w:t>
            </w:r>
            <w:r w:rsidR="00FE384A">
              <w:rPr>
                <w:rFonts w:asciiTheme="minorHAnsi" w:hAnsiTheme="minorHAnsi"/>
              </w:rPr>
              <w:t>’</w:t>
            </w:r>
            <w:r w:rsidR="00BB6CFF">
              <w:rPr>
                <w:rFonts w:asciiTheme="minorHAnsi" w:hAnsiTheme="minorHAnsi"/>
              </w:rPr>
              <w:t>application</w:t>
            </w:r>
            <w:r w:rsidR="007C1700">
              <w:rPr>
                <w:rFonts w:asciiTheme="minorHAnsi" w:hAnsiTheme="minorHAnsi"/>
              </w:rPr>
              <w:t xml:space="preserve"> du principe général</w:t>
            </w:r>
            <w:r w:rsidR="00061F99">
              <w:rPr>
                <w:rFonts w:asciiTheme="minorHAnsi" w:hAnsiTheme="minorHAnsi"/>
              </w:rPr>
              <w:t xml:space="preserve"> du règlement 2015-05</w:t>
            </w:r>
            <w:r w:rsidR="00054EDC">
              <w:rPr>
                <w:rFonts w:asciiTheme="minorHAnsi" w:hAnsiTheme="minorHAnsi"/>
              </w:rPr>
              <w:t xml:space="preserve"> </w:t>
            </w:r>
            <w:r w:rsidR="007C1700">
              <w:rPr>
                <w:rFonts w:asciiTheme="minorHAnsi" w:hAnsiTheme="minorHAnsi"/>
              </w:rPr>
              <w:t>de reconnaissance symétrique dans le compte de résultat du risque couvert et des effets de la couvert</w:t>
            </w:r>
            <w:r w:rsidR="00061F99">
              <w:rPr>
                <w:rFonts w:asciiTheme="minorHAnsi" w:hAnsiTheme="minorHAnsi"/>
              </w:rPr>
              <w:t>ure</w:t>
            </w:r>
            <w:r w:rsidR="00FE384A">
              <w:rPr>
                <w:rFonts w:asciiTheme="minorHAnsi" w:hAnsiTheme="minorHAnsi"/>
              </w:rPr>
              <w:t>.</w:t>
            </w:r>
            <w:r w:rsidR="00CD53A5">
              <w:rPr>
                <w:rFonts w:asciiTheme="minorHAnsi" w:hAnsiTheme="minorHAnsi"/>
              </w:rPr>
              <w:t xml:space="preserve"> Ce principe est défini à l’article 628-11 du PCG : </w:t>
            </w:r>
          </w:p>
          <w:p w:rsidR="00E572FE" w:rsidRPr="00E572FE" w:rsidRDefault="00E572FE" w:rsidP="007D6079">
            <w:pPr>
              <w:pStyle w:val="Default"/>
              <w:jc w:val="both"/>
              <w:rPr>
                <w:rFonts w:asciiTheme="minorHAnsi" w:hAnsiTheme="minorHAnsi"/>
                <w:i/>
              </w:rPr>
            </w:pPr>
            <w:r w:rsidRPr="00E572FE">
              <w:rPr>
                <w:rFonts w:asciiTheme="minorHAnsi" w:hAnsiTheme="minorHAnsi"/>
                <w:i/>
              </w:rPr>
              <w:t>Art</w:t>
            </w:r>
            <w:r w:rsidR="00E1664A">
              <w:rPr>
                <w:rFonts w:asciiTheme="minorHAnsi" w:hAnsiTheme="minorHAnsi"/>
                <w:i/>
              </w:rPr>
              <w:t>. </w:t>
            </w:r>
            <w:r w:rsidRPr="00E572FE">
              <w:rPr>
                <w:rFonts w:asciiTheme="minorHAnsi" w:hAnsiTheme="minorHAnsi"/>
                <w:i/>
              </w:rPr>
              <w:t>628-11 - Comptabilité de couverture : Sans préjudice des dispositions édictées aux articles</w:t>
            </w:r>
            <w:r w:rsidR="00E1664A">
              <w:rPr>
                <w:rFonts w:asciiTheme="minorHAnsi" w:hAnsiTheme="minorHAnsi"/>
                <w:i/>
              </w:rPr>
              <w:t> </w:t>
            </w:r>
            <w:r w:rsidRPr="00E572FE">
              <w:rPr>
                <w:rFonts w:asciiTheme="minorHAnsi" w:hAnsiTheme="minorHAnsi"/>
                <w:i/>
              </w:rPr>
              <w:t>628-12 et 628-13, les produits et charges (latents ou réalisés) relatifs aux instruments de couverture sont reconnus au compte de résultat de manière symétrique au mode de comptabilisation des produits et charges sur l’élément couvert. Ainsi, les variations de valeur des instruments de couverture ne sont pas reconnues au bilan, sauf si la reconnaissance en partie ou en totalité de ces variations permet d’assurer un traitement symétrique avec l’élément couvert. Par symétrie, le résultat de la couverture est présenté dans le même poste ou à défaut dans la même rubrique du compte de résultat que celui de l’élément couvert</w:t>
            </w:r>
            <w:r w:rsidR="00FE384A">
              <w:rPr>
                <w:rFonts w:asciiTheme="minorHAnsi" w:hAnsiTheme="minorHAnsi"/>
                <w:i/>
              </w:rPr>
              <w:t>.</w:t>
            </w:r>
          </w:p>
        </w:tc>
      </w:tr>
    </w:tbl>
    <w:p w:rsidR="00E572FE" w:rsidRPr="007D6079" w:rsidRDefault="00E572FE" w:rsidP="006446CA">
      <w:pPr>
        <w:pStyle w:val="Default"/>
        <w:jc w:val="both"/>
        <w:rPr>
          <w:rFonts w:asciiTheme="minorHAnsi" w:hAnsiTheme="minorHAnsi"/>
          <w:sz w:val="16"/>
          <w:szCs w:val="16"/>
        </w:rPr>
      </w:pPr>
    </w:p>
    <w:p w:rsidR="007C1700" w:rsidRDefault="00E572FE" w:rsidP="006446CA">
      <w:pPr>
        <w:pStyle w:val="Default"/>
        <w:jc w:val="both"/>
        <w:rPr>
          <w:rFonts w:asciiTheme="minorHAnsi" w:hAnsiTheme="minorHAnsi"/>
        </w:rPr>
      </w:pPr>
      <w:r>
        <w:rPr>
          <w:rFonts w:asciiTheme="minorHAnsi" w:hAnsiTheme="minorHAnsi"/>
        </w:rPr>
        <w:t>L’application de cette disposition</w:t>
      </w:r>
      <w:r w:rsidR="00054EDC">
        <w:rPr>
          <w:rFonts w:asciiTheme="minorHAnsi" w:hAnsiTheme="minorHAnsi"/>
        </w:rPr>
        <w:t xml:space="preserve"> </w:t>
      </w:r>
      <w:r w:rsidR="00061F99">
        <w:rPr>
          <w:rFonts w:asciiTheme="minorHAnsi" w:hAnsiTheme="minorHAnsi"/>
        </w:rPr>
        <w:t>a pour conséquence</w:t>
      </w:r>
      <w:r w:rsidR="00054EDC">
        <w:rPr>
          <w:rFonts w:asciiTheme="minorHAnsi" w:hAnsiTheme="minorHAnsi"/>
        </w:rPr>
        <w:t xml:space="preserve"> </w:t>
      </w:r>
      <w:r w:rsidR="00061F99">
        <w:rPr>
          <w:rFonts w:asciiTheme="minorHAnsi" w:hAnsiTheme="minorHAnsi"/>
        </w:rPr>
        <w:t>que :</w:t>
      </w:r>
    </w:p>
    <w:p w:rsidR="000052B4" w:rsidRPr="007D6079" w:rsidRDefault="000052B4" w:rsidP="006446CA">
      <w:pPr>
        <w:pStyle w:val="Default"/>
        <w:jc w:val="both"/>
        <w:rPr>
          <w:rFonts w:asciiTheme="minorHAnsi" w:hAnsiTheme="minorHAnsi"/>
          <w:sz w:val="10"/>
          <w:szCs w:val="10"/>
        </w:rPr>
      </w:pPr>
    </w:p>
    <w:p w:rsidR="007C1700" w:rsidRDefault="00FE384A" w:rsidP="000052B4">
      <w:pPr>
        <w:pStyle w:val="Default"/>
        <w:numPr>
          <w:ilvl w:val="0"/>
          <w:numId w:val="2"/>
        </w:numPr>
        <w:jc w:val="both"/>
        <w:rPr>
          <w:rFonts w:asciiTheme="minorHAnsi" w:hAnsiTheme="minorHAnsi"/>
        </w:rPr>
      </w:pPr>
      <w:r>
        <w:rPr>
          <w:rFonts w:asciiTheme="minorHAnsi" w:hAnsiTheme="minorHAnsi"/>
        </w:rPr>
        <w:t>L</w:t>
      </w:r>
      <w:r w:rsidR="007C1700">
        <w:rPr>
          <w:rFonts w:asciiTheme="minorHAnsi" w:hAnsiTheme="minorHAnsi"/>
        </w:rPr>
        <w:t>es effets de couverture doivent être classés en résultat en fonction de la nature du sous-jacent. Le résultat de la couverture est présenté dans le même poste ou au minimum dans la même rubrique</w:t>
      </w:r>
      <w:r w:rsidR="00054EDC">
        <w:rPr>
          <w:rFonts w:asciiTheme="minorHAnsi" w:hAnsiTheme="minorHAnsi"/>
        </w:rPr>
        <w:t xml:space="preserve"> </w:t>
      </w:r>
      <w:r w:rsidR="007C1700">
        <w:rPr>
          <w:rFonts w:asciiTheme="minorHAnsi" w:hAnsiTheme="minorHAnsi"/>
        </w:rPr>
        <w:t>du compte de résultat (exploitation, financier, exceptionnel) que l’élément couvert.</w:t>
      </w:r>
    </w:p>
    <w:p w:rsidR="000052B4" w:rsidRPr="007D6079" w:rsidRDefault="000052B4" w:rsidP="006446CA">
      <w:pPr>
        <w:pStyle w:val="Default"/>
        <w:jc w:val="both"/>
        <w:rPr>
          <w:rFonts w:asciiTheme="minorHAnsi" w:hAnsiTheme="minorHAnsi"/>
          <w:sz w:val="10"/>
          <w:szCs w:val="10"/>
        </w:rPr>
      </w:pPr>
    </w:p>
    <w:p w:rsidR="007C1700" w:rsidRDefault="007C1700" w:rsidP="000052B4">
      <w:pPr>
        <w:pStyle w:val="Default"/>
        <w:numPr>
          <w:ilvl w:val="0"/>
          <w:numId w:val="2"/>
        </w:numPr>
        <w:jc w:val="both"/>
        <w:rPr>
          <w:rFonts w:asciiTheme="minorHAnsi" w:hAnsiTheme="minorHAnsi"/>
        </w:rPr>
      </w:pPr>
      <w:r>
        <w:rPr>
          <w:rFonts w:asciiTheme="minorHAnsi" w:hAnsiTheme="minorHAnsi"/>
        </w:rPr>
        <w:t xml:space="preserve">Le principe de symétrie s’applique également au bilan, lorsqu’un dérivé de change couvre une créance ou une dette. Le dérivé est revalorisé en contrepartie des écarts </w:t>
      </w:r>
      <w:r w:rsidR="002054B0">
        <w:rPr>
          <w:rFonts w:asciiTheme="minorHAnsi" w:hAnsiTheme="minorHAnsi"/>
        </w:rPr>
        <w:t xml:space="preserve">de conversion actif/passif venant équilibrer au bilan les écarts de conversion générés sur la créance ou la dette couverte. </w:t>
      </w:r>
    </w:p>
    <w:p w:rsidR="009B2AA9" w:rsidRDefault="009B2AA9" w:rsidP="006446CA">
      <w:pPr>
        <w:pStyle w:val="Default"/>
        <w:jc w:val="both"/>
        <w:rPr>
          <w:rFonts w:asciiTheme="minorHAnsi" w:hAnsiTheme="minorHAnsi"/>
        </w:rPr>
      </w:pPr>
    </w:p>
    <w:p w:rsidR="005D4F87" w:rsidRDefault="005D4F87" w:rsidP="006446CA">
      <w:pPr>
        <w:pStyle w:val="Default"/>
        <w:jc w:val="both"/>
        <w:rPr>
          <w:rFonts w:asciiTheme="minorHAnsi" w:hAnsiTheme="minorHAnsi"/>
          <w:b/>
        </w:rPr>
      </w:pPr>
      <w:r w:rsidRPr="005D4F87">
        <w:rPr>
          <w:rFonts w:asciiTheme="minorHAnsi" w:hAnsiTheme="minorHAnsi"/>
          <w:b/>
        </w:rPr>
        <w:t>Exemple 3</w:t>
      </w:r>
      <w:r w:rsidR="00054EDC">
        <w:rPr>
          <w:rFonts w:asciiTheme="minorHAnsi" w:hAnsiTheme="minorHAnsi"/>
          <w:b/>
        </w:rPr>
        <w:t xml:space="preserve"> </w:t>
      </w:r>
    </w:p>
    <w:p w:rsidR="000052B4" w:rsidRPr="007D6079" w:rsidRDefault="000052B4" w:rsidP="006446CA">
      <w:pPr>
        <w:pStyle w:val="Default"/>
        <w:jc w:val="both"/>
        <w:rPr>
          <w:rFonts w:ascii="Calibri" w:hAnsi="Calibri"/>
          <w:sz w:val="10"/>
          <w:szCs w:val="10"/>
        </w:rPr>
      </w:pPr>
    </w:p>
    <w:p w:rsidR="000209CE" w:rsidRDefault="001730D3" w:rsidP="006446CA">
      <w:pPr>
        <w:pStyle w:val="Default"/>
        <w:jc w:val="both"/>
        <w:rPr>
          <w:rFonts w:ascii="Calibri" w:hAnsi="Calibri"/>
        </w:rPr>
      </w:pPr>
      <w:r>
        <w:rPr>
          <w:rFonts w:ascii="Calibri" w:hAnsi="Calibri"/>
        </w:rPr>
        <w:t>La société Téta est un</w:t>
      </w:r>
      <w:r w:rsidR="00131C9D">
        <w:rPr>
          <w:rFonts w:ascii="Calibri" w:hAnsi="Calibri"/>
        </w:rPr>
        <w:t xml:space="preserve"> exportateur français</w:t>
      </w:r>
      <w:r w:rsidR="009B2AA9">
        <w:rPr>
          <w:rFonts w:ascii="Calibri" w:hAnsi="Calibri"/>
        </w:rPr>
        <w:t xml:space="preserve"> opérant dans le secteur des v</w:t>
      </w:r>
      <w:r>
        <w:rPr>
          <w:rFonts w:ascii="Calibri" w:hAnsi="Calibri"/>
        </w:rPr>
        <w:t xml:space="preserve">êtements de luxe. Elle travaille essentiellement sur le marché asiatique. Elle </w:t>
      </w:r>
      <w:r w:rsidR="00BD0E3A">
        <w:rPr>
          <w:rFonts w:ascii="Calibri" w:hAnsi="Calibri"/>
        </w:rPr>
        <w:t>a vendu et facturé</w:t>
      </w:r>
      <w:r w:rsidR="005D4F87">
        <w:rPr>
          <w:rFonts w:ascii="Calibri" w:hAnsi="Calibri"/>
        </w:rPr>
        <w:t>, le 15</w:t>
      </w:r>
      <w:r w:rsidR="00E1664A">
        <w:rPr>
          <w:rFonts w:ascii="Calibri" w:hAnsi="Calibri"/>
        </w:rPr>
        <w:t> </w:t>
      </w:r>
      <w:r w:rsidR="005D4F87">
        <w:rPr>
          <w:rFonts w:ascii="Calibri" w:hAnsi="Calibri"/>
        </w:rPr>
        <w:t>septembre</w:t>
      </w:r>
      <w:r w:rsidR="00E1664A">
        <w:rPr>
          <w:rFonts w:ascii="Calibri" w:hAnsi="Calibri"/>
        </w:rPr>
        <w:t> </w:t>
      </w:r>
      <w:r w:rsidR="005D4F87">
        <w:rPr>
          <w:rFonts w:ascii="Calibri" w:hAnsi="Calibri"/>
        </w:rPr>
        <w:t>N,</w:t>
      </w:r>
      <w:r w:rsidR="00BD0E3A">
        <w:rPr>
          <w:rFonts w:ascii="Calibri" w:hAnsi="Calibri"/>
        </w:rPr>
        <w:t xml:space="preserve"> à son client </w:t>
      </w:r>
      <w:r w:rsidR="00C01D4F">
        <w:rPr>
          <w:rFonts w:ascii="Calibri" w:hAnsi="Calibri"/>
        </w:rPr>
        <w:t>chinois</w:t>
      </w:r>
      <w:r w:rsidR="00BD0E3A">
        <w:rPr>
          <w:rFonts w:ascii="Calibri" w:hAnsi="Calibri"/>
        </w:rPr>
        <w:t xml:space="preserve"> pour 500 000</w:t>
      </w:r>
      <w:r w:rsidR="00E1664A">
        <w:rPr>
          <w:rFonts w:ascii="Calibri" w:hAnsi="Calibri"/>
        </w:rPr>
        <w:t> </w:t>
      </w:r>
      <w:r w:rsidR="00896D3D">
        <w:rPr>
          <w:rFonts w:ascii="Calibri" w:hAnsi="Calibri"/>
        </w:rPr>
        <w:t>yuans</w:t>
      </w:r>
      <w:r w:rsidR="00BD0E3A">
        <w:rPr>
          <w:rFonts w:ascii="Calibri" w:hAnsi="Calibri"/>
        </w:rPr>
        <w:t xml:space="preserve"> renminbi (CNY)</w:t>
      </w:r>
      <w:r w:rsidR="00054EDC">
        <w:rPr>
          <w:rFonts w:ascii="Calibri" w:hAnsi="Calibri"/>
        </w:rPr>
        <w:t xml:space="preserve"> </w:t>
      </w:r>
      <w:r w:rsidR="005D4F87">
        <w:rPr>
          <w:rFonts w:ascii="Calibri" w:hAnsi="Calibri"/>
        </w:rPr>
        <w:t>de marchandises</w:t>
      </w:r>
      <w:r w:rsidR="00BD0E3A">
        <w:rPr>
          <w:rFonts w:ascii="Calibri" w:hAnsi="Calibri"/>
        </w:rPr>
        <w:t xml:space="preserve">. Le </w:t>
      </w:r>
      <w:r w:rsidR="005D4F87">
        <w:rPr>
          <w:rFonts w:ascii="Calibri" w:hAnsi="Calibri"/>
        </w:rPr>
        <w:t>règlement</w:t>
      </w:r>
      <w:r w:rsidR="00BD0E3A">
        <w:rPr>
          <w:rFonts w:ascii="Calibri" w:hAnsi="Calibri"/>
        </w:rPr>
        <w:t xml:space="preserve"> est prévu</w:t>
      </w:r>
      <w:r w:rsidR="005E0C68">
        <w:rPr>
          <w:rFonts w:ascii="Calibri" w:hAnsi="Calibri"/>
        </w:rPr>
        <w:t xml:space="preserve"> pour le 31</w:t>
      </w:r>
      <w:r w:rsidR="00E1664A">
        <w:rPr>
          <w:rFonts w:ascii="Calibri" w:hAnsi="Calibri"/>
        </w:rPr>
        <w:t> </w:t>
      </w:r>
      <w:r w:rsidR="005E0C68">
        <w:rPr>
          <w:rFonts w:ascii="Calibri" w:hAnsi="Calibri"/>
        </w:rPr>
        <w:t>mars</w:t>
      </w:r>
      <w:r w:rsidR="005D4F87">
        <w:rPr>
          <w:rFonts w:ascii="Calibri" w:hAnsi="Calibri"/>
        </w:rPr>
        <w:t xml:space="preserve"> N+1. L’entreprise française clôture son exercice comptable le 31</w:t>
      </w:r>
      <w:r w:rsidR="00E1664A">
        <w:rPr>
          <w:rFonts w:ascii="Calibri" w:hAnsi="Calibri"/>
        </w:rPr>
        <w:t> </w:t>
      </w:r>
      <w:r w:rsidR="005D4F87">
        <w:rPr>
          <w:rFonts w:ascii="Calibri" w:hAnsi="Calibri"/>
        </w:rPr>
        <w:t xml:space="preserve">décembre de chaque </w:t>
      </w:r>
      <w:r w:rsidR="000209CE">
        <w:rPr>
          <w:rFonts w:ascii="Calibri" w:hAnsi="Calibri"/>
        </w:rPr>
        <w:t>année. En plus d’un compte bancaire en euros,  elle possède aussi un compte bancaire en CNY.</w:t>
      </w:r>
    </w:p>
    <w:p w:rsidR="007D6079" w:rsidRPr="007D6079" w:rsidRDefault="007D6079" w:rsidP="006446CA">
      <w:pPr>
        <w:pStyle w:val="Default"/>
        <w:jc w:val="both"/>
        <w:rPr>
          <w:rFonts w:ascii="Calibri" w:hAnsi="Calibri"/>
          <w:sz w:val="10"/>
          <w:szCs w:val="10"/>
        </w:rPr>
      </w:pPr>
    </w:p>
    <w:p w:rsidR="005D4F87" w:rsidRDefault="00364FEB" w:rsidP="006446CA">
      <w:pPr>
        <w:pStyle w:val="Default"/>
        <w:jc w:val="both"/>
        <w:rPr>
          <w:rFonts w:ascii="Calibri" w:hAnsi="Calibri"/>
        </w:rPr>
      </w:pPr>
      <w:r>
        <w:rPr>
          <w:rFonts w:ascii="Calibri" w:hAnsi="Calibri"/>
        </w:rPr>
        <w:t>Anticipant une hausse du cours EUR/CNY, l’entreprise Téta va essayer de déterminer à l’avance, le cours auquel se fera la conversion des euros en yuans</w:t>
      </w:r>
      <w:r w:rsidR="00433577">
        <w:rPr>
          <w:rFonts w:ascii="Calibri" w:hAnsi="Calibri"/>
        </w:rPr>
        <w:t xml:space="preserve"> le 31 mars N+1</w:t>
      </w:r>
      <w:r>
        <w:rPr>
          <w:rFonts w:ascii="Calibri" w:hAnsi="Calibri"/>
        </w:rPr>
        <w:t xml:space="preserve">. </w:t>
      </w:r>
      <w:r w:rsidR="005D4F87">
        <w:rPr>
          <w:rFonts w:ascii="Calibri" w:hAnsi="Calibri"/>
        </w:rPr>
        <w:t>Cette opération fait</w:t>
      </w:r>
      <w:r>
        <w:rPr>
          <w:rFonts w:ascii="Calibri" w:hAnsi="Calibri"/>
        </w:rPr>
        <w:t xml:space="preserve"> donc </w:t>
      </w:r>
      <w:r w:rsidR="005D4F87">
        <w:rPr>
          <w:rFonts w:ascii="Calibri" w:hAnsi="Calibri"/>
        </w:rPr>
        <w:t xml:space="preserve"> l’objet d’une opération de couverture</w:t>
      </w:r>
      <w:r w:rsidR="00FA4A26" w:rsidRPr="00FA4A26">
        <w:rPr>
          <w:rFonts w:ascii="Calibri" w:hAnsi="Calibri"/>
        </w:rPr>
        <w:t xml:space="preserve"> </w:t>
      </w:r>
      <w:r w:rsidR="00FA4A26">
        <w:rPr>
          <w:rFonts w:ascii="Calibri" w:hAnsi="Calibri"/>
        </w:rPr>
        <w:t>contre le risque de change (mise en pla</w:t>
      </w:r>
      <w:r w:rsidR="00061F99">
        <w:rPr>
          <w:rFonts w:ascii="Calibri" w:hAnsi="Calibri"/>
        </w:rPr>
        <w:t>ce</w:t>
      </w:r>
      <w:r w:rsidR="00FA4A26">
        <w:rPr>
          <w:rFonts w:ascii="Calibri" w:hAnsi="Calibri"/>
        </w:rPr>
        <w:t xml:space="preserve"> le 15/09/N)</w:t>
      </w:r>
      <w:r w:rsidR="005D4F87">
        <w:rPr>
          <w:rFonts w:ascii="Calibri" w:hAnsi="Calibri"/>
        </w:rPr>
        <w:t>, sous la forme d’</w:t>
      </w:r>
      <w:r w:rsidR="005E0C68">
        <w:rPr>
          <w:rFonts w:ascii="Calibri" w:hAnsi="Calibri"/>
        </w:rPr>
        <w:t>une vente à terme de 500</w:t>
      </w:r>
      <w:r w:rsidR="00E1664A">
        <w:rPr>
          <w:rFonts w:ascii="Calibri" w:hAnsi="Calibri"/>
        </w:rPr>
        <w:t> </w:t>
      </w:r>
      <w:r w:rsidR="005E0C68">
        <w:rPr>
          <w:rFonts w:ascii="Calibri" w:hAnsi="Calibri"/>
        </w:rPr>
        <w:t>000</w:t>
      </w:r>
      <w:r w:rsidR="00E1664A">
        <w:rPr>
          <w:rFonts w:ascii="Calibri" w:hAnsi="Calibri"/>
        </w:rPr>
        <w:t> </w:t>
      </w:r>
      <w:r w:rsidR="00BD0E3A">
        <w:rPr>
          <w:rFonts w:ascii="Calibri" w:hAnsi="Calibri"/>
        </w:rPr>
        <w:t>CNY</w:t>
      </w:r>
      <w:r w:rsidR="005E0C68">
        <w:rPr>
          <w:rFonts w:ascii="Calibri" w:hAnsi="Calibri"/>
        </w:rPr>
        <w:t xml:space="preserve"> à échéance du 31</w:t>
      </w:r>
      <w:r w:rsidR="00FE384A">
        <w:rPr>
          <w:rFonts w:ascii="Calibri" w:hAnsi="Calibri"/>
        </w:rPr>
        <w:t> </w:t>
      </w:r>
      <w:r w:rsidR="005E0C68">
        <w:rPr>
          <w:rFonts w:ascii="Calibri" w:hAnsi="Calibri"/>
        </w:rPr>
        <w:t>mars</w:t>
      </w:r>
      <w:r w:rsidR="005D4F87">
        <w:rPr>
          <w:rFonts w:ascii="Calibri" w:hAnsi="Calibri"/>
        </w:rPr>
        <w:t xml:space="preserve"> N+1, le cours à </w:t>
      </w:r>
      <w:r w:rsidR="00BD0E3A">
        <w:rPr>
          <w:rFonts w:ascii="Calibri" w:hAnsi="Calibri"/>
        </w:rPr>
        <w:t>terme du dérivé est de 7,7</w:t>
      </w:r>
      <w:r w:rsidR="00E1664A">
        <w:rPr>
          <w:rFonts w:ascii="Calibri" w:hAnsi="Calibri"/>
        </w:rPr>
        <w:t> </w:t>
      </w:r>
      <w:r w:rsidR="00BD0E3A">
        <w:rPr>
          <w:rFonts w:ascii="Calibri" w:hAnsi="Calibri"/>
        </w:rPr>
        <w:t>CNY</w:t>
      </w:r>
      <w:r w:rsidR="005D4F87">
        <w:rPr>
          <w:rFonts w:ascii="Calibri" w:hAnsi="Calibri"/>
        </w:rPr>
        <w:t>.</w:t>
      </w:r>
    </w:p>
    <w:p w:rsidR="005D4F87" w:rsidRDefault="005D4F87" w:rsidP="006446CA">
      <w:pPr>
        <w:pStyle w:val="Default"/>
        <w:jc w:val="both"/>
        <w:rPr>
          <w:rFonts w:ascii="Calibri" w:hAnsi="Calibri"/>
        </w:rPr>
      </w:pPr>
      <w:r>
        <w:rPr>
          <w:rFonts w:ascii="Calibri" w:hAnsi="Calibri"/>
        </w:rPr>
        <w:lastRenderedPageBreak/>
        <w:t>Les cours de change EUR</w:t>
      </w:r>
      <w:r w:rsidR="00BD0E3A">
        <w:rPr>
          <w:rFonts w:ascii="Calibri" w:hAnsi="Calibri"/>
        </w:rPr>
        <w:t>/CNY</w:t>
      </w:r>
      <w:r>
        <w:rPr>
          <w:rFonts w:ascii="Calibri" w:hAnsi="Calibri"/>
        </w:rPr>
        <w:t xml:space="preserve"> SPOT sont les suivants :</w:t>
      </w:r>
    </w:p>
    <w:p w:rsidR="005D4F87" w:rsidRDefault="005D4F87" w:rsidP="006446CA">
      <w:pPr>
        <w:pStyle w:val="Default"/>
        <w:jc w:val="both"/>
        <w:rPr>
          <w:rFonts w:ascii="Calibri" w:hAnsi="Calibri"/>
        </w:rPr>
      </w:pPr>
      <w:r>
        <w:rPr>
          <w:rFonts w:ascii="Calibri" w:hAnsi="Calibri"/>
        </w:rPr>
        <w:t>15/09/N :    1</w:t>
      </w:r>
      <w:r w:rsidR="00E1664A">
        <w:rPr>
          <w:rFonts w:ascii="Calibri" w:hAnsi="Calibri"/>
        </w:rPr>
        <w:t> </w:t>
      </w:r>
      <w:r>
        <w:rPr>
          <w:rFonts w:ascii="Calibri" w:hAnsi="Calibri"/>
        </w:rPr>
        <w:t xml:space="preserve">EUR =  </w:t>
      </w:r>
      <w:r w:rsidR="00BD0E3A">
        <w:rPr>
          <w:rFonts w:ascii="Calibri" w:hAnsi="Calibri"/>
        </w:rPr>
        <w:t xml:space="preserve"> 7,5</w:t>
      </w:r>
      <w:r w:rsidR="00E1664A">
        <w:rPr>
          <w:rFonts w:ascii="Calibri" w:hAnsi="Calibri"/>
        </w:rPr>
        <w:t> </w:t>
      </w:r>
      <w:r w:rsidR="00BD0E3A">
        <w:rPr>
          <w:rFonts w:ascii="Calibri" w:hAnsi="Calibri"/>
        </w:rPr>
        <w:t>CNY</w:t>
      </w:r>
    </w:p>
    <w:p w:rsidR="005D4F87" w:rsidRDefault="005D4F87" w:rsidP="006446CA">
      <w:pPr>
        <w:pStyle w:val="Default"/>
        <w:jc w:val="both"/>
        <w:rPr>
          <w:rFonts w:ascii="Calibri" w:hAnsi="Calibri"/>
        </w:rPr>
      </w:pPr>
      <w:r>
        <w:rPr>
          <w:rFonts w:ascii="Calibri" w:hAnsi="Calibri"/>
        </w:rPr>
        <w:t>31/12/N :    1</w:t>
      </w:r>
      <w:r w:rsidR="00E1664A">
        <w:rPr>
          <w:rFonts w:ascii="Calibri" w:hAnsi="Calibri"/>
        </w:rPr>
        <w:t> </w:t>
      </w:r>
      <w:r>
        <w:rPr>
          <w:rFonts w:ascii="Calibri" w:hAnsi="Calibri"/>
        </w:rPr>
        <w:t xml:space="preserve">EUR =   </w:t>
      </w:r>
      <w:r w:rsidR="00BD0E3A">
        <w:rPr>
          <w:rFonts w:ascii="Calibri" w:hAnsi="Calibri"/>
        </w:rPr>
        <w:t xml:space="preserve"> 7,6</w:t>
      </w:r>
      <w:r w:rsidR="00E1664A">
        <w:rPr>
          <w:rFonts w:ascii="Calibri" w:hAnsi="Calibri"/>
        </w:rPr>
        <w:t> </w:t>
      </w:r>
      <w:r w:rsidR="00DD11A9">
        <w:rPr>
          <w:rFonts w:ascii="Calibri" w:hAnsi="Calibri"/>
        </w:rPr>
        <w:t>CNY</w:t>
      </w:r>
    </w:p>
    <w:p w:rsidR="005D4F87" w:rsidRDefault="005E0C68" w:rsidP="006446CA">
      <w:pPr>
        <w:pStyle w:val="Default"/>
        <w:jc w:val="both"/>
        <w:rPr>
          <w:rFonts w:ascii="Calibri" w:hAnsi="Calibri"/>
        </w:rPr>
      </w:pPr>
      <w:r>
        <w:rPr>
          <w:rFonts w:ascii="Calibri" w:hAnsi="Calibri"/>
        </w:rPr>
        <w:t>31/03</w:t>
      </w:r>
      <w:r w:rsidR="005D4F87">
        <w:rPr>
          <w:rFonts w:ascii="Calibri" w:hAnsi="Calibri"/>
        </w:rPr>
        <w:t>/N+1 : 1</w:t>
      </w:r>
      <w:r w:rsidR="00E1664A">
        <w:rPr>
          <w:rFonts w:ascii="Calibri" w:hAnsi="Calibri"/>
        </w:rPr>
        <w:t> </w:t>
      </w:r>
      <w:r w:rsidR="005D4F87">
        <w:rPr>
          <w:rFonts w:ascii="Calibri" w:hAnsi="Calibri"/>
        </w:rPr>
        <w:t xml:space="preserve">EUR = </w:t>
      </w:r>
      <w:r w:rsidR="00BD0E3A">
        <w:rPr>
          <w:rFonts w:ascii="Calibri" w:hAnsi="Calibri"/>
        </w:rPr>
        <w:t xml:space="preserve"> 7,8</w:t>
      </w:r>
      <w:r w:rsidR="00E1664A">
        <w:rPr>
          <w:rFonts w:ascii="Calibri" w:hAnsi="Calibri"/>
        </w:rPr>
        <w:t> </w:t>
      </w:r>
      <w:r w:rsidR="00DD11A9">
        <w:rPr>
          <w:rFonts w:ascii="Calibri" w:hAnsi="Calibri"/>
        </w:rPr>
        <w:t>CNY</w:t>
      </w:r>
    </w:p>
    <w:p w:rsidR="002D7A90" w:rsidRDefault="002D7A90" w:rsidP="006446CA">
      <w:pPr>
        <w:pStyle w:val="Default"/>
        <w:jc w:val="both"/>
        <w:rPr>
          <w:rFonts w:ascii="Calibri" w:hAnsi="Calibri"/>
        </w:rPr>
      </w:pPr>
    </w:p>
    <w:p w:rsidR="0078349F" w:rsidRPr="000B6333" w:rsidRDefault="00935218" w:rsidP="006446CA">
      <w:pPr>
        <w:pStyle w:val="Default"/>
        <w:jc w:val="both"/>
        <w:rPr>
          <w:rFonts w:ascii="Calibri" w:hAnsi="Calibri"/>
          <w:b/>
        </w:rPr>
      </w:pPr>
      <w:r w:rsidRPr="000B6333">
        <w:rPr>
          <w:rFonts w:ascii="Calibri" w:hAnsi="Calibri"/>
          <w:b/>
        </w:rPr>
        <w:t xml:space="preserve">Analyse : </w:t>
      </w:r>
    </w:p>
    <w:p w:rsidR="00F22A3C" w:rsidRDefault="00F22A3C" w:rsidP="006446CA">
      <w:pPr>
        <w:pStyle w:val="Default"/>
        <w:jc w:val="both"/>
        <w:rPr>
          <w:rFonts w:ascii="Calibri" w:hAnsi="Calibri"/>
        </w:rPr>
      </w:pPr>
    </w:p>
    <w:p w:rsidR="005D4F87" w:rsidRDefault="0078349F" w:rsidP="006446CA">
      <w:pPr>
        <w:pStyle w:val="Default"/>
        <w:jc w:val="both"/>
        <w:rPr>
          <w:rFonts w:ascii="Calibri" w:hAnsi="Calibri"/>
        </w:rPr>
      </w:pPr>
      <w:r w:rsidRPr="0078349F">
        <w:rPr>
          <w:rFonts w:ascii="Calibri" w:hAnsi="Calibri"/>
        </w:rPr>
        <w:t>Il s’agit bien d’une opérat</w:t>
      </w:r>
      <w:r>
        <w:rPr>
          <w:rFonts w:ascii="Calibri" w:hAnsi="Calibri"/>
        </w:rPr>
        <w:t>ion de couverture, au sens de</w:t>
      </w:r>
      <w:r w:rsidR="00054EDC">
        <w:rPr>
          <w:rFonts w:ascii="Calibri" w:hAnsi="Calibri"/>
        </w:rPr>
        <w:t xml:space="preserve"> </w:t>
      </w:r>
      <w:r w:rsidRPr="0078349F">
        <w:rPr>
          <w:rFonts w:ascii="Calibri" w:hAnsi="Calibri"/>
        </w:rPr>
        <w:t>l’article</w:t>
      </w:r>
      <w:r w:rsidR="00E1664A">
        <w:rPr>
          <w:rFonts w:ascii="Calibri" w:hAnsi="Calibri"/>
        </w:rPr>
        <w:t> </w:t>
      </w:r>
      <w:r w:rsidRPr="0078349F">
        <w:rPr>
          <w:rFonts w:ascii="Calibri" w:hAnsi="Calibri"/>
        </w:rPr>
        <w:t>628-6 du PCG, car elle met en relation un élément couvert</w:t>
      </w:r>
      <w:r>
        <w:rPr>
          <w:rFonts w:ascii="Calibri" w:hAnsi="Calibri"/>
        </w:rPr>
        <w:t xml:space="preserve"> (la créance du 15/09/N)</w:t>
      </w:r>
      <w:r w:rsidRPr="0078349F">
        <w:rPr>
          <w:rFonts w:ascii="Calibri" w:hAnsi="Calibri"/>
        </w:rPr>
        <w:t xml:space="preserve"> et un instrument de couverture</w:t>
      </w:r>
      <w:r>
        <w:rPr>
          <w:rFonts w:ascii="Calibri" w:hAnsi="Calibri"/>
        </w:rPr>
        <w:t xml:space="preserve"> (la vente à terme)</w:t>
      </w:r>
      <w:r w:rsidRPr="0078349F">
        <w:rPr>
          <w:rFonts w:ascii="Calibri" w:hAnsi="Calibri"/>
        </w:rPr>
        <w:t xml:space="preserve"> dans l’objectif de réduire le risque d’impact défavorable de l’exposition couverte sur le résultat, les flux</w:t>
      </w:r>
      <w:r w:rsidR="00C32629">
        <w:rPr>
          <w:rFonts w:ascii="Calibri" w:hAnsi="Calibri"/>
        </w:rPr>
        <w:t xml:space="preserve"> de trésorerie</w:t>
      </w:r>
      <w:r w:rsidRPr="0078349F">
        <w:rPr>
          <w:rFonts w:ascii="Calibri" w:hAnsi="Calibri"/>
        </w:rPr>
        <w:t xml:space="preserve"> ou les capitaux propres de l’entité.</w:t>
      </w:r>
      <w:r>
        <w:rPr>
          <w:rFonts w:ascii="Calibri" w:hAnsi="Calibri"/>
        </w:rPr>
        <w:t xml:space="preserve"> L’opération</w:t>
      </w:r>
      <w:r w:rsidR="00935218">
        <w:rPr>
          <w:rFonts w:ascii="Calibri" w:hAnsi="Calibri"/>
        </w:rPr>
        <w:t xml:space="preserve"> du 1</w:t>
      </w:r>
      <w:r w:rsidR="00AE7854">
        <w:rPr>
          <w:rFonts w:ascii="Calibri" w:hAnsi="Calibri"/>
        </w:rPr>
        <w:t xml:space="preserve">5/09/N constitue, </w:t>
      </w:r>
      <w:r w:rsidR="00935218">
        <w:rPr>
          <w:rFonts w:ascii="Calibri" w:hAnsi="Calibri"/>
        </w:rPr>
        <w:t>au sens du règlement, une « transaction définie avec précision et possédant une probabilité suffisante de réalisation »</w:t>
      </w:r>
      <w:r w:rsidR="00AE7854">
        <w:rPr>
          <w:rFonts w:ascii="Calibri" w:hAnsi="Calibri"/>
        </w:rPr>
        <w:t>, donc elle est</w:t>
      </w:r>
      <w:r>
        <w:rPr>
          <w:rFonts w:ascii="Calibri" w:hAnsi="Calibri"/>
        </w:rPr>
        <w:t xml:space="preserve"> un élément couvert éligible. </w:t>
      </w:r>
      <w:r w:rsidR="00935218" w:rsidRPr="00935218">
        <w:rPr>
          <w:rFonts w:ascii="Calibri" w:hAnsi="Calibri"/>
        </w:rPr>
        <w:t xml:space="preserve">La vente à terme de </w:t>
      </w:r>
      <w:r w:rsidR="00896D3D">
        <w:rPr>
          <w:rFonts w:ascii="Calibri" w:hAnsi="Calibri"/>
        </w:rPr>
        <w:t>devises</w:t>
      </w:r>
      <w:r w:rsidR="00935218" w:rsidRPr="00935218">
        <w:rPr>
          <w:rFonts w:ascii="Calibri" w:hAnsi="Calibri"/>
        </w:rPr>
        <w:t xml:space="preserve"> est éligible en tant qu’instrument de couverture</w:t>
      </w:r>
      <w:r w:rsidR="00186674">
        <w:rPr>
          <w:rFonts w:ascii="Calibri" w:hAnsi="Calibri"/>
        </w:rPr>
        <w:t>.</w:t>
      </w:r>
    </w:p>
    <w:p w:rsidR="00186674" w:rsidRDefault="00186674" w:rsidP="006446CA">
      <w:pPr>
        <w:pStyle w:val="Default"/>
        <w:jc w:val="both"/>
        <w:rPr>
          <w:rFonts w:ascii="Calibri" w:hAnsi="Calibri"/>
        </w:rPr>
      </w:pPr>
    </w:p>
    <w:p w:rsidR="00186674" w:rsidRDefault="00186674" w:rsidP="006446CA">
      <w:pPr>
        <w:pStyle w:val="Default"/>
        <w:jc w:val="both"/>
        <w:rPr>
          <w:rFonts w:ascii="Calibri" w:hAnsi="Calibri"/>
        </w:rPr>
      </w:pPr>
      <w:r w:rsidRPr="009167D0">
        <w:rPr>
          <w:rFonts w:ascii="Calibri" w:hAnsi="Calibri"/>
          <w:u w:val="single"/>
        </w:rPr>
        <w:t>Remarque</w:t>
      </w:r>
      <w:r w:rsidRPr="00186674">
        <w:rPr>
          <w:rFonts w:ascii="Calibri" w:hAnsi="Calibri"/>
        </w:rPr>
        <w:t xml:space="preserve"> : </w:t>
      </w:r>
      <w:r w:rsidR="00FE384A">
        <w:rPr>
          <w:rFonts w:ascii="Calibri" w:hAnsi="Calibri"/>
        </w:rPr>
        <w:t>L</w:t>
      </w:r>
      <w:r w:rsidRPr="00186674">
        <w:rPr>
          <w:rFonts w:ascii="Calibri" w:hAnsi="Calibri"/>
        </w:rPr>
        <w:t>es instruments dérivés de change à terme comprennent à la fois une composante de change et une composante de taux d’intérêt (constituée par le report/déport</w:t>
      </w:r>
      <w:r w:rsidR="00FE384A">
        <w:rPr>
          <w:rFonts w:ascii="Calibri" w:hAnsi="Calibri"/>
        </w:rPr>
        <w:t>,</w:t>
      </w:r>
      <w:r w:rsidRPr="00186674">
        <w:rPr>
          <w:rFonts w:ascii="Calibri" w:hAnsi="Calibri"/>
        </w:rPr>
        <w:t xml:space="preserve"> c'est-à-dire l’écart entre le cours à terme et le cours comptant initial). Cette composante de taux d’intérêt est constitutive d’un coût de portage, par nature financier, c’est pourquoi il convient de traiter séparément la composante change d’une part, et la composante report/déport des opérations de change à terme du dérivé qui est étalée sur la durée de vie de la couverture en résultat financier d’autre part.</w:t>
      </w:r>
    </w:p>
    <w:p w:rsidR="00F7439B" w:rsidRDefault="00F7439B" w:rsidP="006446CA">
      <w:pPr>
        <w:pStyle w:val="Default"/>
        <w:jc w:val="both"/>
        <w:rPr>
          <w:rFonts w:ascii="Calibri" w:hAnsi="Calibri"/>
        </w:rPr>
      </w:pPr>
    </w:p>
    <w:tbl>
      <w:tblPr>
        <w:tblStyle w:val="Grilledutableau"/>
        <w:tblW w:w="0" w:type="auto"/>
        <w:tblLook w:val="04A0"/>
      </w:tblPr>
      <w:tblGrid>
        <w:gridCol w:w="9747"/>
      </w:tblGrid>
      <w:tr w:rsidR="00F7439B" w:rsidTr="007D6079">
        <w:trPr>
          <w:trHeight w:val="1770"/>
        </w:trPr>
        <w:tc>
          <w:tcPr>
            <w:tcW w:w="9747" w:type="dxa"/>
            <w:shd w:val="clear" w:color="auto" w:fill="FFFFFF" w:themeFill="background1"/>
            <w:vAlign w:val="center"/>
          </w:tcPr>
          <w:p w:rsidR="00F7439B" w:rsidRDefault="00F7439B" w:rsidP="007D6079">
            <w:pPr>
              <w:pStyle w:val="Default"/>
              <w:jc w:val="center"/>
              <w:rPr>
                <w:rFonts w:ascii="Calibri" w:hAnsi="Calibri"/>
                <w:b/>
                <w:color w:val="auto"/>
              </w:rPr>
            </w:pPr>
            <w:r w:rsidRPr="00F7439B">
              <w:rPr>
                <w:rFonts w:ascii="Calibri" w:hAnsi="Calibri"/>
                <w:b/>
                <w:color w:val="auto"/>
              </w:rPr>
              <w:t xml:space="preserve">Définition </w:t>
            </w:r>
            <w:r>
              <w:rPr>
                <w:rFonts w:ascii="Calibri" w:hAnsi="Calibri"/>
                <w:b/>
                <w:color w:val="auto"/>
              </w:rPr>
              <w:t>du c</w:t>
            </w:r>
            <w:r w:rsidRPr="00F7439B">
              <w:rPr>
                <w:rFonts w:ascii="Calibri" w:hAnsi="Calibri"/>
                <w:b/>
                <w:color w:val="auto"/>
              </w:rPr>
              <w:t>oût de portage</w:t>
            </w:r>
          </w:p>
          <w:p w:rsidR="007D6079" w:rsidRPr="007D6079" w:rsidRDefault="007D6079" w:rsidP="007D6079">
            <w:pPr>
              <w:pStyle w:val="Default"/>
              <w:jc w:val="center"/>
              <w:rPr>
                <w:rFonts w:ascii="Calibri" w:hAnsi="Calibri"/>
                <w:b/>
                <w:color w:val="auto"/>
                <w:sz w:val="10"/>
                <w:szCs w:val="10"/>
              </w:rPr>
            </w:pPr>
          </w:p>
          <w:p w:rsidR="00F7439B" w:rsidRPr="00F7439B" w:rsidRDefault="00F7439B" w:rsidP="007D6079">
            <w:pPr>
              <w:pStyle w:val="Default"/>
              <w:jc w:val="both"/>
              <w:rPr>
                <w:rFonts w:ascii="Calibri" w:hAnsi="Calibri"/>
                <w:color w:val="auto"/>
              </w:rPr>
            </w:pPr>
            <w:r w:rsidRPr="00F7439B">
              <w:rPr>
                <w:rFonts w:ascii="Calibri" w:hAnsi="Calibri"/>
                <w:color w:val="auto"/>
              </w:rPr>
              <w:t>Le coût de portage a un coût constitué, d'une part, du prix de l'argent pour le porteur et, d'autre part, du risque de non-réalisation de l'opération projetée. Le coût de portage intègre aussi les différents frais (assurances, frais financiers</w:t>
            </w:r>
            <w:r>
              <w:rPr>
                <w:rFonts w:ascii="Calibri" w:hAnsi="Calibri"/>
                <w:color w:val="auto"/>
              </w:rPr>
              <w:t>)</w:t>
            </w:r>
            <w:r w:rsidRPr="00F7439B">
              <w:rPr>
                <w:rFonts w:ascii="Calibri" w:hAnsi="Calibri"/>
                <w:color w:val="auto"/>
              </w:rPr>
              <w:t xml:space="preserve"> que doit supporter le financeur (pr</w:t>
            </w:r>
            <w:r w:rsidRPr="00F7439B">
              <w:rPr>
                <w:rFonts w:ascii="Calibri" w:hAnsi="Calibri" w:cs="Calibri"/>
                <w:color w:val="auto"/>
              </w:rPr>
              <w:t>é</w:t>
            </w:r>
            <w:r w:rsidRPr="00F7439B">
              <w:rPr>
                <w:rFonts w:ascii="Calibri" w:hAnsi="Calibri"/>
                <w:color w:val="auto"/>
              </w:rPr>
              <w:t>teur</w:t>
            </w:r>
            <w:r>
              <w:rPr>
                <w:rFonts w:ascii="Calibri" w:hAnsi="Calibri"/>
                <w:color w:val="auto"/>
              </w:rPr>
              <w:t>)</w:t>
            </w:r>
            <w:r w:rsidRPr="00F7439B">
              <w:rPr>
                <w:rFonts w:ascii="Calibri" w:hAnsi="Calibri"/>
                <w:color w:val="auto"/>
              </w:rPr>
              <w:t xml:space="preserve"> de l'op</w:t>
            </w:r>
            <w:r w:rsidRPr="00F7439B">
              <w:rPr>
                <w:rFonts w:ascii="Calibri" w:hAnsi="Calibri" w:cs="Calibri"/>
                <w:color w:val="auto"/>
              </w:rPr>
              <w:t>é</w:t>
            </w:r>
            <w:r w:rsidRPr="00F7439B">
              <w:rPr>
                <w:rFonts w:ascii="Calibri" w:hAnsi="Calibri"/>
                <w:color w:val="auto"/>
              </w:rPr>
              <w:t>ration. Leur montant d</w:t>
            </w:r>
            <w:r w:rsidRPr="00F7439B">
              <w:rPr>
                <w:rFonts w:ascii="Calibri" w:hAnsi="Calibri" w:cs="Calibri"/>
                <w:color w:val="auto"/>
              </w:rPr>
              <w:t>é</w:t>
            </w:r>
            <w:r w:rsidRPr="00F7439B">
              <w:rPr>
                <w:rFonts w:ascii="Calibri" w:hAnsi="Calibri"/>
                <w:color w:val="auto"/>
              </w:rPr>
              <w:t>pend directement du type de bien port</w:t>
            </w:r>
            <w:r w:rsidRPr="00F7439B">
              <w:rPr>
                <w:rFonts w:ascii="Calibri" w:hAnsi="Calibri" w:cs="Calibri"/>
                <w:color w:val="auto"/>
              </w:rPr>
              <w:t>é</w:t>
            </w:r>
            <w:r w:rsidRPr="00F7439B">
              <w:rPr>
                <w:rFonts w:ascii="Calibri" w:hAnsi="Calibri"/>
                <w:color w:val="auto"/>
              </w:rPr>
              <w:t>.</w:t>
            </w:r>
          </w:p>
        </w:tc>
      </w:tr>
    </w:tbl>
    <w:p w:rsidR="00F7439B" w:rsidRDefault="00F7439B" w:rsidP="006446CA">
      <w:pPr>
        <w:pStyle w:val="Default"/>
        <w:jc w:val="both"/>
        <w:rPr>
          <w:rFonts w:ascii="Calibri" w:hAnsi="Calibri"/>
        </w:rPr>
      </w:pPr>
    </w:p>
    <w:p w:rsidR="00130B17" w:rsidRDefault="00130B17" w:rsidP="006446CA">
      <w:pPr>
        <w:pStyle w:val="Default"/>
        <w:jc w:val="both"/>
        <w:rPr>
          <w:rFonts w:ascii="Calibri" w:hAnsi="Calibri"/>
          <w:b/>
        </w:rPr>
      </w:pPr>
      <w:r w:rsidRPr="00837CA2">
        <w:rPr>
          <w:rFonts w:ascii="Calibri" w:hAnsi="Calibri"/>
          <w:b/>
        </w:rPr>
        <w:t>15/09/N : date de facturation</w:t>
      </w:r>
      <w:r>
        <w:rPr>
          <w:rFonts w:ascii="Calibri" w:hAnsi="Calibri"/>
          <w:b/>
        </w:rPr>
        <w:t xml:space="preserve"> et de mise en place de la couverture</w:t>
      </w:r>
    </w:p>
    <w:p w:rsidR="007D6079" w:rsidRDefault="007D6079" w:rsidP="006446CA">
      <w:pPr>
        <w:pStyle w:val="Default"/>
        <w:jc w:val="both"/>
        <w:rPr>
          <w:rFonts w:ascii="Calibri" w:hAnsi="Calibri"/>
          <w:b/>
        </w:rPr>
      </w:pPr>
    </w:p>
    <w:p w:rsidR="00130B17" w:rsidRDefault="00130B17" w:rsidP="006446CA">
      <w:pPr>
        <w:pStyle w:val="Default"/>
        <w:jc w:val="both"/>
        <w:rPr>
          <w:rFonts w:ascii="Calibri" w:hAnsi="Calibri"/>
          <w:b/>
        </w:rPr>
      </w:pPr>
      <w:r>
        <w:rPr>
          <w:rFonts w:ascii="Calibri" w:hAnsi="Calibri"/>
          <w:b/>
        </w:rPr>
        <w:t>1</w:t>
      </w:r>
      <w:r w:rsidR="00FE384A">
        <w:rPr>
          <w:rFonts w:ascii="Calibri" w:hAnsi="Calibri"/>
          <w:b/>
          <w:vertAlign w:val="superscript"/>
        </w:rPr>
        <w:t>o</w:t>
      </w:r>
      <w:r w:rsidR="00FE384A">
        <w:rPr>
          <w:rFonts w:ascii="Calibri" w:hAnsi="Calibri"/>
          <w:b/>
        </w:rPr>
        <w:t xml:space="preserve">) </w:t>
      </w:r>
      <w:r>
        <w:rPr>
          <w:rFonts w:ascii="Calibri" w:hAnsi="Calibri"/>
          <w:b/>
        </w:rPr>
        <w:t>Comptabilisation de la vente à l’exportation</w:t>
      </w:r>
    </w:p>
    <w:p w:rsidR="007D6079" w:rsidRPr="00837CA2" w:rsidRDefault="007D6079" w:rsidP="006446CA">
      <w:pPr>
        <w:pStyle w:val="Default"/>
        <w:jc w:val="both"/>
        <w:rPr>
          <w:rFonts w:ascii="Calibri" w:hAnsi="Calibri"/>
          <w:b/>
        </w:rPr>
      </w:pPr>
    </w:p>
    <w:tbl>
      <w:tblPr>
        <w:tblStyle w:val="Grilledutableau"/>
        <w:tblW w:w="0" w:type="auto"/>
        <w:tblLook w:val="04A0"/>
      </w:tblPr>
      <w:tblGrid>
        <w:gridCol w:w="1413"/>
        <w:gridCol w:w="4811"/>
        <w:gridCol w:w="1426"/>
        <w:gridCol w:w="1412"/>
      </w:tblGrid>
      <w:tr w:rsidR="00130B17" w:rsidTr="00C906C1">
        <w:tc>
          <w:tcPr>
            <w:tcW w:w="1413" w:type="dxa"/>
          </w:tcPr>
          <w:p w:rsidR="00130B17" w:rsidRDefault="00130B17" w:rsidP="006446CA">
            <w:pPr>
              <w:pStyle w:val="Default"/>
              <w:jc w:val="both"/>
              <w:rPr>
                <w:rFonts w:ascii="Calibri" w:hAnsi="Calibri"/>
              </w:rPr>
            </w:pPr>
            <w:r>
              <w:rPr>
                <w:rFonts w:ascii="Calibri" w:hAnsi="Calibri"/>
              </w:rPr>
              <w:t>411</w:t>
            </w:r>
          </w:p>
          <w:p w:rsidR="00130B17" w:rsidRDefault="00130B17" w:rsidP="006446CA">
            <w:pPr>
              <w:pStyle w:val="Default"/>
              <w:jc w:val="both"/>
              <w:rPr>
                <w:rFonts w:ascii="Calibri" w:hAnsi="Calibri"/>
              </w:rPr>
            </w:pPr>
            <w:r>
              <w:rPr>
                <w:rFonts w:ascii="Calibri" w:hAnsi="Calibri"/>
              </w:rPr>
              <w:t>707</w:t>
            </w:r>
          </w:p>
          <w:p w:rsidR="00130B17" w:rsidRDefault="00130B17" w:rsidP="006446CA">
            <w:pPr>
              <w:pStyle w:val="Default"/>
              <w:jc w:val="both"/>
              <w:rPr>
                <w:rFonts w:ascii="Calibri" w:hAnsi="Calibri"/>
              </w:rPr>
            </w:pPr>
          </w:p>
        </w:tc>
        <w:tc>
          <w:tcPr>
            <w:tcW w:w="4811" w:type="dxa"/>
          </w:tcPr>
          <w:p w:rsidR="00130B17" w:rsidRDefault="00130B17" w:rsidP="006446CA">
            <w:pPr>
              <w:pStyle w:val="Default"/>
              <w:jc w:val="both"/>
              <w:rPr>
                <w:rFonts w:ascii="Calibri" w:hAnsi="Calibri"/>
              </w:rPr>
            </w:pPr>
            <w:r>
              <w:rPr>
                <w:rFonts w:ascii="Calibri" w:hAnsi="Calibri"/>
              </w:rPr>
              <w:t>Clients</w:t>
            </w:r>
          </w:p>
          <w:p w:rsidR="00130B17" w:rsidRDefault="00130B17" w:rsidP="006446CA">
            <w:pPr>
              <w:pStyle w:val="Default"/>
              <w:jc w:val="both"/>
              <w:rPr>
                <w:rFonts w:ascii="Calibri" w:hAnsi="Calibri"/>
              </w:rPr>
            </w:pPr>
            <w:r>
              <w:rPr>
                <w:rFonts w:ascii="Calibri" w:hAnsi="Calibri"/>
              </w:rPr>
              <w:t xml:space="preserve">                             Ventes de marchandises</w:t>
            </w:r>
          </w:p>
          <w:p w:rsidR="00130B17" w:rsidRDefault="00130B17" w:rsidP="006446CA">
            <w:pPr>
              <w:pStyle w:val="Default"/>
              <w:jc w:val="both"/>
              <w:rPr>
                <w:rFonts w:ascii="Calibri" w:hAnsi="Calibri"/>
              </w:rPr>
            </w:pPr>
            <w:r>
              <w:rPr>
                <w:rFonts w:ascii="Calibri" w:hAnsi="Calibri"/>
              </w:rPr>
              <w:t xml:space="preserve">   </w:t>
            </w:r>
            <w:r w:rsidR="00E36ACB">
              <w:rPr>
                <w:rFonts w:ascii="Calibri" w:hAnsi="Calibri"/>
              </w:rPr>
              <w:t>Conversion de la créance au cours du jour (cours spot) : 500</w:t>
            </w:r>
            <w:r>
              <w:rPr>
                <w:rFonts w:ascii="Calibri" w:hAnsi="Calibri"/>
              </w:rPr>
              <w:t> 000</w:t>
            </w:r>
            <w:r w:rsidR="00E1664A">
              <w:rPr>
                <w:rFonts w:ascii="Calibri" w:hAnsi="Calibri"/>
              </w:rPr>
              <w:t> </w:t>
            </w:r>
            <w:r>
              <w:rPr>
                <w:rFonts w:ascii="Calibri" w:hAnsi="Calibri"/>
              </w:rPr>
              <w:t xml:space="preserve">CNY/7,5                      </w:t>
            </w:r>
          </w:p>
        </w:tc>
        <w:tc>
          <w:tcPr>
            <w:tcW w:w="1426" w:type="dxa"/>
          </w:tcPr>
          <w:p w:rsidR="00130B17" w:rsidRDefault="00130B17" w:rsidP="006446CA">
            <w:pPr>
              <w:pStyle w:val="Default"/>
              <w:jc w:val="center"/>
              <w:rPr>
                <w:rFonts w:ascii="Calibri" w:hAnsi="Calibri"/>
              </w:rPr>
            </w:pPr>
            <w:r>
              <w:rPr>
                <w:rFonts w:ascii="Calibri" w:hAnsi="Calibri"/>
              </w:rPr>
              <w:t>66 667</w:t>
            </w:r>
          </w:p>
        </w:tc>
        <w:tc>
          <w:tcPr>
            <w:tcW w:w="1412" w:type="dxa"/>
          </w:tcPr>
          <w:p w:rsidR="00130B17" w:rsidRDefault="00130B17" w:rsidP="006446CA">
            <w:pPr>
              <w:pStyle w:val="Default"/>
              <w:jc w:val="center"/>
              <w:rPr>
                <w:rFonts w:ascii="Calibri" w:hAnsi="Calibri"/>
              </w:rPr>
            </w:pPr>
          </w:p>
          <w:p w:rsidR="00130B17" w:rsidRDefault="00130B17" w:rsidP="006446CA">
            <w:pPr>
              <w:pStyle w:val="Default"/>
              <w:jc w:val="center"/>
              <w:rPr>
                <w:rFonts w:ascii="Calibri" w:hAnsi="Calibri"/>
              </w:rPr>
            </w:pPr>
            <w:r>
              <w:rPr>
                <w:rFonts w:ascii="Calibri" w:hAnsi="Calibri"/>
              </w:rPr>
              <w:t>66</w:t>
            </w:r>
            <w:r w:rsidR="00E1664A">
              <w:rPr>
                <w:rFonts w:ascii="Calibri" w:hAnsi="Calibri"/>
              </w:rPr>
              <w:t> </w:t>
            </w:r>
            <w:r>
              <w:rPr>
                <w:rFonts w:ascii="Calibri" w:hAnsi="Calibri"/>
              </w:rPr>
              <w:t>667</w:t>
            </w:r>
          </w:p>
        </w:tc>
      </w:tr>
    </w:tbl>
    <w:p w:rsidR="00130B17" w:rsidRDefault="00130B17" w:rsidP="006446CA">
      <w:pPr>
        <w:pStyle w:val="Default"/>
        <w:jc w:val="both"/>
        <w:rPr>
          <w:rFonts w:ascii="Calibri" w:hAnsi="Calibri"/>
        </w:rPr>
      </w:pPr>
    </w:p>
    <w:p w:rsidR="00130B17" w:rsidRDefault="00130B17" w:rsidP="006446CA">
      <w:pPr>
        <w:pStyle w:val="Default"/>
        <w:jc w:val="both"/>
        <w:rPr>
          <w:rFonts w:ascii="Calibri" w:hAnsi="Calibri"/>
          <w:b/>
        </w:rPr>
      </w:pPr>
      <w:r w:rsidRPr="00130B17">
        <w:rPr>
          <w:rFonts w:ascii="Calibri" w:hAnsi="Calibri"/>
          <w:b/>
        </w:rPr>
        <w:t>2</w:t>
      </w:r>
      <w:r w:rsidR="00FE384A">
        <w:rPr>
          <w:rFonts w:ascii="Calibri" w:hAnsi="Calibri"/>
          <w:b/>
          <w:vertAlign w:val="superscript"/>
        </w:rPr>
        <w:t>o</w:t>
      </w:r>
      <w:r w:rsidR="00FE384A" w:rsidRPr="00130B17">
        <w:rPr>
          <w:rFonts w:ascii="Calibri" w:hAnsi="Calibri"/>
          <w:b/>
        </w:rPr>
        <w:t xml:space="preserve">) </w:t>
      </w:r>
      <w:r w:rsidRPr="00130B17">
        <w:rPr>
          <w:rFonts w:ascii="Calibri" w:hAnsi="Calibri"/>
          <w:b/>
        </w:rPr>
        <w:t>Effet de la couverture : revalorisation de la vente au cours à terme</w:t>
      </w:r>
    </w:p>
    <w:p w:rsidR="007D6079" w:rsidRDefault="007D6079" w:rsidP="006446CA">
      <w:pPr>
        <w:pStyle w:val="Default"/>
        <w:jc w:val="both"/>
        <w:rPr>
          <w:rFonts w:ascii="Calibri" w:hAnsi="Calibri"/>
          <w:b/>
        </w:rPr>
      </w:pPr>
    </w:p>
    <w:tbl>
      <w:tblPr>
        <w:tblStyle w:val="Grilledutableau"/>
        <w:tblW w:w="0" w:type="auto"/>
        <w:tblLook w:val="04A0"/>
      </w:tblPr>
      <w:tblGrid>
        <w:gridCol w:w="1413"/>
        <w:gridCol w:w="4811"/>
        <w:gridCol w:w="1426"/>
        <w:gridCol w:w="1412"/>
      </w:tblGrid>
      <w:tr w:rsidR="00130B17" w:rsidTr="00C906C1">
        <w:tc>
          <w:tcPr>
            <w:tcW w:w="1413" w:type="dxa"/>
          </w:tcPr>
          <w:p w:rsidR="00130B17" w:rsidRDefault="00130B17" w:rsidP="006446CA">
            <w:pPr>
              <w:pStyle w:val="Default"/>
              <w:jc w:val="both"/>
              <w:rPr>
                <w:rFonts w:ascii="Calibri" w:hAnsi="Calibri"/>
              </w:rPr>
            </w:pPr>
            <w:r>
              <w:rPr>
                <w:rFonts w:ascii="Calibri" w:hAnsi="Calibri"/>
              </w:rPr>
              <w:t>707</w:t>
            </w:r>
          </w:p>
          <w:p w:rsidR="005C01DF" w:rsidRDefault="005C01DF" w:rsidP="006446CA">
            <w:pPr>
              <w:pStyle w:val="Default"/>
              <w:jc w:val="both"/>
              <w:rPr>
                <w:rFonts w:ascii="Calibri" w:hAnsi="Calibri"/>
              </w:rPr>
            </w:pPr>
          </w:p>
          <w:p w:rsidR="005C01DF" w:rsidRDefault="005C01DF" w:rsidP="006446CA">
            <w:pPr>
              <w:pStyle w:val="Default"/>
              <w:jc w:val="both"/>
              <w:rPr>
                <w:rFonts w:ascii="Calibri" w:hAnsi="Calibri"/>
              </w:rPr>
            </w:pPr>
            <w:r>
              <w:rPr>
                <w:rFonts w:ascii="Calibri" w:hAnsi="Calibri"/>
              </w:rPr>
              <w:t>52</w:t>
            </w:r>
          </w:p>
          <w:p w:rsidR="005C01DF" w:rsidRDefault="005C01DF" w:rsidP="006446CA">
            <w:pPr>
              <w:pStyle w:val="Default"/>
              <w:jc w:val="both"/>
              <w:rPr>
                <w:rFonts w:ascii="Calibri" w:hAnsi="Calibri"/>
              </w:rPr>
            </w:pPr>
          </w:p>
        </w:tc>
        <w:tc>
          <w:tcPr>
            <w:tcW w:w="4811" w:type="dxa"/>
          </w:tcPr>
          <w:p w:rsidR="00130B17" w:rsidRDefault="00130B17" w:rsidP="006446CA">
            <w:pPr>
              <w:pStyle w:val="Default"/>
              <w:jc w:val="both"/>
              <w:rPr>
                <w:rFonts w:ascii="Calibri" w:hAnsi="Calibri"/>
              </w:rPr>
            </w:pPr>
            <w:r>
              <w:rPr>
                <w:rFonts w:ascii="Calibri" w:hAnsi="Calibri"/>
              </w:rPr>
              <w:t>Ventes de marchandises</w:t>
            </w:r>
          </w:p>
          <w:p w:rsidR="00130B17" w:rsidRDefault="00130B17" w:rsidP="006446CA">
            <w:pPr>
              <w:pStyle w:val="Default"/>
              <w:jc w:val="both"/>
              <w:rPr>
                <w:rFonts w:ascii="Calibri" w:hAnsi="Calibri"/>
              </w:rPr>
            </w:pPr>
            <w:r>
              <w:rPr>
                <w:rFonts w:ascii="Calibri" w:hAnsi="Calibri"/>
              </w:rPr>
              <w:t>(500 000</w:t>
            </w:r>
            <w:r w:rsidR="00E1664A">
              <w:rPr>
                <w:rFonts w:ascii="Calibri" w:hAnsi="Calibri"/>
              </w:rPr>
              <w:t> </w:t>
            </w:r>
            <w:r>
              <w:rPr>
                <w:rFonts w:ascii="Calibri" w:hAnsi="Calibri"/>
              </w:rPr>
              <w:t>CNY/7,7) – 66</w:t>
            </w:r>
            <w:r w:rsidR="005C01DF">
              <w:rPr>
                <w:rFonts w:ascii="Calibri" w:hAnsi="Calibri"/>
              </w:rPr>
              <w:t> </w:t>
            </w:r>
            <w:r>
              <w:rPr>
                <w:rFonts w:ascii="Calibri" w:hAnsi="Calibri"/>
              </w:rPr>
              <w:t>667</w:t>
            </w:r>
          </w:p>
          <w:p w:rsidR="005C01DF" w:rsidRDefault="00F22A3C" w:rsidP="006446CA">
            <w:pPr>
              <w:pStyle w:val="Default"/>
              <w:jc w:val="both"/>
              <w:rPr>
                <w:rFonts w:ascii="Calibri" w:hAnsi="Calibri"/>
              </w:rPr>
            </w:pPr>
            <w:r>
              <w:rPr>
                <w:rFonts w:ascii="Calibri" w:hAnsi="Calibri"/>
              </w:rPr>
              <w:t xml:space="preserve">              </w:t>
            </w:r>
            <w:r w:rsidR="005C01DF">
              <w:rPr>
                <w:rFonts w:ascii="Calibri" w:hAnsi="Calibri"/>
              </w:rPr>
              <w:t xml:space="preserve">Instrument de trésorerie-composante </w:t>
            </w:r>
          </w:p>
          <w:p w:rsidR="005C01DF" w:rsidRDefault="00C23ED6" w:rsidP="006446CA">
            <w:pPr>
              <w:pStyle w:val="Default"/>
              <w:jc w:val="both"/>
              <w:rPr>
                <w:rFonts w:ascii="Calibri" w:hAnsi="Calibri"/>
              </w:rPr>
            </w:pPr>
            <w:r>
              <w:rPr>
                <w:rFonts w:ascii="Calibri" w:hAnsi="Calibri"/>
              </w:rPr>
              <w:t xml:space="preserve">              </w:t>
            </w:r>
            <w:r w:rsidR="005C01DF">
              <w:rPr>
                <w:rFonts w:ascii="Calibri" w:hAnsi="Calibri"/>
              </w:rPr>
              <w:t>report/déport</w:t>
            </w:r>
          </w:p>
        </w:tc>
        <w:tc>
          <w:tcPr>
            <w:tcW w:w="1426" w:type="dxa"/>
          </w:tcPr>
          <w:p w:rsidR="00130B17" w:rsidRDefault="00130B17" w:rsidP="006446CA">
            <w:pPr>
              <w:pStyle w:val="Default"/>
              <w:jc w:val="center"/>
              <w:rPr>
                <w:rFonts w:ascii="Calibri" w:hAnsi="Calibri"/>
              </w:rPr>
            </w:pPr>
            <w:r>
              <w:rPr>
                <w:rFonts w:ascii="Calibri" w:hAnsi="Calibri"/>
              </w:rPr>
              <w:t>1 732</w:t>
            </w:r>
            <w:r w:rsidR="00376ADB">
              <w:rPr>
                <w:rFonts w:ascii="Calibri" w:hAnsi="Calibri"/>
              </w:rPr>
              <w:t> </w:t>
            </w:r>
            <w:r>
              <w:rPr>
                <w:rFonts w:ascii="Calibri" w:hAnsi="Calibri"/>
              </w:rPr>
              <w:t>(1)</w:t>
            </w:r>
          </w:p>
        </w:tc>
        <w:tc>
          <w:tcPr>
            <w:tcW w:w="1412" w:type="dxa"/>
          </w:tcPr>
          <w:p w:rsidR="00130B17" w:rsidRDefault="00130B17" w:rsidP="006446CA">
            <w:pPr>
              <w:pStyle w:val="Default"/>
              <w:jc w:val="center"/>
              <w:rPr>
                <w:rFonts w:ascii="Calibri" w:hAnsi="Calibri"/>
              </w:rPr>
            </w:pPr>
          </w:p>
          <w:p w:rsidR="005C01DF" w:rsidRDefault="005C01DF" w:rsidP="006446CA">
            <w:pPr>
              <w:pStyle w:val="Default"/>
              <w:jc w:val="center"/>
              <w:rPr>
                <w:rFonts w:ascii="Calibri" w:hAnsi="Calibri"/>
              </w:rPr>
            </w:pPr>
          </w:p>
          <w:p w:rsidR="005C01DF" w:rsidRDefault="005C01DF" w:rsidP="006446CA">
            <w:pPr>
              <w:pStyle w:val="Default"/>
              <w:jc w:val="center"/>
              <w:rPr>
                <w:rFonts w:ascii="Calibri" w:hAnsi="Calibri"/>
              </w:rPr>
            </w:pPr>
            <w:r>
              <w:rPr>
                <w:rFonts w:ascii="Calibri" w:hAnsi="Calibri"/>
              </w:rPr>
              <w:t>1</w:t>
            </w:r>
            <w:r w:rsidR="00E1664A">
              <w:rPr>
                <w:rFonts w:ascii="Calibri" w:hAnsi="Calibri"/>
              </w:rPr>
              <w:t> </w:t>
            </w:r>
            <w:r>
              <w:rPr>
                <w:rFonts w:ascii="Calibri" w:hAnsi="Calibri"/>
              </w:rPr>
              <w:t>732</w:t>
            </w:r>
          </w:p>
        </w:tc>
      </w:tr>
    </w:tbl>
    <w:p w:rsidR="00130B17" w:rsidRDefault="008D4550" w:rsidP="006446CA">
      <w:pPr>
        <w:pStyle w:val="Default"/>
        <w:jc w:val="both"/>
        <w:rPr>
          <w:rFonts w:ascii="Calibri" w:hAnsi="Calibri"/>
        </w:rPr>
      </w:pPr>
      <w:r>
        <w:rPr>
          <w:rFonts w:ascii="Calibri" w:hAnsi="Calibri"/>
        </w:rPr>
        <w:t xml:space="preserve">(1) La vente est valorisée au cours à terme, soit </w:t>
      </w:r>
      <w:r w:rsidR="00130B17" w:rsidRPr="005C01DF">
        <w:rPr>
          <w:rFonts w:ascii="Calibri" w:hAnsi="Calibri"/>
        </w:rPr>
        <w:t>500 000</w:t>
      </w:r>
      <w:r w:rsidR="00E1664A">
        <w:rPr>
          <w:rFonts w:ascii="Calibri" w:hAnsi="Calibri"/>
        </w:rPr>
        <w:t> </w:t>
      </w:r>
      <w:r w:rsidR="00130B17" w:rsidRPr="005C01DF">
        <w:rPr>
          <w:rFonts w:ascii="Calibri" w:hAnsi="Calibri"/>
        </w:rPr>
        <w:t>CNY </w:t>
      </w:r>
      <w:r w:rsidR="005C01DF" w:rsidRPr="005C01DF">
        <w:rPr>
          <w:rFonts w:ascii="Calibri" w:hAnsi="Calibri"/>
        </w:rPr>
        <w:t>/7</w:t>
      </w:r>
      <w:r w:rsidR="00FE384A">
        <w:rPr>
          <w:rFonts w:ascii="Calibri" w:hAnsi="Calibri"/>
        </w:rPr>
        <w:t>,</w:t>
      </w:r>
      <w:r w:rsidR="005C01DF" w:rsidRPr="005C01DF">
        <w:rPr>
          <w:rFonts w:ascii="Calibri" w:hAnsi="Calibri"/>
        </w:rPr>
        <w:t>7</w:t>
      </w:r>
      <w:r w:rsidR="00E36ACB">
        <w:rPr>
          <w:rFonts w:ascii="Calibri" w:hAnsi="Calibri"/>
        </w:rPr>
        <w:t xml:space="preserve">, soit </w:t>
      </w:r>
      <w:r w:rsidR="007A2767">
        <w:rPr>
          <w:rFonts w:ascii="Calibri" w:hAnsi="Calibri"/>
        </w:rPr>
        <w:t>64 935 €</w:t>
      </w:r>
    </w:p>
    <w:p w:rsidR="008C0182" w:rsidRDefault="008C0182" w:rsidP="006446CA">
      <w:pPr>
        <w:pStyle w:val="Default"/>
        <w:jc w:val="both"/>
        <w:rPr>
          <w:rFonts w:ascii="Calibri" w:hAnsi="Calibri"/>
          <w:b/>
        </w:rPr>
      </w:pPr>
    </w:p>
    <w:p w:rsidR="00F22A3C" w:rsidRDefault="00F22A3C">
      <w:pPr>
        <w:rPr>
          <w:rFonts w:ascii="Calibri" w:hAnsi="Calibri" w:cs="Times New Roman"/>
          <w:b/>
          <w:color w:val="000000"/>
          <w:sz w:val="24"/>
          <w:szCs w:val="24"/>
        </w:rPr>
      </w:pPr>
      <w:r>
        <w:rPr>
          <w:rFonts w:ascii="Calibri" w:hAnsi="Calibri"/>
          <w:b/>
        </w:rPr>
        <w:br w:type="page"/>
      </w:r>
    </w:p>
    <w:p w:rsidR="00A8732F" w:rsidRDefault="00A8732F" w:rsidP="006446CA">
      <w:pPr>
        <w:pStyle w:val="Default"/>
        <w:jc w:val="both"/>
        <w:rPr>
          <w:rFonts w:ascii="Calibri" w:hAnsi="Calibri"/>
          <w:b/>
        </w:rPr>
      </w:pPr>
      <w:r w:rsidRPr="00A8732F">
        <w:rPr>
          <w:rFonts w:ascii="Calibri" w:hAnsi="Calibri"/>
          <w:b/>
        </w:rPr>
        <w:lastRenderedPageBreak/>
        <w:t>31/12/N : arrêté des comptes</w:t>
      </w:r>
    </w:p>
    <w:p w:rsidR="007D6079" w:rsidRDefault="007D6079" w:rsidP="006446CA">
      <w:pPr>
        <w:pStyle w:val="Default"/>
        <w:jc w:val="both"/>
        <w:rPr>
          <w:rFonts w:ascii="Calibri" w:hAnsi="Calibri"/>
          <w:b/>
        </w:rPr>
      </w:pPr>
    </w:p>
    <w:p w:rsidR="00AF37B7" w:rsidRDefault="00AF37B7" w:rsidP="006446CA">
      <w:pPr>
        <w:pStyle w:val="Default"/>
        <w:jc w:val="both"/>
        <w:rPr>
          <w:rFonts w:ascii="Calibri" w:hAnsi="Calibri"/>
          <w:b/>
        </w:rPr>
      </w:pPr>
      <w:r>
        <w:rPr>
          <w:rFonts w:ascii="Calibri" w:hAnsi="Calibri"/>
          <w:b/>
        </w:rPr>
        <w:t>Revalorisation de la créance</w:t>
      </w:r>
      <w:r w:rsidR="00E36ACB">
        <w:rPr>
          <w:rFonts w:ascii="Calibri" w:hAnsi="Calibri"/>
          <w:b/>
        </w:rPr>
        <w:t xml:space="preserve"> au cours du 31/12</w:t>
      </w:r>
    </w:p>
    <w:p w:rsidR="007D6079" w:rsidRDefault="007D6079" w:rsidP="006446CA">
      <w:pPr>
        <w:pStyle w:val="Default"/>
        <w:jc w:val="both"/>
        <w:rPr>
          <w:rFonts w:ascii="Calibri" w:hAnsi="Calibri"/>
          <w:b/>
        </w:rPr>
      </w:pPr>
    </w:p>
    <w:tbl>
      <w:tblPr>
        <w:tblStyle w:val="Grilledutableau"/>
        <w:tblW w:w="0" w:type="auto"/>
        <w:tblLook w:val="04A0"/>
      </w:tblPr>
      <w:tblGrid>
        <w:gridCol w:w="1413"/>
        <w:gridCol w:w="4811"/>
        <w:gridCol w:w="1426"/>
        <w:gridCol w:w="1412"/>
      </w:tblGrid>
      <w:tr w:rsidR="00A8732F" w:rsidTr="00C906C1">
        <w:tc>
          <w:tcPr>
            <w:tcW w:w="1413" w:type="dxa"/>
          </w:tcPr>
          <w:p w:rsidR="00A8732F" w:rsidRPr="0063391F" w:rsidRDefault="00A8732F" w:rsidP="006446CA">
            <w:pPr>
              <w:pStyle w:val="Default"/>
              <w:jc w:val="both"/>
              <w:rPr>
                <w:rFonts w:ascii="Calibri" w:hAnsi="Calibri"/>
                <w:b/>
              </w:rPr>
            </w:pPr>
            <w:r w:rsidRPr="0063391F">
              <w:rPr>
                <w:rFonts w:ascii="Calibri" w:hAnsi="Calibri"/>
                <w:b/>
              </w:rPr>
              <w:t>476</w:t>
            </w:r>
          </w:p>
          <w:p w:rsidR="00483E43" w:rsidRDefault="00483E43" w:rsidP="006446CA">
            <w:pPr>
              <w:pStyle w:val="Default"/>
              <w:jc w:val="both"/>
              <w:rPr>
                <w:rFonts w:ascii="Calibri" w:hAnsi="Calibri"/>
              </w:rPr>
            </w:pPr>
            <w:r>
              <w:rPr>
                <w:rFonts w:ascii="Calibri" w:hAnsi="Calibri"/>
              </w:rPr>
              <w:t>411</w:t>
            </w:r>
          </w:p>
        </w:tc>
        <w:tc>
          <w:tcPr>
            <w:tcW w:w="4811" w:type="dxa"/>
          </w:tcPr>
          <w:p w:rsidR="00A8732F" w:rsidRPr="0063391F" w:rsidRDefault="00483E43" w:rsidP="006446CA">
            <w:pPr>
              <w:pStyle w:val="Default"/>
              <w:jc w:val="both"/>
              <w:rPr>
                <w:rFonts w:ascii="Calibri" w:hAnsi="Calibri"/>
                <w:b/>
              </w:rPr>
            </w:pPr>
            <w:r w:rsidRPr="0063391F">
              <w:rPr>
                <w:rFonts w:ascii="Calibri" w:hAnsi="Calibri"/>
                <w:b/>
              </w:rPr>
              <w:t>Différence de conversion – Actif</w:t>
            </w:r>
            <w:r w:rsidR="00906B2E">
              <w:rPr>
                <w:rFonts w:ascii="Calibri" w:hAnsi="Calibri"/>
                <w:b/>
              </w:rPr>
              <w:t xml:space="preserve"> (</w:t>
            </w:r>
            <w:r w:rsidR="006A18AC">
              <w:rPr>
                <w:rFonts w:ascii="Calibri" w:hAnsi="Calibri"/>
                <w:b/>
              </w:rPr>
              <w:t>DCA)</w:t>
            </w:r>
          </w:p>
          <w:p w:rsidR="00483E43" w:rsidRDefault="00483E43" w:rsidP="006446CA">
            <w:pPr>
              <w:pStyle w:val="Default"/>
              <w:jc w:val="both"/>
              <w:rPr>
                <w:rFonts w:ascii="Calibri" w:hAnsi="Calibri"/>
              </w:rPr>
            </w:pPr>
            <w:r>
              <w:rPr>
                <w:rFonts w:ascii="Calibri" w:hAnsi="Calibri"/>
              </w:rPr>
              <w:t xml:space="preserve">                                    Clients</w:t>
            </w:r>
          </w:p>
          <w:p w:rsidR="00483E43" w:rsidRPr="00AF37B7" w:rsidRDefault="00483E43" w:rsidP="006446CA">
            <w:pPr>
              <w:pStyle w:val="Default"/>
              <w:jc w:val="both"/>
              <w:rPr>
                <w:rFonts w:ascii="Calibri" w:hAnsi="Calibri"/>
                <w:i/>
              </w:rPr>
            </w:pPr>
            <w:r w:rsidRPr="00AF37B7">
              <w:rPr>
                <w:rFonts w:ascii="Calibri" w:hAnsi="Calibri"/>
                <w:i/>
              </w:rPr>
              <w:t>500 000 CNY/7,6 – 66 667</w:t>
            </w:r>
          </w:p>
        </w:tc>
        <w:tc>
          <w:tcPr>
            <w:tcW w:w="1426" w:type="dxa"/>
          </w:tcPr>
          <w:p w:rsidR="00A8732F" w:rsidRPr="0063391F" w:rsidRDefault="00483E43" w:rsidP="006446CA">
            <w:pPr>
              <w:pStyle w:val="Default"/>
              <w:jc w:val="center"/>
              <w:rPr>
                <w:rFonts w:ascii="Calibri" w:hAnsi="Calibri"/>
                <w:b/>
              </w:rPr>
            </w:pPr>
            <w:r w:rsidRPr="0063391F">
              <w:rPr>
                <w:rFonts w:ascii="Calibri" w:hAnsi="Calibri"/>
                <w:b/>
              </w:rPr>
              <w:t>878</w:t>
            </w:r>
          </w:p>
        </w:tc>
        <w:tc>
          <w:tcPr>
            <w:tcW w:w="1412" w:type="dxa"/>
          </w:tcPr>
          <w:p w:rsidR="00483E43" w:rsidRDefault="00483E43" w:rsidP="006446CA">
            <w:pPr>
              <w:pStyle w:val="Default"/>
              <w:jc w:val="center"/>
              <w:rPr>
                <w:rFonts w:ascii="Calibri" w:hAnsi="Calibri"/>
              </w:rPr>
            </w:pPr>
          </w:p>
          <w:p w:rsidR="00483E43" w:rsidRDefault="00483E43" w:rsidP="006446CA">
            <w:pPr>
              <w:pStyle w:val="Default"/>
              <w:jc w:val="center"/>
              <w:rPr>
                <w:rFonts w:ascii="Calibri" w:hAnsi="Calibri"/>
              </w:rPr>
            </w:pPr>
            <w:r>
              <w:rPr>
                <w:rFonts w:ascii="Calibri" w:hAnsi="Calibri"/>
              </w:rPr>
              <w:t>878</w:t>
            </w:r>
          </w:p>
        </w:tc>
      </w:tr>
    </w:tbl>
    <w:p w:rsidR="00F22A3C" w:rsidRDefault="00F22A3C" w:rsidP="006446CA">
      <w:pPr>
        <w:pStyle w:val="Default"/>
        <w:jc w:val="both"/>
        <w:rPr>
          <w:rFonts w:ascii="Calibri" w:hAnsi="Calibri"/>
        </w:rPr>
      </w:pPr>
    </w:p>
    <w:p w:rsidR="00A8732F" w:rsidRDefault="001937B0" w:rsidP="006446CA">
      <w:pPr>
        <w:pStyle w:val="Default"/>
        <w:jc w:val="both"/>
        <w:rPr>
          <w:rFonts w:ascii="Calibri" w:hAnsi="Calibri"/>
        </w:rPr>
      </w:pPr>
      <w:r w:rsidRPr="001937B0">
        <w:rPr>
          <w:rFonts w:ascii="Calibri" w:hAnsi="Calibri"/>
        </w:rPr>
        <w:t>Cette perte latente n’est pas provisionnée, car elle fait l’objet d’une opération de couverture intégrale.</w:t>
      </w:r>
    </w:p>
    <w:p w:rsidR="007D6079" w:rsidRDefault="007D6079" w:rsidP="006446CA">
      <w:pPr>
        <w:pStyle w:val="Default"/>
        <w:jc w:val="both"/>
        <w:rPr>
          <w:rFonts w:ascii="Calibri" w:hAnsi="Calibri"/>
        </w:rPr>
      </w:pPr>
    </w:p>
    <w:p w:rsidR="00AF37B7" w:rsidRDefault="00AF37B7" w:rsidP="006446CA">
      <w:pPr>
        <w:pStyle w:val="Default"/>
        <w:jc w:val="both"/>
        <w:rPr>
          <w:rFonts w:ascii="Calibri" w:hAnsi="Calibri"/>
          <w:b/>
        </w:rPr>
      </w:pPr>
      <w:r w:rsidRPr="00AF37B7">
        <w:rPr>
          <w:rFonts w:ascii="Calibri" w:hAnsi="Calibri"/>
          <w:b/>
        </w:rPr>
        <w:t>Revalorisation du dérivé</w:t>
      </w:r>
    </w:p>
    <w:p w:rsidR="007D6079" w:rsidRPr="00AF37B7" w:rsidRDefault="007D6079" w:rsidP="006446CA">
      <w:pPr>
        <w:pStyle w:val="Default"/>
        <w:jc w:val="both"/>
        <w:rPr>
          <w:rFonts w:ascii="Calibri" w:hAnsi="Calibri"/>
          <w:b/>
        </w:rPr>
      </w:pPr>
    </w:p>
    <w:tbl>
      <w:tblPr>
        <w:tblStyle w:val="Grilledutableau"/>
        <w:tblW w:w="0" w:type="auto"/>
        <w:tblLook w:val="04A0"/>
      </w:tblPr>
      <w:tblGrid>
        <w:gridCol w:w="1413"/>
        <w:gridCol w:w="4811"/>
        <w:gridCol w:w="1426"/>
        <w:gridCol w:w="1412"/>
      </w:tblGrid>
      <w:tr w:rsidR="00AF37B7" w:rsidTr="00F22A3C">
        <w:trPr>
          <w:trHeight w:val="2116"/>
        </w:trPr>
        <w:tc>
          <w:tcPr>
            <w:tcW w:w="1413" w:type="dxa"/>
          </w:tcPr>
          <w:p w:rsidR="00AF37B7" w:rsidRDefault="00AF37B7" w:rsidP="006446CA">
            <w:pPr>
              <w:pStyle w:val="Default"/>
              <w:jc w:val="both"/>
              <w:rPr>
                <w:rFonts w:ascii="Calibri" w:hAnsi="Calibri"/>
              </w:rPr>
            </w:pPr>
            <w:r>
              <w:rPr>
                <w:rFonts w:ascii="Calibri" w:hAnsi="Calibri"/>
              </w:rPr>
              <w:t>52</w:t>
            </w:r>
          </w:p>
          <w:p w:rsidR="00F56B19" w:rsidRDefault="00F56B19" w:rsidP="006446CA">
            <w:pPr>
              <w:pStyle w:val="Default"/>
              <w:jc w:val="both"/>
              <w:rPr>
                <w:rFonts w:ascii="Calibri" w:hAnsi="Calibri"/>
              </w:rPr>
            </w:pPr>
          </w:p>
          <w:p w:rsidR="00AF37B7" w:rsidRPr="0063391F" w:rsidRDefault="00AF37B7" w:rsidP="006446CA">
            <w:pPr>
              <w:pStyle w:val="Default"/>
              <w:jc w:val="both"/>
              <w:rPr>
                <w:rFonts w:ascii="Calibri" w:hAnsi="Calibri"/>
                <w:b/>
              </w:rPr>
            </w:pPr>
            <w:r w:rsidRPr="0063391F">
              <w:rPr>
                <w:rFonts w:ascii="Calibri" w:hAnsi="Calibri"/>
                <w:b/>
              </w:rPr>
              <w:t>47</w:t>
            </w:r>
            <w:r w:rsidR="00C12D00">
              <w:rPr>
                <w:rFonts w:ascii="Calibri" w:hAnsi="Calibri"/>
                <w:b/>
              </w:rPr>
              <w:t>87</w:t>
            </w:r>
          </w:p>
          <w:p w:rsidR="00AF37B7" w:rsidRDefault="00AF37B7" w:rsidP="006446CA">
            <w:pPr>
              <w:pStyle w:val="Default"/>
              <w:jc w:val="both"/>
              <w:rPr>
                <w:rFonts w:ascii="Calibri" w:hAnsi="Calibri"/>
              </w:rPr>
            </w:pPr>
          </w:p>
        </w:tc>
        <w:tc>
          <w:tcPr>
            <w:tcW w:w="4811" w:type="dxa"/>
          </w:tcPr>
          <w:p w:rsidR="00AF37B7" w:rsidRDefault="00AF37B7" w:rsidP="006446CA">
            <w:pPr>
              <w:pStyle w:val="Default"/>
              <w:jc w:val="both"/>
              <w:rPr>
                <w:rFonts w:ascii="Calibri" w:hAnsi="Calibri"/>
              </w:rPr>
            </w:pPr>
            <w:r>
              <w:rPr>
                <w:rFonts w:ascii="Calibri" w:hAnsi="Calibri"/>
              </w:rPr>
              <w:t>Instrument de trésorerie-composante de change</w:t>
            </w:r>
          </w:p>
          <w:p w:rsidR="00AF37B7" w:rsidRPr="0063391F" w:rsidRDefault="00AF37B7" w:rsidP="006446CA">
            <w:pPr>
              <w:pStyle w:val="Default"/>
              <w:jc w:val="both"/>
              <w:rPr>
                <w:rFonts w:ascii="Calibri" w:hAnsi="Calibri"/>
                <w:b/>
              </w:rPr>
            </w:pPr>
            <w:r>
              <w:rPr>
                <w:rFonts w:ascii="Calibri" w:hAnsi="Calibri"/>
              </w:rPr>
              <w:t xml:space="preserve">              </w:t>
            </w:r>
            <w:r w:rsidRPr="0063391F">
              <w:rPr>
                <w:rFonts w:ascii="Calibri" w:hAnsi="Calibri"/>
                <w:b/>
              </w:rPr>
              <w:t>Différence d</w:t>
            </w:r>
            <w:r w:rsidR="00C12D00">
              <w:rPr>
                <w:rFonts w:ascii="Calibri" w:hAnsi="Calibri"/>
                <w:b/>
              </w:rPr>
              <w:t xml:space="preserve">’évaluation sur instrument de trésorerie </w:t>
            </w:r>
            <w:r w:rsidR="006A18AC">
              <w:rPr>
                <w:rFonts w:ascii="Calibri" w:hAnsi="Calibri"/>
                <w:b/>
              </w:rPr>
              <w:t>–</w:t>
            </w:r>
            <w:r w:rsidR="00C12D00">
              <w:rPr>
                <w:rFonts w:ascii="Calibri" w:hAnsi="Calibri"/>
                <w:b/>
              </w:rPr>
              <w:t xml:space="preserve"> PASSIF</w:t>
            </w:r>
            <w:r w:rsidR="006A18AC">
              <w:rPr>
                <w:rFonts w:ascii="Calibri" w:hAnsi="Calibri"/>
                <w:b/>
              </w:rPr>
              <w:t xml:space="preserve"> (DEITP)</w:t>
            </w:r>
            <w:r w:rsidR="006A18AC">
              <w:rPr>
                <w:rStyle w:val="Appelnotedebasdep"/>
                <w:rFonts w:ascii="Calibri" w:hAnsi="Calibri"/>
                <w:b/>
              </w:rPr>
              <w:footnoteReference w:id="6"/>
            </w:r>
          </w:p>
          <w:p w:rsidR="00AF37B7" w:rsidRPr="00AF37B7" w:rsidRDefault="00A418FB" w:rsidP="006446CA">
            <w:pPr>
              <w:pStyle w:val="Default"/>
              <w:jc w:val="both"/>
              <w:rPr>
                <w:rFonts w:ascii="Calibri" w:hAnsi="Calibri"/>
                <w:i/>
              </w:rPr>
            </w:pPr>
            <w:r>
              <w:rPr>
                <w:rFonts w:ascii="Calibri" w:hAnsi="Calibri"/>
                <w:i/>
              </w:rPr>
              <w:t>(</w:t>
            </w:r>
            <w:r w:rsidR="00AF37B7" w:rsidRPr="00AF37B7">
              <w:rPr>
                <w:rFonts w:ascii="Calibri" w:hAnsi="Calibri"/>
                <w:i/>
              </w:rPr>
              <w:t>Cours spot comptabilisation créance au 15/09/N</w:t>
            </w:r>
            <w:r>
              <w:rPr>
                <w:rFonts w:ascii="Calibri" w:hAnsi="Calibri"/>
                <w:i/>
              </w:rPr>
              <w:t>)</w:t>
            </w:r>
            <w:r w:rsidR="00AF37B7" w:rsidRPr="00AF37B7">
              <w:rPr>
                <w:rFonts w:ascii="Calibri" w:hAnsi="Calibri"/>
                <w:i/>
              </w:rPr>
              <w:t xml:space="preserve"> – cours clôture</w:t>
            </w:r>
          </w:p>
          <w:p w:rsidR="00AF37B7" w:rsidRDefault="00AF37B7" w:rsidP="00F22A3C">
            <w:pPr>
              <w:pStyle w:val="Default"/>
              <w:jc w:val="both"/>
              <w:rPr>
                <w:rFonts w:ascii="Calibri" w:hAnsi="Calibri"/>
              </w:rPr>
            </w:pPr>
            <w:r w:rsidRPr="00AF37B7">
              <w:rPr>
                <w:rFonts w:ascii="Calibri" w:hAnsi="Calibri"/>
                <w:i/>
              </w:rPr>
              <w:t>(500 000</w:t>
            </w:r>
            <w:r w:rsidR="00E1664A">
              <w:rPr>
                <w:rFonts w:ascii="Calibri" w:hAnsi="Calibri"/>
                <w:i/>
              </w:rPr>
              <w:t> </w:t>
            </w:r>
            <w:r w:rsidRPr="00AF37B7">
              <w:rPr>
                <w:rFonts w:ascii="Calibri" w:hAnsi="Calibri"/>
                <w:i/>
              </w:rPr>
              <w:t>CNY/7,5) – (500 000</w:t>
            </w:r>
            <w:r w:rsidR="00E1664A">
              <w:rPr>
                <w:rFonts w:ascii="Calibri" w:hAnsi="Calibri"/>
                <w:i/>
              </w:rPr>
              <w:t> </w:t>
            </w:r>
            <w:r w:rsidRPr="00AF37B7">
              <w:rPr>
                <w:rFonts w:ascii="Calibri" w:hAnsi="Calibri"/>
                <w:i/>
              </w:rPr>
              <w:t>CNY/7,6)</w:t>
            </w:r>
          </w:p>
        </w:tc>
        <w:tc>
          <w:tcPr>
            <w:tcW w:w="1426" w:type="dxa"/>
          </w:tcPr>
          <w:p w:rsidR="00AF37B7" w:rsidRDefault="00AF37B7" w:rsidP="006446CA">
            <w:pPr>
              <w:pStyle w:val="Default"/>
              <w:jc w:val="center"/>
              <w:rPr>
                <w:rFonts w:ascii="Calibri" w:hAnsi="Calibri"/>
              </w:rPr>
            </w:pPr>
            <w:r>
              <w:rPr>
                <w:rFonts w:ascii="Calibri" w:hAnsi="Calibri"/>
              </w:rPr>
              <w:t>878</w:t>
            </w:r>
          </w:p>
        </w:tc>
        <w:tc>
          <w:tcPr>
            <w:tcW w:w="1412" w:type="dxa"/>
          </w:tcPr>
          <w:p w:rsidR="00AF37B7" w:rsidRDefault="00AF37B7" w:rsidP="006446CA">
            <w:pPr>
              <w:pStyle w:val="Default"/>
              <w:jc w:val="center"/>
              <w:rPr>
                <w:rFonts w:ascii="Calibri" w:hAnsi="Calibri"/>
              </w:rPr>
            </w:pPr>
          </w:p>
          <w:p w:rsidR="00AF37B7" w:rsidRDefault="00AF37B7" w:rsidP="006446CA">
            <w:pPr>
              <w:pStyle w:val="Default"/>
              <w:jc w:val="center"/>
              <w:rPr>
                <w:rFonts w:ascii="Calibri" w:hAnsi="Calibri"/>
              </w:rPr>
            </w:pPr>
          </w:p>
          <w:p w:rsidR="00AF37B7" w:rsidRPr="0063391F" w:rsidRDefault="00AF37B7" w:rsidP="006446CA">
            <w:pPr>
              <w:pStyle w:val="Default"/>
              <w:jc w:val="center"/>
              <w:rPr>
                <w:rFonts w:ascii="Calibri" w:hAnsi="Calibri"/>
                <w:b/>
              </w:rPr>
            </w:pPr>
            <w:r w:rsidRPr="0063391F">
              <w:rPr>
                <w:rFonts w:ascii="Calibri" w:hAnsi="Calibri"/>
                <w:b/>
              </w:rPr>
              <w:t>878</w:t>
            </w:r>
          </w:p>
        </w:tc>
      </w:tr>
    </w:tbl>
    <w:p w:rsidR="00BF3A4F" w:rsidRDefault="00BF3A4F" w:rsidP="006446CA">
      <w:pPr>
        <w:pStyle w:val="Default"/>
        <w:jc w:val="both"/>
        <w:rPr>
          <w:rFonts w:ascii="Calibri" w:hAnsi="Calibri"/>
          <w:b/>
        </w:rPr>
      </w:pPr>
    </w:p>
    <w:p w:rsidR="00906B2E" w:rsidRDefault="007D6079" w:rsidP="006446CA">
      <w:pPr>
        <w:pStyle w:val="Default"/>
        <w:jc w:val="both"/>
        <w:rPr>
          <w:rFonts w:ascii="Calibri" w:hAnsi="Calibri"/>
          <w:b/>
        </w:rPr>
      </w:pPr>
      <w:r>
        <w:rPr>
          <w:rFonts w:ascii="Calibri" w:hAnsi="Calibri"/>
          <w:b/>
        </w:rPr>
        <w:t>Effet de la couverture</w:t>
      </w:r>
    </w:p>
    <w:p w:rsidR="007D6079" w:rsidRDefault="007D6079" w:rsidP="006446CA">
      <w:pPr>
        <w:pStyle w:val="Default"/>
        <w:jc w:val="both"/>
        <w:rPr>
          <w:rFonts w:ascii="Calibri" w:hAnsi="Calibri"/>
          <w:b/>
        </w:rPr>
      </w:pPr>
    </w:p>
    <w:p w:rsidR="00906B2E" w:rsidRDefault="00906B2E" w:rsidP="00C41035">
      <w:pPr>
        <w:pStyle w:val="Default"/>
        <w:ind w:firstLine="3402"/>
        <w:rPr>
          <w:rFonts w:ascii="Calibri" w:hAnsi="Calibri"/>
          <w:b/>
        </w:rPr>
      </w:pPr>
      <w:r>
        <w:rPr>
          <w:rFonts w:ascii="Calibri" w:hAnsi="Calibri"/>
          <w:b/>
        </w:rPr>
        <w:t>Bilan au 31/12/N</w:t>
      </w:r>
    </w:p>
    <w:tbl>
      <w:tblPr>
        <w:tblStyle w:val="Grilledutableau"/>
        <w:tblW w:w="0" w:type="auto"/>
        <w:tblLook w:val="04A0"/>
      </w:tblPr>
      <w:tblGrid>
        <w:gridCol w:w="4531"/>
        <w:gridCol w:w="4531"/>
      </w:tblGrid>
      <w:tr w:rsidR="00906B2E" w:rsidTr="00C41035">
        <w:tc>
          <w:tcPr>
            <w:tcW w:w="4531" w:type="dxa"/>
          </w:tcPr>
          <w:p w:rsidR="00906B2E" w:rsidRPr="00906B2E" w:rsidRDefault="00906B2E" w:rsidP="006446CA">
            <w:pPr>
              <w:pStyle w:val="Default"/>
              <w:jc w:val="center"/>
              <w:rPr>
                <w:rFonts w:ascii="Calibri" w:hAnsi="Calibri"/>
              </w:rPr>
            </w:pPr>
            <w:r w:rsidRPr="00906B2E">
              <w:rPr>
                <w:rFonts w:ascii="Calibri" w:hAnsi="Calibri"/>
              </w:rPr>
              <w:t>Actif</w:t>
            </w:r>
          </w:p>
        </w:tc>
        <w:tc>
          <w:tcPr>
            <w:tcW w:w="4531" w:type="dxa"/>
          </w:tcPr>
          <w:p w:rsidR="00906B2E" w:rsidRPr="00906B2E" w:rsidRDefault="00906B2E" w:rsidP="006446CA">
            <w:pPr>
              <w:pStyle w:val="Default"/>
              <w:jc w:val="center"/>
              <w:rPr>
                <w:rFonts w:ascii="Calibri" w:hAnsi="Calibri"/>
              </w:rPr>
            </w:pPr>
            <w:r w:rsidRPr="00906B2E">
              <w:rPr>
                <w:rFonts w:ascii="Calibri" w:hAnsi="Calibri"/>
              </w:rPr>
              <w:t>Passif</w:t>
            </w:r>
          </w:p>
        </w:tc>
      </w:tr>
      <w:tr w:rsidR="00906B2E" w:rsidTr="00C41035">
        <w:tc>
          <w:tcPr>
            <w:tcW w:w="4531" w:type="dxa"/>
          </w:tcPr>
          <w:p w:rsidR="00906B2E" w:rsidRPr="00906B2E" w:rsidRDefault="006A18AC" w:rsidP="006446CA">
            <w:pPr>
              <w:pStyle w:val="Default"/>
              <w:jc w:val="center"/>
              <w:rPr>
                <w:rFonts w:ascii="Calibri" w:hAnsi="Calibri"/>
              </w:rPr>
            </w:pPr>
            <w:r>
              <w:rPr>
                <w:rFonts w:ascii="Calibri" w:hAnsi="Calibri"/>
              </w:rPr>
              <w:t>D</w:t>
            </w:r>
            <w:r w:rsidR="00906B2E" w:rsidRPr="00906B2E">
              <w:rPr>
                <w:rFonts w:ascii="Calibri" w:hAnsi="Calibri"/>
              </w:rPr>
              <w:t>CA = 878</w:t>
            </w:r>
          </w:p>
        </w:tc>
        <w:tc>
          <w:tcPr>
            <w:tcW w:w="4531" w:type="dxa"/>
          </w:tcPr>
          <w:p w:rsidR="00906B2E" w:rsidRPr="00906B2E" w:rsidRDefault="006A18AC" w:rsidP="006446CA">
            <w:pPr>
              <w:pStyle w:val="Default"/>
              <w:jc w:val="center"/>
              <w:rPr>
                <w:rFonts w:ascii="Calibri" w:hAnsi="Calibri"/>
              </w:rPr>
            </w:pPr>
            <w:r>
              <w:rPr>
                <w:rFonts w:ascii="Calibri" w:hAnsi="Calibri"/>
              </w:rPr>
              <w:t>DEITP</w:t>
            </w:r>
            <w:r w:rsidR="00906B2E" w:rsidRPr="00906B2E">
              <w:rPr>
                <w:rFonts w:ascii="Calibri" w:hAnsi="Calibri"/>
              </w:rPr>
              <w:t xml:space="preserve"> = 878</w:t>
            </w:r>
          </w:p>
        </w:tc>
      </w:tr>
    </w:tbl>
    <w:p w:rsidR="00906B2E" w:rsidRDefault="00906B2E" w:rsidP="006446CA">
      <w:pPr>
        <w:pStyle w:val="Default"/>
        <w:jc w:val="both"/>
        <w:rPr>
          <w:rFonts w:ascii="Calibri" w:hAnsi="Calibri"/>
          <w:b/>
        </w:rPr>
      </w:pPr>
    </w:p>
    <w:p w:rsidR="00053E95" w:rsidRDefault="00120D7C" w:rsidP="006446CA">
      <w:pPr>
        <w:pStyle w:val="Default"/>
        <w:jc w:val="both"/>
        <w:rPr>
          <w:rFonts w:ascii="Calibri" w:hAnsi="Calibri"/>
          <w:b/>
        </w:rPr>
      </w:pPr>
      <w:r w:rsidRPr="00120D7C">
        <w:rPr>
          <w:rFonts w:ascii="Calibri" w:hAnsi="Calibri"/>
          <w:b/>
        </w:rPr>
        <w:t>01/01/N+1 : contrepassation des écritures d’inventaire</w:t>
      </w:r>
    </w:p>
    <w:p w:rsidR="00C41035" w:rsidRDefault="00C41035" w:rsidP="006446CA">
      <w:pPr>
        <w:pStyle w:val="Default"/>
        <w:jc w:val="both"/>
        <w:rPr>
          <w:rFonts w:ascii="Calibri" w:hAnsi="Calibri"/>
          <w:b/>
        </w:rPr>
      </w:pPr>
    </w:p>
    <w:tbl>
      <w:tblPr>
        <w:tblStyle w:val="Grilledutableau"/>
        <w:tblW w:w="0" w:type="auto"/>
        <w:tblLook w:val="04A0"/>
      </w:tblPr>
      <w:tblGrid>
        <w:gridCol w:w="1413"/>
        <w:gridCol w:w="4811"/>
        <w:gridCol w:w="1426"/>
        <w:gridCol w:w="1412"/>
      </w:tblGrid>
      <w:tr w:rsidR="00BF3A4F" w:rsidTr="001A2274">
        <w:tc>
          <w:tcPr>
            <w:tcW w:w="1413" w:type="dxa"/>
          </w:tcPr>
          <w:p w:rsidR="00BF3A4F" w:rsidRPr="00BF3A4F" w:rsidRDefault="00165456" w:rsidP="006446CA">
            <w:pPr>
              <w:pStyle w:val="Default"/>
              <w:jc w:val="both"/>
              <w:rPr>
                <w:rFonts w:ascii="Calibri" w:hAnsi="Calibri"/>
              </w:rPr>
            </w:pPr>
            <w:r w:rsidRPr="00165456">
              <w:rPr>
                <w:rFonts w:ascii="Calibri" w:hAnsi="Calibri"/>
              </w:rPr>
              <w:t>411</w:t>
            </w:r>
          </w:p>
          <w:p w:rsidR="00BF3A4F" w:rsidRPr="00BF3A4F" w:rsidRDefault="00165456" w:rsidP="006446CA">
            <w:pPr>
              <w:pStyle w:val="Default"/>
              <w:jc w:val="both"/>
              <w:rPr>
                <w:rFonts w:ascii="Calibri" w:hAnsi="Calibri"/>
              </w:rPr>
            </w:pPr>
            <w:r w:rsidRPr="00165456">
              <w:rPr>
                <w:rFonts w:ascii="Calibri" w:hAnsi="Calibri"/>
              </w:rPr>
              <w:t>476</w:t>
            </w:r>
          </w:p>
          <w:p w:rsidR="00BF3A4F" w:rsidRPr="009713D9" w:rsidRDefault="00BF3A4F" w:rsidP="006446CA">
            <w:pPr>
              <w:pStyle w:val="Default"/>
              <w:jc w:val="both"/>
              <w:rPr>
                <w:rFonts w:ascii="Calibri" w:hAnsi="Calibri"/>
              </w:rPr>
            </w:pPr>
          </w:p>
        </w:tc>
        <w:tc>
          <w:tcPr>
            <w:tcW w:w="4811" w:type="dxa"/>
          </w:tcPr>
          <w:p w:rsidR="00BF3A4F" w:rsidRPr="00BF3A4F" w:rsidRDefault="00165456" w:rsidP="006446CA">
            <w:pPr>
              <w:pStyle w:val="Default"/>
              <w:jc w:val="both"/>
              <w:rPr>
                <w:rFonts w:ascii="Calibri" w:hAnsi="Calibri"/>
              </w:rPr>
            </w:pPr>
            <w:r w:rsidRPr="00165456">
              <w:rPr>
                <w:rFonts w:ascii="Calibri" w:hAnsi="Calibri"/>
              </w:rPr>
              <w:t>Clients</w:t>
            </w:r>
          </w:p>
          <w:p w:rsidR="00BF3A4F" w:rsidRPr="00BF3A4F" w:rsidRDefault="00165456" w:rsidP="006446CA">
            <w:pPr>
              <w:pStyle w:val="Default"/>
              <w:jc w:val="both"/>
              <w:rPr>
                <w:rFonts w:ascii="Calibri" w:hAnsi="Calibri"/>
              </w:rPr>
            </w:pPr>
            <w:r w:rsidRPr="00165456">
              <w:rPr>
                <w:rFonts w:ascii="Calibri" w:hAnsi="Calibri"/>
              </w:rPr>
              <w:t xml:space="preserve">           Différence de conversion – Actif (DCA)</w:t>
            </w:r>
          </w:p>
          <w:p w:rsidR="00BF3A4F" w:rsidRPr="009713D9" w:rsidRDefault="00BF3A4F" w:rsidP="006446CA">
            <w:pPr>
              <w:pStyle w:val="Default"/>
              <w:jc w:val="both"/>
              <w:rPr>
                <w:rFonts w:ascii="Calibri" w:hAnsi="Calibri"/>
                <w:i/>
              </w:rPr>
            </w:pPr>
          </w:p>
        </w:tc>
        <w:tc>
          <w:tcPr>
            <w:tcW w:w="1426" w:type="dxa"/>
          </w:tcPr>
          <w:p w:rsidR="00BF3A4F" w:rsidRPr="00BF3A4F" w:rsidRDefault="00165456" w:rsidP="006446CA">
            <w:pPr>
              <w:pStyle w:val="Default"/>
              <w:jc w:val="center"/>
              <w:rPr>
                <w:rFonts w:ascii="Calibri" w:hAnsi="Calibri"/>
              </w:rPr>
            </w:pPr>
            <w:r w:rsidRPr="00165456">
              <w:rPr>
                <w:rFonts w:ascii="Calibri" w:hAnsi="Calibri"/>
              </w:rPr>
              <w:t>878</w:t>
            </w:r>
          </w:p>
        </w:tc>
        <w:tc>
          <w:tcPr>
            <w:tcW w:w="1412" w:type="dxa"/>
          </w:tcPr>
          <w:p w:rsidR="00BF3A4F" w:rsidRPr="009713D9" w:rsidRDefault="00BF3A4F" w:rsidP="006446CA">
            <w:pPr>
              <w:pStyle w:val="Default"/>
              <w:jc w:val="center"/>
              <w:rPr>
                <w:rFonts w:ascii="Calibri" w:hAnsi="Calibri"/>
              </w:rPr>
            </w:pPr>
          </w:p>
          <w:p w:rsidR="00BF3A4F" w:rsidRPr="009713D9" w:rsidRDefault="00BF3A4F" w:rsidP="006446CA">
            <w:pPr>
              <w:pStyle w:val="Default"/>
              <w:jc w:val="center"/>
              <w:rPr>
                <w:rFonts w:ascii="Calibri" w:hAnsi="Calibri"/>
              </w:rPr>
            </w:pPr>
            <w:r w:rsidRPr="009713D9">
              <w:rPr>
                <w:rFonts w:ascii="Calibri" w:hAnsi="Calibri"/>
              </w:rPr>
              <w:t>878</w:t>
            </w:r>
          </w:p>
        </w:tc>
      </w:tr>
      <w:tr w:rsidR="00BF3A4F" w:rsidRPr="00BF3A4F" w:rsidTr="00F22A3C">
        <w:trPr>
          <w:trHeight w:val="1293"/>
        </w:trPr>
        <w:tc>
          <w:tcPr>
            <w:tcW w:w="1413" w:type="dxa"/>
          </w:tcPr>
          <w:p w:rsidR="00BF3A4F" w:rsidRPr="00BF3A4F" w:rsidRDefault="00165456" w:rsidP="006446CA">
            <w:pPr>
              <w:pStyle w:val="Default"/>
              <w:jc w:val="both"/>
              <w:rPr>
                <w:rFonts w:ascii="Calibri" w:hAnsi="Calibri"/>
              </w:rPr>
            </w:pPr>
            <w:r w:rsidRPr="00165456">
              <w:rPr>
                <w:rFonts w:ascii="Calibri" w:hAnsi="Calibri"/>
              </w:rPr>
              <w:t>4787</w:t>
            </w:r>
          </w:p>
          <w:p w:rsidR="00BF3A4F" w:rsidRPr="00BF3A4F" w:rsidRDefault="00BF3A4F" w:rsidP="006446CA">
            <w:pPr>
              <w:pStyle w:val="Default"/>
              <w:jc w:val="both"/>
              <w:rPr>
                <w:rFonts w:ascii="Calibri" w:hAnsi="Calibri"/>
              </w:rPr>
            </w:pPr>
          </w:p>
          <w:p w:rsidR="00BF3A4F" w:rsidRPr="00BF3A4F" w:rsidRDefault="00165456" w:rsidP="006446CA">
            <w:pPr>
              <w:pStyle w:val="Default"/>
              <w:jc w:val="both"/>
              <w:rPr>
                <w:rFonts w:ascii="Calibri" w:hAnsi="Calibri"/>
              </w:rPr>
            </w:pPr>
            <w:r w:rsidRPr="00165456">
              <w:rPr>
                <w:rFonts w:ascii="Calibri" w:hAnsi="Calibri"/>
              </w:rPr>
              <w:t>52</w:t>
            </w:r>
          </w:p>
        </w:tc>
        <w:tc>
          <w:tcPr>
            <w:tcW w:w="4811" w:type="dxa"/>
          </w:tcPr>
          <w:p w:rsidR="00BF3A4F" w:rsidRPr="00BF3A4F" w:rsidRDefault="00165456" w:rsidP="006446CA">
            <w:pPr>
              <w:pStyle w:val="Default"/>
              <w:jc w:val="both"/>
              <w:rPr>
                <w:rFonts w:ascii="Calibri" w:hAnsi="Calibri"/>
              </w:rPr>
            </w:pPr>
            <w:r w:rsidRPr="00165456">
              <w:rPr>
                <w:rFonts w:ascii="Calibri" w:hAnsi="Calibri"/>
              </w:rPr>
              <w:t>Différence d’évaluation sur instrument de trésorerie – PASSIF (DEITP)</w:t>
            </w:r>
            <w:r w:rsidRPr="00165456">
              <w:rPr>
                <w:rStyle w:val="Appelnotedebasdep"/>
                <w:rFonts w:ascii="Calibri" w:hAnsi="Calibri"/>
              </w:rPr>
              <w:footnoteReference w:id="7"/>
            </w:r>
          </w:p>
          <w:p w:rsidR="00BF3A4F" w:rsidRPr="00BF3A4F" w:rsidRDefault="00F22A3C" w:rsidP="006446CA">
            <w:pPr>
              <w:pStyle w:val="Default"/>
              <w:jc w:val="both"/>
              <w:rPr>
                <w:rFonts w:ascii="Calibri" w:hAnsi="Calibri"/>
              </w:rPr>
            </w:pPr>
            <w:r>
              <w:rPr>
                <w:rFonts w:ascii="Calibri" w:hAnsi="Calibri"/>
              </w:rPr>
              <w:t xml:space="preserve">         </w:t>
            </w:r>
            <w:r w:rsidR="00BF3A4F" w:rsidRPr="009713D9">
              <w:rPr>
                <w:rFonts w:ascii="Calibri" w:hAnsi="Calibri"/>
              </w:rPr>
              <w:t xml:space="preserve">    Instrument de trésorerie-composante de change</w:t>
            </w:r>
          </w:p>
        </w:tc>
        <w:tc>
          <w:tcPr>
            <w:tcW w:w="1426" w:type="dxa"/>
          </w:tcPr>
          <w:p w:rsidR="00BF3A4F" w:rsidRPr="00BF3A4F" w:rsidRDefault="00165456" w:rsidP="006446CA">
            <w:pPr>
              <w:pStyle w:val="Default"/>
              <w:jc w:val="center"/>
              <w:rPr>
                <w:rFonts w:ascii="Calibri" w:hAnsi="Calibri"/>
              </w:rPr>
            </w:pPr>
            <w:r w:rsidRPr="00165456">
              <w:rPr>
                <w:rFonts w:ascii="Calibri" w:hAnsi="Calibri"/>
              </w:rPr>
              <w:t>878</w:t>
            </w:r>
          </w:p>
        </w:tc>
        <w:tc>
          <w:tcPr>
            <w:tcW w:w="1412" w:type="dxa"/>
          </w:tcPr>
          <w:p w:rsidR="00BF3A4F" w:rsidRPr="00BF3A4F" w:rsidRDefault="00BF3A4F" w:rsidP="006446CA">
            <w:pPr>
              <w:pStyle w:val="Default"/>
              <w:jc w:val="center"/>
              <w:rPr>
                <w:rFonts w:ascii="Calibri" w:hAnsi="Calibri"/>
              </w:rPr>
            </w:pPr>
          </w:p>
          <w:p w:rsidR="00BF3A4F" w:rsidRPr="00BF3A4F" w:rsidRDefault="00BF3A4F" w:rsidP="006446CA">
            <w:pPr>
              <w:pStyle w:val="Default"/>
              <w:jc w:val="center"/>
              <w:rPr>
                <w:rFonts w:ascii="Calibri" w:hAnsi="Calibri"/>
              </w:rPr>
            </w:pPr>
          </w:p>
          <w:p w:rsidR="00BF3A4F" w:rsidRPr="00BF3A4F" w:rsidRDefault="00165456" w:rsidP="006446CA">
            <w:pPr>
              <w:pStyle w:val="Default"/>
              <w:jc w:val="center"/>
              <w:rPr>
                <w:rFonts w:ascii="Calibri" w:hAnsi="Calibri"/>
              </w:rPr>
            </w:pPr>
            <w:r w:rsidRPr="00165456">
              <w:rPr>
                <w:rFonts w:ascii="Calibri" w:hAnsi="Calibri"/>
              </w:rPr>
              <w:t>878</w:t>
            </w:r>
          </w:p>
        </w:tc>
      </w:tr>
    </w:tbl>
    <w:p w:rsidR="00053E95" w:rsidRPr="00BF3A4F" w:rsidRDefault="00053E95" w:rsidP="006446CA">
      <w:pPr>
        <w:pStyle w:val="Default"/>
        <w:jc w:val="both"/>
        <w:rPr>
          <w:rFonts w:ascii="Calibri" w:hAnsi="Calibri"/>
        </w:rPr>
      </w:pPr>
    </w:p>
    <w:p w:rsidR="00120D7C" w:rsidRDefault="00120D7C" w:rsidP="006446CA">
      <w:pPr>
        <w:pStyle w:val="Default"/>
        <w:jc w:val="both"/>
        <w:rPr>
          <w:rFonts w:ascii="Calibri" w:hAnsi="Calibri"/>
          <w:b/>
        </w:rPr>
      </w:pPr>
      <w:r>
        <w:rPr>
          <w:rFonts w:ascii="Calibri" w:hAnsi="Calibri"/>
          <w:b/>
        </w:rPr>
        <w:t>31/03/N+1 :</w:t>
      </w:r>
    </w:p>
    <w:p w:rsidR="00C41035" w:rsidRDefault="00C41035" w:rsidP="006446CA">
      <w:pPr>
        <w:pStyle w:val="Default"/>
        <w:jc w:val="both"/>
        <w:rPr>
          <w:rFonts w:ascii="Calibri" w:hAnsi="Calibri"/>
          <w:b/>
        </w:rPr>
      </w:pPr>
    </w:p>
    <w:p w:rsidR="00120D7C" w:rsidRDefault="00120D7C" w:rsidP="006446CA">
      <w:pPr>
        <w:pStyle w:val="Default"/>
        <w:jc w:val="both"/>
        <w:rPr>
          <w:rFonts w:ascii="Calibri" w:hAnsi="Calibri"/>
          <w:b/>
        </w:rPr>
      </w:pPr>
      <w:r>
        <w:rPr>
          <w:rFonts w:ascii="Calibri" w:hAnsi="Calibri"/>
          <w:b/>
        </w:rPr>
        <w:t>1</w:t>
      </w:r>
      <w:r w:rsidR="00FE384A">
        <w:rPr>
          <w:rFonts w:ascii="Calibri" w:hAnsi="Calibri"/>
          <w:b/>
          <w:vertAlign w:val="superscript"/>
        </w:rPr>
        <w:t>o</w:t>
      </w:r>
      <w:r w:rsidR="00FE384A">
        <w:rPr>
          <w:rFonts w:ascii="Calibri" w:hAnsi="Calibri"/>
          <w:b/>
        </w:rPr>
        <w:t xml:space="preserve">) </w:t>
      </w:r>
      <w:r>
        <w:rPr>
          <w:rFonts w:ascii="Calibri" w:hAnsi="Calibri"/>
          <w:b/>
        </w:rPr>
        <w:t>Encaissement de la créance</w:t>
      </w:r>
    </w:p>
    <w:p w:rsidR="00C41035" w:rsidRPr="00837CA2" w:rsidRDefault="00C41035" w:rsidP="006446CA">
      <w:pPr>
        <w:pStyle w:val="Default"/>
        <w:jc w:val="both"/>
        <w:rPr>
          <w:rFonts w:ascii="Calibri" w:hAnsi="Calibri"/>
          <w:b/>
        </w:rPr>
      </w:pPr>
    </w:p>
    <w:tbl>
      <w:tblPr>
        <w:tblStyle w:val="Grilledutableau"/>
        <w:tblW w:w="0" w:type="auto"/>
        <w:tblLook w:val="04A0"/>
      </w:tblPr>
      <w:tblGrid>
        <w:gridCol w:w="1413"/>
        <w:gridCol w:w="4811"/>
        <w:gridCol w:w="1426"/>
        <w:gridCol w:w="1412"/>
      </w:tblGrid>
      <w:tr w:rsidR="00120D7C" w:rsidTr="00C906C1">
        <w:tc>
          <w:tcPr>
            <w:tcW w:w="1413" w:type="dxa"/>
          </w:tcPr>
          <w:p w:rsidR="00120D7C" w:rsidRDefault="00120D7C" w:rsidP="006446CA">
            <w:pPr>
              <w:pStyle w:val="Default"/>
              <w:jc w:val="both"/>
              <w:rPr>
                <w:rFonts w:ascii="Calibri" w:hAnsi="Calibri"/>
              </w:rPr>
            </w:pPr>
            <w:r>
              <w:rPr>
                <w:rFonts w:ascii="Calibri" w:hAnsi="Calibri"/>
              </w:rPr>
              <w:t>512</w:t>
            </w:r>
            <w:r w:rsidR="00482CC8">
              <w:rPr>
                <w:rFonts w:ascii="Calibri" w:hAnsi="Calibri"/>
              </w:rPr>
              <w:t>2</w:t>
            </w:r>
          </w:p>
          <w:p w:rsidR="00120D7C" w:rsidRDefault="00120D7C" w:rsidP="006446CA">
            <w:pPr>
              <w:pStyle w:val="Default"/>
              <w:jc w:val="both"/>
              <w:rPr>
                <w:rFonts w:ascii="Calibri" w:hAnsi="Calibri"/>
              </w:rPr>
            </w:pPr>
            <w:r>
              <w:rPr>
                <w:rFonts w:ascii="Calibri" w:hAnsi="Calibri"/>
              </w:rPr>
              <w:t>656</w:t>
            </w:r>
          </w:p>
          <w:p w:rsidR="00482CC8" w:rsidRDefault="00482CC8" w:rsidP="006446CA">
            <w:pPr>
              <w:pStyle w:val="Default"/>
              <w:jc w:val="both"/>
              <w:rPr>
                <w:rFonts w:ascii="Calibri" w:hAnsi="Calibri"/>
              </w:rPr>
            </w:pPr>
          </w:p>
          <w:p w:rsidR="00120D7C" w:rsidRDefault="00120D7C" w:rsidP="006446CA">
            <w:pPr>
              <w:pStyle w:val="Default"/>
              <w:jc w:val="both"/>
              <w:rPr>
                <w:rFonts w:ascii="Calibri" w:hAnsi="Calibri"/>
              </w:rPr>
            </w:pPr>
            <w:r>
              <w:rPr>
                <w:rFonts w:ascii="Calibri" w:hAnsi="Calibri"/>
              </w:rPr>
              <w:t>411</w:t>
            </w:r>
          </w:p>
        </w:tc>
        <w:tc>
          <w:tcPr>
            <w:tcW w:w="4811" w:type="dxa"/>
          </w:tcPr>
          <w:p w:rsidR="00120D7C" w:rsidRDefault="00120D7C" w:rsidP="006446CA">
            <w:pPr>
              <w:pStyle w:val="Default"/>
              <w:jc w:val="both"/>
              <w:rPr>
                <w:rFonts w:ascii="Calibri" w:hAnsi="Calibri"/>
              </w:rPr>
            </w:pPr>
            <w:r>
              <w:rPr>
                <w:rFonts w:ascii="Calibri" w:hAnsi="Calibri"/>
              </w:rPr>
              <w:t xml:space="preserve">Banques </w:t>
            </w:r>
            <w:r w:rsidR="00482CC8">
              <w:rPr>
                <w:rFonts w:ascii="Calibri" w:hAnsi="Calibri"/>
              </w:rPr>
              <w:t xml:space="preserve">CNY </w:t>
            </w:r>
            <w:r>
              <w:rPr>
                <w:rFonts w:ascii="Calibri" w:hAnsi="Calibri"/>
              </w:rPr>
              <w:t>(500 000</w:t>
            </w:r>
            <w:r w:rsidR="00E1664A">
              <w:rPr>
                <w:rFonts w:ascii="Calibri" w:hAnsi="Calibri"/>
              </w:rPr>
              <w:t> </w:t>
            </w:r>
            <w:r>
              <w:rPr>
                <w:rFonts w:ascii="Calibri" w:hAnsi="Calibri"/>
              </w:rPr>
              <w:t>CNY/7,8)</w:t>
            </w:r>
          </w:p>
          <w:p w:rsidR="00120D7C" w:rsidRDefault="00120D7C" w:rsidP="006446CA">
            <w:pPr>
              <w:pStyle w:val="Default"/>
              <w:jc w:val="both"/>
              <w:rPr>
                <w:rFonts w:ascii="Calibri" w:hAnsi="Calibri"/>
              </w:rPr>
            </w:pPr>
            <w:r>
              <w:rPr>
                <w:rFonts w:ascii="Calibri" w:hAnsi="Calibri"/>
              </w:rPr>
              <w:t>Pertes de</w:t>
            </w:r>
            <w:r w:rsidR="00482CC8">
              <w:rPr>
                <w:rFonts w:ascii="Calibri" w:hAnsi="Calibri"/>
              </w:rPr>
              <w:t xml:space="preserve"> change sur créances et dettes commerciales</w:t>
            </w:r>
          </w:p>
          <w:p w:rsidR="00120D7C" w:rsidRDefault="00120D7C" w:rsidP="006446CA">
            <w:pPr>
              <w:pStyle w:val="Default"/>
              <w:jc w:val="both"/>
              <w:rPr>
                <w:rFonts w:ascii="Calibri" w:hAnsi="Calibri"/>
              </w:rPr>
            </w:pPr>
            <w:r>
              <w:rPr>
                <w:rFonts w:ascii="Calibri" w:hAnsi="Calibri"/>
              </w:rPr>
              <w:t xml:space="preserve">                                              Clients</w:t>
            </w:r>
          </w:p>
        </w:tc>
        <w:tc>
          <w:tcPr>
            <w:tcW w:w="1426" w:type="dxa"/>
          </w:tcPr>
          <w:p w:rsidR="00120D7C" w:rsidRDefault="00120D7C" w:rsidP="006446CA">
            <w:pPr>
              <w:pStyle w:val="Default"/>
              <w:jc w:val="center"/>
              <w:rPr>
                <w:rFonts w:ascii="Calibri" w:hAnsi="Calibri"/>
              </w:rPr>
            </w:pPr>
            <w:r>
              <w:rPr>
                <w:rFonts w:ascii="Calibri" w:hAnsi="Calibri"/>
              </w:rPr>
              <w:t>64 103</w:t>
            </w:r>
          </w:p>
          <w:p w:rsidR="00120D7C" w:rsidRDefault="00120D7C" w:rsidP="006446CA">
            <w:pPr>
              <w:pStyle w:val="Default"/>
              <w:jc w:val="center"/>
              <w:rPr>
                <w:rFonts w:ascii="Calibri" w:hAnsi="Calibri"/>
              </w:rPr>
            </w:pPr>
            <w:r>
              <w:rPr>
                <w:rFonts w:ascii="Calibri" w:hAnsi="Calibri"/>
              </w:rPr>
              <w:t xml:space="preserve">  2</w:t>
            </w:r>
            <w:r w:rsidR="00E1664A">
              <w:rPr>
                <w:rFonts w:ascii="Calibri" w:hAnsi="Calibri"/>
              </w:rPr>
              <w:t> </w:t>
            </w:r>
            <w:r>
              <w:rPr>
                <w:rFonts w:ascii="Calibri" w:hAnsi="Calibri"/>
              </w:rPr>
              <w:t>564</w:t>
            </w:r>
          </w:p>
        </w:tc>
        <w:tc>
          <w:tcPr>
            <w:tcW w:w="1412" w:type="dxa"/>
          </w:tcPr>
          <w:p w:rsidR="00120D7C" w:rsidRDefault="00120D7C" w:rsidP="006446CA">
            <w:pPr>
              <w:pStyle w:val="Default"/>
              <w:jc w:val="center"/>
              <w:rPr>
                <w:rFonts w:ascii="Calibri" w:hAnsi="Calibri"/>
              </w:rPr>
            </w:pPr>
          </w:p>
          <w:p w:rsidR="00120D7C" w:rsidRDefault="00120D7C" w:rsidP="006446CA">
            <w:pPr>
              <w:pStyle w:val="Default"/>
              <w:jc w:val="center"/>
              <w:rPr>
                <w:rFonts w:ascii="Calibri" w:hAnsi="Calibri"/>
              </w:rPr>
            </w:pPr>
          </w:p>
          <w:p w:rsidR="00081FDB" w:rsidRDefault="00081FDB" w:rsidP="006446CA">
            <w:pPr>
              <w:pStyle w:val="Default"/>
              <w:jc w:val="center"/>
              <w:rPr>
                <w:rFonts w:ascii="Calibri" w:hAnsi="Calibri"/>
              </w:rPr>
            </w:pPr>
          </w:p>
          <w:p w:rsidR="00120D7C" w:rsidRDefault="00120D7C" w:rsidP="006446CA">
            <w:pPr>
              <w:pStyle w:val="Default"/>
              <w:jc w:val="center"/>
              <w:rPr>
                <w:rFonts w:ascii="Calibri" w:hAnsi="Calibri"/>
              </w:rPr>
            </w:pPr>
            <w:r>
              <w:rPr>
                <w:rFonts w:ascii="Calibri" w:hAnsi="Calibri"/>
              </w:rPr>
              <w:t>66</w:t>
            </w:r>
            <w:r w:rsidR="00E1664A">
              <w:rPr>
                <w:rFonts w:ascii="Calibri" w:hAnsi="Calibri"/>
              </w:rPr>
              <w:t> </w:t>
            </w:r>
            <w:r>
              <w:rPr>
                <w:rFonts w:ascii="Calibri" w:hAnsi="Calibri"/>
              </w:rPr>
              <w:t>667</w:t>
            </w:r>
          </w:p>
        </w:tc>
      </w:tr>
    </w:tbl>
    <w:p w:rsidR="00053E95" w:rsidRDefault="00053E95" w:rsidP="006446CA">
      <w:pPr>
        <w:pStyle w:val="Default"/>
        <w:jc w:val="both"/>
        <w:rPr>
          <w:rFonts w:ascii="Calibri" w:hAnsi="Calibri"/>
          <w:b/>
        </w:rPr>
      </w:pPr>
    </w:p>
    <w:p w:rsidR="00120D7C" w:rsidRDefault="00120D7C" w:rsidP="006446CA">
      <w:pPr>
        <w:pStyle w:val="Default"/>
        <w:jc w:val="both"/>
        <w:rPr>
          <w:rFonts w:ascii="Calibri" w:hAnsi="Calibri"/>
          <w:b/>
        </w:rPr>
      </w:pPr>
      <w:r>
        <w:rPr>
          <w:rFonts w:ascii="Calibri" w:hAnsi="Calibri"/>
          <w:b/>
        </w:rPr>
        <w:lastRenderedPageBreak/>
        <w:t>2</w:t>
      </w:r>
      <w:r w:rsidR="00FE384A">
        <w:rPr>
          <w:rFonts w:ascii="Calibri" w:hAnsi="Calibri"/>
          <w:b/>
          <w:vertAlign w:val="superscript"/>
        </w:rPr>
        <w:t>o</w:t>
      </w:r>
      <w:r w:rsidR="00FE384A">
        <w:rPr>
          <w:rFonts w:ascii="Calibri" w:hAnsi="Calibri"/>
          <w:b/>
        </w:rPr>
        <w:t xml:space="preserve">) </w:t>
      </w:r>
      <w:r>
        <w:rPr>
          <w:rFonts w:ascii="Calibri" w:hAnsi="Calibri"/>
          <w:b/>
        </w:rPr>
        <w:t>Dénouement du dérivé (vente à terme)</w:t>
      </w:r>
    </w:p>
    <w:p w:rsidR="00C41035" w:rsidRDefault="00C41035" w:rsidP="006446CA">
      <w:pPr>
        <w:pStyle w:val="Default"/>
        <w:jc w:val="both"/>
        <w:rPr>
          <w:rFonts w:ascii="Calibri" w:hAnsi="Calibri"/>
          <w:b/>
        </w:rPr>
      </w:pPr>
    </w:p>
    <w:tbl>
      <w:tblPr>
        <w:tblStyle w:val="Grilledutableau"/>
        <w:tblW w:w="0" w:type="auto"/>
        <w:tblLook w:val="04A0"/>
      </w:tblPr>
      <w:tblGrid>
        <w:gridCol w:w="1413"/>
        <w:gridCol w:w="4811"/>
        <w:gridCol w:w="1426"/>
        <w:gridCol w:w="1412"/>
      </w:tblGrid>
      <w:tr w:rsidR="00120D7C" w:rsidTr="00C906C1">
        <w:tc>
          <w:tcPr>
            <w:tcW w:w="1413" w:type="dxa"/>
          </w:tcPr>
          <w:p w:rsidR="00120D7C" w:rsidRDefault="00482CC8" w:rsidP="006446CA">
            <w:pPr>
              <w:pStyle w:val="Default"/>
              <w:jc w:val="both"/>
              <w:rPr>
                <w:rFonts w:ascii="Calibri" w:hAnsi="Calibri"/>
              </w:rPr>
            </w:pPr>
            <w:r>
              <w:rPr>
                <w:rFonts w:ascii="Calibri" w:hAnsi="Calibri"/>
              </w:rPr>
              <w:t xml:space="preserve">5121 </w:t>
            </w:r>
          </w:p>
          <w:p w:rsidR="00081FDB" w:rsidRDefault="00081FDB" w:rsidP="006446CA">
            <w:pPr>
              <w:pStyle w:val="Default"/>
              <w:jc w:val="both"/>
              <w:rPr>
                <w:rFonts w:ascii="Calibri" w:hAnsi="Calibri"/>
              </w:rPr>
            </w:pPr>
          </w:p>
          <w:p w:rsidR="00482CC8" w:rsidRDefault="00482CC8" w:rsidP="006446CA">
            <w:pPr>
              <w:pStyle w:val="Default"/>
              <w:jc w:val="both"/>
              <w:rPr>
                <w:rFonts w:ascii="Calibri" w:hAnsi="Calibri"/>
              </w:rPr>
            </w:pPr>
            <w:r>
              <w:rPr>
                <w:rFonts w:ascii="Calibri" w:hAnsi="Calibri"/>
              </w:rPr>
              <w:t>52</w:t>
            </w:r>
          </w:p>
          <w:p w:rsidR="00E43E39" w:rsidRDefault="00E43E39" w:rsidP="006446CA">
            <w:pPr>
              <w:pStyle w:val="Default"/>
              <w:jc w:val="both"/>
              <w:rPr>
                <w:rFonts w:ascii="Calibri" w:hAnsi="Calibri"/>
              </w:rPr>
            </w:pPr>
          </w:p>
          <w:p w:rsidR="00482CC8" w:rsidRDefault="00482CC8" w:rsidP="006446CA">
            <w:pPr>
              <w:pStyle w:val="Default"/>
              <w:jc w:val="both"/>
              <w:rPr>
                <w:rFonts w:ascii="Calibri" w:hAnsi="Calibri"/>
              </w:rPr>
            </w:pPr>
            <w:r>
              <w:rPr>
                <w:rFonts w:ascii="Calibri" w:hAnsi="Calibri"/>
              </w:rPr>
              <w:t>5122</w:t>
            </w:r>
          </w:p>
          <w:p w:rsidR="00482CC8" w:rsidRDefault="00482CC8" w:rsidP="006446CA">
            <w:pPr>
              <w:pStyle w:val="Default"/>
              <w:jc w:val="both"/>
              <w:rPr>
                <w:rFonts w:ascii="Calibri" w:hAnsi="Calibri"/>
              </w:rPr>
            </w:pPr>
            <w:r>
              <w:rPr>
                <w:rFonts w:ascii="Calibri" w:hAnsi="Calibri"/>
              </w:rPr>
              <w:t>756</w:t>
            </w:r>
          </w:p>
        </w:tc>
        <w:tc>
          <w:tcPr>
            <w:tcW w:w="4811" w:type="dxa"/>
          </w:tcPr>
          <w:p w:rsidR="00120D7C" w:rsidRDefault="00482CC8" w:rsidP="006446CA">
            <w:pPr>
              <w:pStyle w:val="Default"/>
              <w:jc w:val="both"/>
              <w:rPr>
                <w:rFonts w:ascii="Calibri" w:hAnsi="Calibri"/>
              </w:rPr>
            </w:pPr>
            <w:r>
              <w:rPr>
                <w:rFonts w:ascii="Calibri" w:hAnsi="Calibri"/>
              </w:rPr>
              <w:t>Banques EUR (500 000</w:t>
            </w:r>
            <w:r w:rsidR="00E1664A">
              <w:rPr>
                <w:rFonts w:ascii="Calibri" w:hAnsi="Calibri"/>
              </w:rPr>
              <w:t> </w:t>
            </w:r>
            <w:r>
              <w:rPr>
                <w:rFonts w:ascii="Calibri" w:hAnsi="Calibri"/>
              </w:rPr>
              <w:t>CNY/7,7 (cours à terme))</w:t>
            </w:r>
          </w:p>
          <w:p w:rsidR="00482CC8" w:rsidRDefault="00482CC8" w:rsidP="006446CA">
            <w:pPr>
              <w:pStyle w:val="Default"/>
              <w:jc w:val="both"/>
              <w:rPr>
                <w:rFonts w:ascii="Calibri" w:hAnsi="Calibri"/>
              </w:rPr>
            </w:pPr>
            <w:r>
              <w:rPr>
                <w:rFonts w:ascii="Calibri" w:hAnsi="Calibri"/>
              </w:rPr>
              <w:t>Instrument de trésorerie-composante report/déport (</w:t>
            </w:r>
            <w:r w:rsidRPr="00053E95">
              <w:rPr>
                <w:rFonts w:ascii="Calibri" w:hAnsi="Calibri"/>
                <w:b/>
              </w:rPr>
              <w:t>pour solde</w:t>
            </w:r>
            <w:r>
              <w:rPr>
                <w:rFonts w:ascii="Calibri" w:hAnsi="Calibri"/>
              </w:rPr>
              <w:t>)</w:t>
            </w:r>
          </w:p>
          <w:p w:rsidR="00482CC8" w:rsidRDefault="00E43E39" w:rsidP="006446CA">
            <w:pPr>
              <w:pStyle w:val="Default"/>
              <w:jc w:val="both"/>
              <w:rPr>
                <w:rFonts w:ascii="Calibri" w:hAnsi="Calibri"/>
              </w:rPr>
            </w:pPr>
            <w:r>
              <w:rPr>
                <w:rFonts w:ascii="Calibri" w:hAnsi="Calibri"/>
              </w:rPr>
              <w:t xml:space="preserve">    </w:t>
            </w:r>
            <w:r w:rsidR="00482CC8">
              <w:rPr>
                <w:rFonts w:ascii="Calibri" w:hAnsi="Calibri"/>
              </w:rPr>
              <w:t>Banques CNY (cours spot)</w:t>
            </w:r>
            <w:r>
              <w:rPr>
                <w:rFonts w:ascii="Calibri" w:hAnsi="Calibri"/>
              </w:rPr>
              <w:t xml:space="preserve"> </w:t>
            </w:r>
            <w:r w:rsidR="00081FDB">
              <w:rPr>
                <w:rFonts w:ascii="Calibri" w:hAnsi="Calibri"/>
              </w:rPr>
              <w:t>(500 000 / 7,8)</w:t>
            </w:r>
          </w:p>
          <w:p w:rsidR="00482CC8" w:rsidRDefault="00E43E39" w:rsidP="00E43E39">
            <w:pPr>
              <w:pStyle w:val="Default"/>
              <w:jc w:val="both"/>
              <w:rPr>
                <w:rFonts w:ascii="Calibri" w:hAnsi="Calibri"/>
              </w:rPr>
            </w:pPr>
            <w:r>
              <w:rPr>
                <w:rFonts w:ascii="Calibri" w:hAnsi="Calibri"/>
              </w:rPr>
              <w:t xml:space="preserve">    </w:t>
            </w:r>
            <w:r w:rsidR="00482CC8">
              <w:rPr>
                <w:rFonts w:ascii="Calibri" w:hAnsi="Calibri"/>
              </w:rPr>
              <w:t>Gains de change sur créances et</w:t>
            </w:r>
            <w:r w:rsidR="00053E95">
              <w:rPr>
                <w:rFonts w:ascii="Calibri" w:hAnsi="Calibri"/>
              </w:rPr>
              <w:t xml:space="preserve"> </w:t>
            </w:r>
            <w:r w:rsidR="00081FDB">
              <w:rPr>
                <w:rFonts w:ascii="Calibri" w:hAnsi="Calibri"/>
              </w:rPr>
              <w:t>dettes com</w:t>
            </w:r>
            <w:r>
              <w:rPr>
                <w:rFonts w:ascii="Calibri" w:hAnsi="Calibri"/>
              </w:rPr>
              <w:t>.</w:t>
            </w:r>
          </w:p>
        </w:tc>
        <w:tc>
          <w:tcPr>
            <w:tcW w:w="1426" w:type="dxa"/>
          </w:tcPr>
          <w:p w:rsidR="00120D7C" w:rsidRDefault="00482CC8" w:rsidP="006446CA">
            <w:pPr>
              <w:pStyle w:val="Default"/>
              <w:jc w:val="center"/>
              <w:rPr>
                <w:rFonts w:ascii="Calibri" w:hAnsi="Calibri"/>
              </w:rPr>
            </w:pPr>
            <w:r>
              <w:rPr>
                <w:rFonts w:ascii="Calibri" w:hAnsi="Calibri"/>
              </w:rPr>
              <w:t>64</w:t>
            </w:r>
            <w:r w:rsidR="00081FDB">
              <w:rPr>
                <w:rFonts w:ascii="Calibri" w:hAnsi="Calibri"/>
              </w:rPr>
              <w:t> </w:t>
            </w:r>
            <w:r>
              <w:rPr>
                <w:rFonts w:ascii="Calibri" w:hAnsi="Calibri"/>
              </w:rPr>
              <w:t>935</w:t>
            </w:r>
          </w:p>
          <w:p w:rsidR="00081FDB" w:rsidRDefault="00081FDB" w:rsidP="006446CA">
            <w:pPr>
              <w:pStyle w:val="Default"/>
              <w:jc w:val="center"/>
              <w:rPr>
                <w:rFonts w:ascii="Calibri" w:hAnsi="Calibri"/>
              </w:rPr>
            </w:pPr>
          </w:p>
          <w:p w:rsidR="00482CC8" w:rsidRDefault="00E43E39" w:rsidP="006446CA">
            <w:pPr>
              <w:pStyle w:val="Default"/>
              <w:jc w:val="center"/>
              <w:rPr>
                <w:rFonts w:ascii="Calibri" w:hAnsi="Calibri"/>
              </w:rPr>
            </w:pPr>
            <w:r>
              <w:rPr>
                <w:rFonts w:ascii="Calibri" w:hAnsi="Calibri"/>
              </w:rPr>
              <w:t xml:space="preserve">  </w:t>
            </w:r>
            <w:r w:rsidR="00482CC8">
              <w:rPr>
                <w:rFonts w:ascii="Calibri" w:hAnsi="Calibri"/>
              </w:rPr>
              <w:t>1 732</w:t>
            </w:r>
          </w:p>
        </w:tc>
        <w:tc>
          <w:tcPr>
            <w:tcW w:w="1412" w:type="dxa"/>
          </w:tcPr>
          <w:p w:rsidR="00120D7C" w:rsidRDefault="00120D7C" w:rsidP="006446CA">
            <w:pPr>
              <w:pStyle w:val="Default"/>
              <w:jc w:val="center"/>
              <w:rPr>
                <w:rFonts w:ascii="Calibri" w:hAnsi="Calibri"/>
              </w:rPr>
            </w:pPr>
          </w:p>
          <w:p w:rsidR="00482CC8" w:rsidRDefault="00482CC8" w:rsidP="006446CA">
            <w:pPr>
              <w:pStyle w:val="Default"/>
              <w:jc w:val="center"/>
              <w:rPr>
                <w:rFonts w:ascii="Calibri" w:hAnsi="Calibri"/>
              </w:rPr>
            </w:pPr>
          </w:p>
          <w:p w:rsidR="00482CC8" w:rsidRDefault="00482CC8" w:rsidP="006446CA">
            <w:pPr>
              <w:pStyle w:val="Default"/>
              <w:jc w:val="center"/>
              <w:rPr>
                <w:rFonts w:ascii="Calibri" w:hAnsi="Calibri"/>
              </w:rPr>
            </w:pPr>
          </w:p>
          <w:p w:rsidR="00081FDB" w:rsidRDefault="00081FDB" w:rsidP="006446CA">
            <w:pPr>
              <w:pStyle w:val="Default"/>
              <w:jc w:val="center"/>
              <w:rPr>
                <w:rFonts w:ascii="Calibri" w:hAnsi="Calibri"/>
              </w:rPr>
            </w:pPr>
          </w:p>
          <w:p w:rsidR="00482CC8" w:rsidRDefault="00482CC8" w:rsidP="006446CA">
            <w:pPr>
              <w:pStyle w:val="Default"/>
              <w:jc w:val="center"/>
              <w:rPr>
                <w:rFonts w:ascii="Calibri" w:hAnsi="Calibri"/>
              </w:rPr>
            </w:pPr>
            <w:r>
              <w:rPr>
                <w:rFonts w:ascii="Calibri" w:hAnsi="Calibri"/>
              </w:rPr>
              <w:t>64</w:t>
            </w:r>
            <w:r w:rsidR="00081FDB">
              <w:rPr>
                <w:rFonts w:ascii="Calibri" w:hAnsi="Calibri"/>
              </w:rPr>
              <w:t xml:space="preserve"> </w:t>
            </w:r>
            <w:r>
              <w:rPr>
                <w:rFonts w:ascii="Calibri" w:hAnsi="Calibri"/>
              </w:rPr>
              <w:t>103</w:t>
            </w:r>
          </w:p>
          <w:p w:rsidR="00482CC8" w:rsidRDefault="00E43E39" w:rsidP="006446CA">
            <w:pPr>
              <w:pStyle w:val="Default"/>
              <w:jc w:val="center"/>
              <w:rPr>
                <w:rFonts w:ascii="Calibri" w:hAnsi="Calibri"/>
              </w:rPr>
            </w:pPr>
            <w:r>
              <w:rPr>
                <w:rFonts w:ascii="Calibri" w:hAnsi="Calibri"/>
              </w:rPr>
              <w:t xml:space="preserve">  </w:t>
            </w:r>
            <w:r w:rsidR="00482CC8">
              <w:rPr>
                <w:rFonts w:ascii="Calibri" w:hAnsi="Calibri"/>
              </w:rPr>
              <w:t>2</w:t>
            </w:r>
            <w:r w:rsidR="00E1664A">
              <w:rPr>
                <w:rFonts w:ascii="Calibri" w:hAnsi="Calibri"/>
              </w:rPr>
              <w:t> </w:t>
            </w:r>
            <w:r w:rsidR="00482CC8">
              <w:rPr>
                <w:rFonts w:ascii="Calibri" w:hAnsi="Calibri"/>
              </w:rPr>
              <w:t>564</w:t>
            </w:r>
          </w:p>
        </w:tc>
      </w:tr>
    </w:tbl>
    <w:p w:rsidR="009B6294" w:rsidRDefault="009B6294" w:rsidP="006446CA">
      <w:pPr>
        <w:pStyle w:val="Default"/>
        <w:jc w:val="both"/>
        <w:rPr>
          <w:rFonts w:ascii="Calibri" w:hAnsi="Calibri"/>
          <w:b/>
        </w:rPr>
      </w:pPr>
    </w:p>
    <w:p w:rsidR="00906B2E" w:rsidRDefault="00906B2E" w:rsidP="006446CA">
      <w:pPr>
        <w:spacing w:line="240" w:lineRule="auto"/>
        <w:rPr>
          <w:rFonts w:ascii="Calibri" w:hAnsi="Calibri"/>
          <w:b/>
        </w:rPr>
      </w:pPr>
      <w:r>
        <w:rPr>
          <w:rFonts w:ascii="Calibri" w:hAnsi="Calibri"/>
          <w:b/>
        </w:rPr>
        <w:t xml:space="preserve">Effet de la couverture </w:t>
      </w:r>
    </w:p>
    <w:p w:rsidR="00906B2E" w:rsidRPr="00C41035" w:rsidRDefault="00906B2E" w:rsidP="00C41035">
      <w:pPr>
        <w:pStyle w:val="Sansinterligne"/>
        <w:ind w:firstLine="2835"/>
        <w:rPr>
          <w:b/>
        </w:rPr>
      </w:pPr>
      <w:r w:rsidRPr="00C41035">
        <w:rPr>
          <w:b/>
        </w:rPr>
        <w:t>Compte de résultat au 31/03/N+1</w:t>
      </w:r>
    </w:p>
    <w:tbl>
      <w:tblPr>
        <w:tblStyle w:val="Grilledutableau"/>
        <w:tblW w:w="0" w:type="auto"/>
        <w:tblLook w:val="04A0"/>
      </w:tblPr>
      <w:tblGrid>
        <w:gridCol w:w="4531"/>
        <w:gridCol w:w="4531"/>
      </w:tblGrid>
      <w:tr w:rsidR="00906B2E" w:rsidRPr="00906B2E" w:rsidTr="007615AA">
        <w:tc>
          <w:tcPr>
            <w:tcW w:w="4531" w:type="dxa"/>
          </w:tcPr>
          <w:p w:rsidR="00906B2E" w:rsidRPr="00906B2E" w:rsidRDefault="00906B2E" w:rsidP="006446CA">
            <w:pPr>
              <w:pStyle w:val="Default"/>
              <w:jc w:val="center"/>
              <w:rPr>
                <w:rFonts w:ascii="Calibri" w:hAnsi="Calibri"/>
              </w:rPr>
            </w:pPr>
            <w:r>
              <w:rPr>
                <w:rFonts w:ascii="Calibri" w:hAnsi="Calibri"/>
              </w:rPr>
              <w:t>Charges</w:t>
            </w:r>
          </w:p>
        </w:tc>
        <w:tc>
          <w:tcPr>
            <w:tcW w:w="4531" w:type="dxa"/>
          </w:tcPr>
          <w:p w:rsidR="00906B2E" w:rsidRPr="00906B2E" w:rsidRDefault="00906B2E" w:rsidP="006446CA">
            <w:pPr>
              <w:pStyle w:val="Default"/>
              <w:jc w:val="center"/>
              <w:rPr>
                <w:rFonts w:ascii="Calibri" w:hAnsi="Calibri"/>
              </w:rPr>
            </w:pPr>
            <w:r>
              <w:rPr>
                <w:rFonts w:ascii="Calibri" w:hAnsi="Calibri"/>
              </w:rPr>
              <w:t>Produits</w:t>
            </w:r>
          </w:p>
        </w:tc>
      </w:tr>
      <w:tr w:rsidR="00906B2E" w:rsidRPr="00906B2E" w:rsidTr="007615AA">
        <w:tc>
          <w:tcPr>
            <w:tcW w:w="4531" w:type="dxa"/>
          </w:tcPr>
          <w:p w:rsidR="00906B2E" w:rsidRPr="00906B2E" w:rsidRDefault="00906B2E" w:rsidP="006446CA">
            <w:pPr>
              <w:pStyle w:val="Default"/>
              <w:jc w:val="center"/>
              <w:rPr>
                <w:rFonts w:ascii="Calibri" w:hAnsi="Calibri"/>
              </w:rPr>
            </w:pPr>
            <w:r>
              <w:rPr>
                <w:rFonts w:ascii="Calibri" w:hAnsi="Calibri"/>
              </w:rPr>
              <w:t>Compte 656 = 2 564</w:t>
            </w:r>
          </w:p>
        </w:tc>
        <w:tc>
          <w:tcPr>
            <w:tcW w:w="4531" w:type="dxa"/>
          </w:tcPr>
          <w:p w:rsidR="00906B2E" w:rsidRPr="00906B2E" w:rsidRDefault="00906B2E" w:rsidP="006446CA">
            <w:pPr>
              <w:pStyle w:val="Default"/>
              <w:jc w:val="center"/>
              <w:rPr>
                <w:rFonts w:ascii="Calibri" w:hAnsi="Calibri"/>
              </w:rPr>
            </w:pPr>
            <w:r>
              <w:rPr>
                <w:rFonts w:ascii="Calibri" w:hAnsi="Calibri"/>
              </w:rPr>
              <w:t>Compte 756 =  2 564</w:t>
            </w:r>
          </w:p>
        </w:tc>
      </w:tr>
    </w:tbl>
    <w:p w:rsidR="00906B2E" w:rsidRDefault="00906B2E" w:rsidP="006446CA">
      <w:pPr>
        <w:spacing w:line="240" w:lineRule="auto"/>
        <w:rPr>
          <w:rFonts w:ascii="Calibri" w:hAnsi="Calibri"/>
          <w:b/>
        </w:rPr>
      </w:pPr>
    </w:p>
    <w:p w:rsidR="000153E2" w:rsidRDefault="00E572FE" w:rsidP="006446CA">
      <w:pPr>
        <w:spacing w:line="240" w:lineRule="auto"/>
        <w:rPr>
          <w:rFonts w:ascii="Calibri" w:hAnsi="Calibri"/>
          <w:b/>
        </w:rPr>
      </w:pPr>
      <w:r>
        <w:rPr>
          <w:rFonts w:ascii="Calibri" w:hAnsi="Calibri"/>
          <w:b/>
        </w:rPr>
        <w:t xml:space="preserve">Remarque : </w:t>
      </w:r>
    </w:p>
    <w:tbl>
      <w:tblPr>
        <w:tblStyle w:val="Grilledutableau"/>
        <w:tblW w:w="9889" w:type="dxa"/>
        <w:tblLook w:val="04A0"/>
      </w:tblPr>
      <w:tblGrid>
        <w:gridCol w:w="9889"/>
      </w:tblGrid>
      <w:tr w:rsidR="000153E2" w:rsidTr="00C41035">
        <w:trPr>
          <w:trHeight w:val="2375"/>
        </w:trPr>
        <w:tc>
          <w:tcPr>
            <w:tcW w:w="9889" w:type="dxa"/>
          </w:tcPr>
          <w:p w:rsidR="008F76F2" w:rsidRDefault="000153E2" w:rsidP="006446CA">
            <w:pPr>
              <w:jc w:val="both"/>
              <w:rPr>
                <w:rFonts w:ascii="Calibri" w:hAnsi="Calibri"/>
                <w:b/>
                <w:i/>
              </w:rPr>
            </w:pPr>
            <w:r w:rsidRPr="000153E2">
              <w:rPr>
                <w:rFonts w:ascii="Calibri" w:hAnsi="Calibri" w:cs="Times New Roman"/>
                <w:i/>
                <w:color w:val="000000"/>
                <w:sz w:val="24"/>
                <w:szCs w:val="24"/>
              </w:rPr>
              <w:t>Art</w:t>
            </w:r>
            <w:r w:rsidR="00FE384A">
              <w:rPr>
                <w:rFonts w:ascii="Calibri" w:hAnsi="Calibri" w:cs="Times New Roman"/>
                <w:i/>
                <w:color w:val="000000"/>
                <w:sz w:val="24"/>
                <w:szCs w:val="24"/>
              </w:rPr>
              <w:t>.</w:t>
            </w:r>
            <w:r w:rsidR="00E1664A">
              <w:rPr>
                <w:rFonts w:ascii="Calibri" w:hAnsi="Calibri" w:cs="Times New Roman"/>
                <w:i/>
                <w:color w:val="000000"/>
                <w:sz w:val="24"/>
                <w:szCs w:val="24"/>
              </w:rPr>
              <w:t> </w:t>
            </w:r>
            <w:r w:rsidRPr="000153E2">
              <w:rPr>
                <w:rFonts w:ascii="Calibri" w:hAnsi="Calibri" w:cs="Times New Roman"/>
                <w:i/>
                <w:color w:val="000000"/>
                <w:sz w:val="24"/>
                <w:szCs w:val="24"/>
              </w:rPr>
              <w:t>628-13 - Report/déport du change à terme : Le report ou déport des contrats de change à terme doit être étalé dans le compte de résultat, en résultat financier, sur la durée de la couverture. Néanmoins, l’entreprise peut, sur option, pour les couvertures de transactions futures, décider de constater ce report ou déport en résultat au même moment que la transaction couverte ou dans la valeur d’entrée au bilan de l’élément couvert, lorsque la relation de couverture réduit le risque en quasi-totalité. La méthode comptable retenue doit être cohérente avec celle relative aux primes d’option de change prévue à l’article</w:t>
            </w:r>
            <w:r w:rsidR="00E1664A">
              <w:rPr>
                <w:rFonts w:ascii="Calibri" w:hAnsi="Calibri" w:cs="Times New Roman"/>
                <w:i/>
                <w:color w:val="000000"/>
                <w:sz w:val="24"/>
                <w:szCs w:val="24"/>
              </w:rPr>
              <w:t> </w:t>
            </w:r>
            <w:r w:rsidRPr="000153E2">
              <w:rPr>
                <w:rFonts w:ascii="Calibri" w:hAnsi="Calibri" w:cs="Times New Roman"/>
                <w:i/>
                <w:color w:val="000000"/>
                <w:sz w:val="24"/>
                <w:szCs w:val="24"/>
              </w:rPr>
              <w:t>628-12. Ce choix de méthode comptable est soumis à l’article</w:t>
            </w:r>
            <w:r w:rsidR="00E1664A">
              <w:rPr>
                <w:rFonts w:ascii="Calibri" w:hAnsi="Calibri" w:cs="Times New Roman"/>
                <w:i/>
                <w:color w:val="000000"/>
                <w:sz w:val="24"/>
                <w:szCs w:val="24"/>
              </w:rPr>
              <w:t> </w:t>
            </w:r>
            <w:r w:rsidRPr="000153E2">
              <w:rPr>
                <w:rFonts w:ascii="Calibri" w:hAnsi="Calibri" w:cs="Times New Roman"/>
                <w:i/>
                <w:color w:val="000000"/>
                <w:sz w:val="24"/>
                <w:szCs w:val="24"/>
              </w:rPr>
              <w:t>122-2.</w:t>
            </w:r>
          </w:p>
        </w:tc>
      </w:tr>
    </w:tbl>
    <w:p w:rsidR="000153E2" w:rsidRDefault="000153E2" w:rsidP="006446CA">
      <w:pPr>
        <w:spacing w:line="240" w:lineRule="auto"/>
        <w:rPr>
          <w:rFonts w:ascii="Calibri" w:hAnsi="Calibri"/>
          <w:b/>
        </w:rPr>
      </w:pPr>
    </w:p>
    <w:p w:rsidR="00757A43" w:rsidRDefault="000153E2" w:rsidP="00F22A3C">
      <w:pPr>
        <w:spacing w:line="240" w:lineRule="auto"/>
        <w:jc w:val="both"/>
        <w:rPr>
          <w:rFonts w:ascii="Calibri" w:hAnsi="Calibri"/>
          <w:sz w:val="24"/>
          <w:szCs w:val="24"/>
        </w:rPr>
      </w:pPr>
      <w:r w:rsidRPr="000153E2">
        <w:rPr>
          <w:rFonts w:ascii="Calibri" w:hAnsi="Calibri"/>
          <w:sz w:val="24"/>
          <w:szCs w:val="24"/>
        </w:rPr>
        <w:t>C’est l’option de constater le report/déport en résultat</w:t>
      </w:r>
      <w:r>
        <w:rPr>
          <w:rFonts w:ascii="Calibri" w:hAnsi="Calibri"/>
          <w:sz w:val="24"/>
          <w:szCs w:val="24"/>
        </w:rPr>
        <w:t xml:space="preserve"> d’exploitation qui a été choisie</w:t>
      </w:r>
      <w:r w:rsidRPr="000153E2">
        <w:rPr>
          <w:rFonts w:ascii="Calibri" w:hAnsi="Calibri"/>
          <w:sz w:val="24"/>
          <w:szCs w:val="24"/>
        </w:rPr>
        <w:t>, car la relation de couverture retenue dans l’exemple réduit en totalité le risque de change</w:t>
      </w:r>
      <w:r>
        <w:rPr>
          <w:rFonts w:ascii="Calibri" w:hAnsi="Calibri"/>
          <w:b/>
        </w:rPr>
        <w:t xml:space="preserve">. </w:t>
      </w:r>
      <w:r w:rsidR="00081FDB">
        <w:rPr>
          <w:rFonts w:ascii="Calibri" w:hAnsi="Calibri"/>
          <w:sz w:val="24"/>
          <w:szCs w:val="24"/>
        </w:rPr>
        <w:t>À</w:t>
      </w:r>
      <w:r w:rsidR="00081FDB" w:rsidRPr="00757A43">
        <w:rPr>
          <w:rFonts w:ascii="Calibri" w:hAnsi="Calibri"/>
          <w:sz w:val="24"/>
          <w:szCs w:val="24"/>
        </w:rPr>
        <w:t xml:space="preserve"> </w:t>
      </w:r>
      <w:r w:rsidRPr="00757A43">
        <w:rPr>
          <w:rFonts w:ascii="Calibri" w:hAnsi="Calibri"/>
          <w:sz w:val="24"/>
          <w:szCs w:val="24"/>
        </w:rPr>
        <w:t xml:space="preserve">défaut, </w:t>
      </w:r>
      <w:r w:rsidR="00757A43" w:rsidRPr="00757A43">
        <w:rPr>
          <w:rFonts w:ascii="Calibri" w:hAnsi="Calibri"/>
          <w:sz w:val="24"/>
          <w:szCs w:val="24"/>
        </w:rPr>
        <w:t>le report/déport aurait été amorti en linéaire sur la durée de vie du dérivé (la vente à terme) et comptabilisé en résultat financier sur la durée de couverture :</w:t>
      </w:r>
    </w:p>
    <w:p w:rsidR="00757A43" w:rsidRDefault="00757A43" w:rsidP="00F22A3C">
      <w:pPr>
        <w:pStyle w:val="Paragraphedeliste"/>
        <w:numPr>
          <w:ilvl w:val="0"/>
          <w:numId w:val="1"/>
        </w:numPr>
        <w:spacing w:line="240" w:lineRule="auto"/>
        <w:jc w:val="both"/>
        <w:rPr>
          <w:rFonts w:ascii="Calibri" w:hAnsi="Calibri"/>
          <w:sz w:val="24"/>
          <w:szCs w:val="24"/>
        </w:rPr>
      </w:pPr>
      <w:r>
        <w:rPr>
          <w:rFonts w:ascii="Calibri" w:hAnsi="Calibri"/>
          <w:sz w:val="24"/>
          <w:szCs w:val="24"/>
        </w:rPr>
        <w:t>Amortissement linéaire : 1 732/6,5</w:t>
      </w:r>
      <w:r w:rsidR="00E1664A">
        <w:rPr>
          <w:rFonts w:ascii="Calibri" w:hAnsi="Calibri"/>
          <w:sz w:val="24"/>
          <w:szCs w:val="24"/>
        </w:rPr>
        <w:t> </w:t>
      </w:r>
      <w:r>
        <w:rPr>
          <w:rFonts w:ascii="Calibri" w:hAnsi="Calibri"/>
          <w:sz w:val="24"/>
          <w:szCs w:val="24"/>
        </w:rPr>
        <w:t>mois = 266</w:t>
      </w:r>
      <w:r w:rsidR="00E1664A">
        <w:rPr>
          <w:rFonts w:ascii="Calibri" w:hAnsi="Calibri"/>
          <w:sz w:val="24"/>
          <w:szCs w:val="24"/>
        </w:rPr>
        <w:t> </w:t>
      </w:r>
      <w:r>
        <w:rPr>
          <w:rFonts w:ascii="Calibri" w:hAnsi="Calibri"/>
          <w:sz w:val="24"/>
          <w:szCs w:val="24"/>
        </w:rPr>
        <w:t>€.</w:t>
      </w:r>
    </w:p>
    <w:p w:rsidR="00F56B19" w:rsidRDefault="00757A43" w:rsidP="00F22A3C">
      <w:pPr>
        <w:pStyle w:val="Default"/>
        <w:jc w:val="both"/>
        <w:rPr>
          <w:rFonts w:ascii="Calibri" w:hAnsi="Calibri"/>
          <w:b/>
        </w:rPr>
      </w:pPr>
      <w:r w:rsidRPr="00B9270E">
        <w:rPr>
          <w:rFonts w:ascii="Calibri" w:hAnsi="Calibri"/>
        </w:rPr>
        <w:t>Résultat financier N : 934</w:t>
      </w:r>
      <w:r w:rsidR="00E1664A" w:rsidRPr="00B9270E">
        <w:rPr>
          <w:rFonts w:ascii="Calibri" w:hAnsi="Calibri"/>
        </w:rPr>
        <w:t> </w:t>
      </w:r>
      <w:r w:rsidRPr="00B9270E">
        <w:rPr>
          <w:rFonts w:ascii="Calibri" w:hAnsi="Calibri"/>
        </w:rPr>
        <w:t>€ (266 x 3,5</w:t>
      </w:r>
      <w:r w:rsidR="00E1664A" w:rsidRPr="00B9270E">
        <w:rPr>
          <w:rFonts w:ascii="Calibri" w:hAnsi="Calibri"/>
        </w:rPr>
        <w:t> </w:t>
      </w:r>
      <w:r w:rsidRPr="00B9270E">
        <w:rPr>
          <w:rFonts w:ascii="Calibri" w:hAnsi="Calibri"/>
        </w:rPr>
        <w:t>mois) et N+1 : 798 € (266 x 3</w:t>
      </w:r>
      <w:r w:rsidR="00E1664A" w:rsidRPr="001C3C08">
        <w:rPr>
          <w:rFonts w:ascii="Calibri" w:hAnsi="Calibri"/>
        </w:rPr>
        <w:t> </w:t>
      </w:r>
      <w:r w:rsidRPr="001C3C08">
        <w:rPr>
          <w:rFonts w:ascii="Calibri" w:hAnsi="Calibri"/>
        </w:rPr>
        <w:t>mois)</w:t>
      </w:r>
      <w:r w:rsidR="00D7540F" w:rsidRPr="00314C32">
        <w:rPr>
          <w:rFonts w:ascii="Calibri" w:hAnsi="Calibri"/>
        </w:rPr>
        <w:t>.</w:t>
      </w:r>
    </w:p>
    <w:p w:rsidR="00325DA6" w:rsidRDefault="00325DA6" w:rsidP="006446CA">
      <w:pPr>
        <w:pStyle w:val="Default"/>
        <w:jc w:val="both"/>
        <w:rPr>
          <w:rFonts w:ascii="Calibri" w:hAnsi="Calibri"/>
          <w:b/>
          <w:sz w:val="36"/>
        </w:rPr>
      </w:pPr>
    </w:p>
    <w:p w:rsidR="00317BF7" w:rsidRPr="003F3340" w:rsidRDefault="00B8399A" w:rsidP="006446CA">
      <w:pPr>
        <w:pStyle w:val="Default"/>
        <w:jc w:val="both"/>
        <w:rPr>
          <w:rFonts w:ascii="Calibri" w:hAnsi="Calibri"/>
          <w:b/>
          <w:sz w:val="36"/>
        </w:rPr>
      </w:pPr>
      <w:r w:rsidRPr="003F3340">
        <w:rPr>
          <w:rFonts w:ascii="Calibri" w:hAnsi="Calibri"/>
          <w:b/>
          <w:sz w:val="36"/>
        </w:rPr>
        <w:t>Conclusion</w:t>
      </w:r>
    </w:p>
    <w:p w:rsidR="00C41035" w:rsidRDefault="00C41035" w:rsidP="006446CA">
      <w:pPr>
        <w:pStyle w:val="Default"/>
        <w:jc w:val="both"/>
        <w:rPr>
          <w:rFonts w:asciiTheme="minorHAnsi" w:hAnsiTheme="minorHAnsi"/>
        </w:rPr>
      </w:pPr>
    </w:p>
    <w:p w:rsidR="002C4B95" w:rsidRDefault="00646DA3" w:rsidP="006446CA">
      <w:pPr>
        <w:pStyle w:val="Default"/>
        <w:jc w:val="both"/>
        <w:rPr>
          <w:rFonts w:asciiTheme="minorHAnsi" w:hAnsiTheme="minorHAnsi"/>
        </w:rPr>
      </w:pPr>
      <w:r w:rsidRPr="003B5DBC">
        <w:rPr>
          <w:rFonts w:asciiTheme="minorHAnsi" w:hAnsiTheme="minorHAnsi"/>
          <w:color w:val="auto"/>
        </w:rPr>
        <w:t>Dans cet article, n</w:t>
      </w:r>
      <w:r w:rsidR="00B8399A" w:rsidRPr="003B5DBC">
        <w:rPr>
          <w:rFonts w:asciiTheme="minorHAnsi" w:hAnsiTheme="minorHAnsi"/>
          <w:color w:val="auto"/>
        </w:rPr>
        <w:t>ous n’av</w:t>
      </w:r>
      <w:r w:rsidR="004B40BB" w:rsidRPr="003B5DBC">
        <w:rPr>
          <w:rFonts w:asciiTheme="minorHAnsi" w:hAnsiTheme="minorHAnsi"/>
          <w:color w:val="auto"/>
        </w:rPr>
        <w:t xml:space="preserve">ons </w:t>
      </w:r>
      <w:r w:rsidR="00B8399A" w:rsidRPr="003B5DBC">
        <w:rPr>
          <w:rFonts w:asciiTheme="minorHAnsi" w:hAnsiTheme="minorHAnsi"/>
          <w:color w:val="auto"/>
        </w:rPr>
        <w:t>abordé succinctement qu’un aspect du règlement : le risque de</w:t>
      </w:r>
      <w:r w:rsidR="00B8399A">
        <w:rPr>
          <w:rFonts w:asciiTheme="minorHAnsi" w:hAnsiTheme="minorHAnsi"/>
        </w:rPr>
        <w:t xml:space="preserve"> change.</w:t>
      </w:r>
      <w:r w:rsidR="00724F12">
        <w:rPr>
          <w:rFonts w:asciiTheme="minorHAnsi" w:hAnsiTheme="minorHAnsi"/>
        </w:rPr>
        <w:t xml:space="preserve"> L’objectif était de donner une illustration des implications comptables de ce texte</w:t>
      </w:r>
      <w:r w:rsidR="002C4B95">
        <w:rPr>
          <w:rFonts w:asciiTheme="minorHAnsi" w:hAnsiTheme="minorHAnsi"/>
        </w:rPr>
        <w:t>, et de montrer à l’aide d’exemples les principes sur lesquels</w:t>
      </w:r>
      <w:r w:rsidR="00093FE0">
        <w:rPr>
          <w:rFonts w:asciiTheme="minorHAnsi" w:hAnsiTheme="minorHAnsi"/>
        </w:rPr>
        <w:t xml:space="preserve"> s’est appuyé</w:t>
      </w:r>
      <w:r w:rsidR="002C4B95">
        <w:rPr>
          <w:rFonts w:asciiTheme="minorHAnsi" w:hAnsiTheme="minorHAnsi"/>
        </w:rPr>
        <w:t xml:space="preserve"> l’ANC. </w:t>
      </w:r>
    </w:p>
    <w:p w:rsidR="00F22A3C" w:rsidRDefault="00F22A3C" w:rsidP="006446CA">
      <w:pPr>
        <w:pStyle w:val="Default"/>
        <w:jc w:val="both"/>
        <w:rPr>
          <w:rFonts w:asciiTheme="minorHAnsi" w:hAnsiTheme="minorHAnsi"/>
        </w:rPr>
      </w:pPr>
    </w:p>
    <w:p w:rsidR="00053E95" w:rsidRDefault="002C4B95" w:rsidP="006446CA">
      <w:pPr>
        <w:pStyle w:val="Default"/>
        <w:jc w:val="both"/>
        <w:rPr>
          <w:rFonts w:asciiTheme="minorHAnsi" w:hAnsiTheme="minorHAnsi"/>
        </w:rPr>
      </w:pPr>
      <w:r>
        <w:rPr>
          <w:rFonts w:asciiTheme="minorHAnsi" w:hAnsiTheme="minorHAnsi"/>
        </w:rPr>
        <w:t>Néanmoins, f</w:t>
      </w:r>
      <w:r w:rsidR="00B8399A">
        <w:rPr>
          <w:rFonts w:asciiTheme="minorHAnsi" w:hAnsiTheme="minorHAnsi"/>
        </w:rPr>
        <w:t xml:space="preserve">orce est de constater que </w:t>
      </w:r>
      <w:r>
        <w:rPr>
          <w:rFonts w:asciiTheme="minorHAnsi" w:hAnsiTheme="minorHAnsi"/>
        </w:rPr>
        <w:t xml:space="preserve">ces nouvelles règles </w:t>
      </w:r>
      <w:r w:rsidR="00054EDC">
        <w:rPr>
          <w:rFonts w:asciiTheme="minorHAnsi" w:hAnsiTheme="minorHAnsi"/>
        </w:rPr>
        <w:t xml:space="preserve"> </w:t>
      </w:r>
      <w:r>
        <w:rPr>
          <w:rFonts w:asciiTheme="minorHAnsi" w:hAnsiTheme="minorHAnsi"/>
        </w:rPr>
        <w:t>sont</w:t>
      </w:r>
      <w:r w:rsidR="00B8399A">
        <w:rPr>
          <w:rFonts w:asciiTheme="minorHAnsi" w:hAnsiTheme="minorHAnsi"/>
        </w:rPr>
        <w:t xml:space="preserve"> complexe</w:t>
      </w:r>
      <w:r>
        <w:rPr>
          <w:rFonts w:asciiTheme="minorHAnsi" w:hAnsiTheme="minorHAnsi"/>
        </w:rPr>
        <w:t>s</w:t>
      </w:r>
      <w:r w:rsidR="00B8399A">
        <w:rPr>
          <w:rFonts w:asciiTheme="minorHAnsi" w:hAnsiTheme="minorHAnsi"/>
        </w:rPr>
        <w:t xml:space="preserve"> pour les lecteurs qui ne sont pas</w:t>
      </w:r>
      <w:r w:rsidR="00D7540F">
        <w:rPr>
          <w:rFonts w:asciiTheme="minorHAnsi" w:hAnsiTheme="minorHAnsi"/>
        </w:rPr>
        <w:t xml:space="preserve"> totalement</w:t>
      </w:r>
      <w:r w:rsidR="00B8399A">
        <w:rPr>
          <w:rFonts w:asciiTheme="minorHAnsi" w:hAnsiTheme="minorHAnsi"/>
        </w:rPr>
        <w:t xml:space="preserve"> au fait des opérations de couverture (</w:t>
      </w:r>
      <w:r w:rsidR="00B9270E">
        <w:rPr>
          <w:rFonts w:asciiTheme="minorHAnsi" w:hAnsiTheme="minorHAnsi"/>
          <w:i/>
        </w:rPr>
        <w:t>s</w:t>
      </w:r>
      <w:r w:rsidR="00724F12" w:rsidRPr="00724F12">
        <w:rPr>
          <w:rFonts w:asciiTheme="minorHAnsi" w:hAnsiTheme="minorHAnsi"/>
          <w:i/>
        </w:rPr>
        <w:t>waps, c</w:t>
      </w:r>
      <w:r w:rsidR="00D7540F">
        <w:rPr>
          <w:rFonts w:asciiTheme="minorHAnsi" w:hAnsiTheme="minorHAnsi"/>
          <w:i/>
        </w:rPr>
        <w:t xml:space="preserve">aps, options, </w:t>
      </w:r>
      <w:proofErr w:type="spellStart"/>
      <w:r w:rsidR="00D7540F">
        <w:rPr>
          <w:rFonts w:asciiTheme="minorHAnsi" w:hAnsiTheme="minorHAnsi"/>
          <w:i/>
        </w:rPr>
        <w:t>strike</w:t>
      </w:r>
      <w:proofErr w:type="spellEnd"/>
      <w:r w:rsidR="00D7540F">
        <w:rPr>
          <w:rFonts w:asciiTheme="minorHAnsi" w:hAnsiTheme="minorHAnsi"/>
          <w:i/>
        </w:rPr>
        <w:t xml:space="preserve">, </w:t>
      </w:r>
      <w:proofErr w:type="spellStart"/>
      <w:r w:rsidR="00D7540F">
        <w:rPr>
          <w:rFonts w:asciiTheme="minorHAnsi" w:hAnsiTheme="minorHAnsi"/>
          <w:i/>
        </w:rPr>
        <w:t>floor</w:t>
      </w:r>
      <w:proofErr w:type="spellEnd"/>
      <w:r w:rsidR="00D7540F">
        <w:rPr>
          <w:rFonts w:asciiTheme="minorHAnsi" w:hAnsiTheme="minorHAnsi"/>
          <w:i/>
        </w:rPr>
        <w:t>, rol</w:t>
      </w:r>
      <w:r w:rsidR="00724F12" w:rsidRPr="00724F12">
        <w:rPr>
          <w:rFonts w:asciiTheme="minorHAnsi" w:hAnsiTheme="minorHAnsi"/>
          <w:i/>
        </w:rPr>
        <w:t>l…)</w:t>
      </w:r>
      <w:r w:rsidR="003F2D0B">
        <w:rPr>
          <w:rFonts w:asciiTheme="minorHAnsi" w:hAnsiTheme="minorHAnsi"/>
          <w:i/>
        </w:rPr>
        <w:t xml:space="preserve"> </w:t>
      </w:r>
      <w:r w:rsidR="003F2D0B" w:rsidRPr="003F2D0B">
        <w:rPr>
          <w:rFonts w:asciiTheme="minorHAnsi" w:hAnsiTheme="minorHAnsi"/>
        </w:rPr>
        <w:t>et de la gestion des risques des entreprises</w:t>
      </w:r>
      <w:r w:rsidR="00724F12">
        <w:rPr>
          <w:rFonts w:asciiTheme="minorHAnsi" w:hAnsiTheme="minorHAnsi"/>
          <w:i/>
        </w:rPr>
        <w:t>.</w:t>
      </w:r>
    </w:p>
    <w:p w:rsidR="00C41035" w:rsidRDefault="00C41035">
      <w:pPr>
        <w:rPr>
          <w:rFonts w:ascii="Calibri" w:hAnsi="Calibri" w:cs="Times New Roman"/>
          <w:b/>
          <w:color w:val="000000"/>
          <w:sz w:val="36"/>
          <w:szCs w:val="24"/>
        </w:rPr>
      </w:pPr>
      <w:r>
        <w:rPr>
          <w:rFonts w:ascii="Calibri" w:hAnsi="Calibri"/>
          <w:b/>
          <w:sz w:val="36"/>
        </w:rPr>
        <w:br w:type="page"/>
      </w:r>
    </w:p>
    <w:p w:rsidR="00F56B19" w:rsidRPr="009B6294" w:rsidRDefault="00F56B19" w:rsidP="006446CA">
      <w:pPr>
        <w:pStyle w:val="Default"/>
        <w:jc w:val="both"/>
        <w:rPr>
          <w:rFonts w:ascii="Calibri" w:hAnsi="Calibri"/>
          <w:b/>
          <w:sz w:val="36"/>
        </w:rPr>
      </w:pPr>
      <w:r w:rsidRPr="009B6294">
        <w:rPr>
          <w:rFonts w:ascii="Calibri" w:hAnsi="Calibri"/>
          <w:b/>
          <w:sz w:val="36"/>
        </w:rPr>
        <w:lastRenderedPageBreak/>
        <w:t>Bibliographie</w:t>
      </w:r>
    </w:p>
    <w:p w:rsidR="00317BF7" w:rsidRDefault="00317BF7" w:rsidP="00C41035">
      <w:pPr>
        <w:pStyle w:val="Default"/>
        <w:jc w:val="both"/>
        <w:rPr>
          <w:rFonts w:ascii="Calibri" w:hAnsi="Calibri"/>
        </w:rPr>
      </w:pPr>
    </w:p>
    <w:p w:rsidR="00317BF7" w:rsidRDefault="0018333F" w:rsidP="00C41035">
      <w:pPr>
        <w:pStyle w:val="Default"/>
        <w:jc w:val="both"/>
        <w:rPr>
          <w:rFonts w:ascii="Calibri" w:hAnsi="Calibri"/>
        </w:rPr>
      </w:pPr>
      <w:r>
        <w:rPr>
          <w:rFonts w:ascii="Calibri" w:hAnsi="Calibri"/>
        </w:rPr>
        <w:t>ANC (2015</w:t>
      </w:r>
      <w:r w:rsidRPr="0018333F">
        <w:rPr>
          <w:rFonts w:ascii="Calibri" w:hAnsi="Calibri"/>
          <w:i/>
        </w:rPr>
        <w:t>).</w:t>
      </w:r>
      <w:r w:rsidR="00317BF7" w:rsidRPr="0018333F">
        <w:rPr>
          <w:rFonts w:ascii="Calibri" w:hAnsi="Calibri"/>
          <w:i/>
        </w:rPr>
        <w:t xml:space="preserve"> Règlement ANC 2015-05 du 2</w:t>
      </w:r>
      <w:r w:rsidR="00FE384A">
        <w:rPr>
          <w:rFonts w:ascii="Calibri" w:hAnsi="Calibri"/>
          <w:i/>
        </w:rPr>
        <w:t> juillet</w:t>
      </w:r>
      <w:r w:rsidR="00317BF7" w:rsidRPr="0018333F">
        <w:rPr>
          <w:rFonts w:ascii="Calibri" w:hAnsi="Calibri"/>
          <w:i/>
        </w:rPr>
        <w:t xml:space="preserve"> 2015 relatif aux instruments financiers à terme et aux opérations de couverture</w:t>
      </w:r>
    </w:p>
    <w:p w:rsidR="00317BF7" w:rsidRDefault="00317BF7" w:rsidP="00C41035">
      <w:pPr>
        <w:pStyle w:val="Default"/>
        <w:jc w:val="both"/>
        <w:rPr>
          <w:rFonts w:ascii="Calibri" w:hAnsi="Calibri"/>
        </w:rPr>
      </w:pPr>
    </w:p>
    <w:p w:rsidR="00317BF7" w:rsidRDefault="0018333F" w:rsidP="00C41035">
      <w:pPr>
        <w:pStyle w:val="Default"/>
        <w:jc w:val="both"/>
        <w:rPr>
          <w:rFonts w:ascii="Calibri" w:hAnsi="Calibri"/>
          <w:i/>
        </w:rPr>
      </w:pPr>
      <w:r>
        <w:rPr>
          <w:rFonts w:ascii="Calibri" w:hAnsi="Calibri"/>
        </w:rPr>
        <w:t>ANC (2015).</w:t>
      </w:r>
      <w:r w:rsidR="00317BF7">
        <w:rPr>
          <w:rFonts w:ascii="Calibri" w:hAnsi="Calibri"/>
        </w:rPr>
        <w:t xml:space="preserve"> </w:t>
      </w:r>
      <w:r w:rsidR="00655A6E" w:rsidRPr="0018333F">
        <w:rPr>
          <w:rFonts w:ascii="Calibri" w:hAnsi="Calibri"/>
          <w:i/>
        </w:rPr>
        <w:t>Note de présentation</w:t>
      </w:r>
      <w:r w:rsidR="00ED0FF7" w:rsidRPr="0018333F">
        <w:rPr>
          <w:rFonts w:ascii="Calibri" w:hAnsi="Calibri"/>
          <w:i/>
        </w:rPr>
        <w:t xml:space="preserve"> REGLEMENT N</w:t>
      </w:r>
      <w:r w:rsidR="00FE384A">
        <w:rPr>
          <w:rFonts w:ascii="Calibri" w:hAnsi="Calibri"/>
          <w:i/>
          <w:vertAlign w:val="superscript"/>
        </w:rPr>
        <w:t>o</w:t>
      </w:r>
      <w:r w:rsidR="00FE384A" w:rsidRPr="0018333F">
        <w:rPr>
          <w:rFonts w:ascii="Calibri" w:hAnsi="Calibri"/>
          <w:i/>
        </w:rPr>
        <w:t xml:space="preserve"> </w:t>
      </w:r>
      <w:r w:rsidR="00ED0FF7" w:rsidRPr="0018333F">
        <w:rPr>
          <w:rFonts w:ascii="Calibri" w:hAnsi="Calibri"/>
          <w:i/>
        </w:rPr>
        <w:t>2015-05 DU 2</w:t>
      </w:r>
      <w:r w:rsidR="00FE384A">
        <w:rPr>
          <w:rFonts w:ascii="Calibri" w:hAnsi="Calibri"/>
          <w:i/>
        </w:rPr>
        <w:t> </w:t>
      </w:r>
      <w:r w:rsidR="00ED0FF7" w:rsidRPr="0018333F">
        <w:rPr>
          <w:rFonts w:ascii="Calibri" w:hAnsi="Calibri"/>
          <w:i/>
        </w:rPr>
        <w:t>JUILLET 2015 relatif aux instruments financiers à terme et aux opérations de couverture</w:t>
      </w:r>
    </w:p>
    <w:p w:rsidR="00C357F1" w:rsidRDefault="00C357F1" w:rsidP="00C41035">
      <w:pPr>
        <w:pStyle w:val="Default"/>
        <w:jc w:val="both"/>
        <w:rPr>
          <w:rFonts w:ascii="Calibri" w:hAnsi="Calibri"/>
          <w:i/>
        </w:rPr>
      </w:pPr>
    </w:p>
    <w:p w:rsidR="00C357F1" w:rsidRPr="00C357F1" w:rsidRDefault="00C357F1" w:rsidP="00C41035">
      <w:pPr>
        <w:pStyle w:val="Default"/>
        <w:jc w:val="both"/>
        <w:rPr>
          <w:rFonts w:ascii="Calibri" w:hAnsi="Calibri"/>
        </w:rPr>
      </w:pPr>
      <w:proofErr w:type="spellStart"/>
      <w:r>
        <w:rPr>
          <w:rFonts w:ascii="Calibri" w:hAnsi="Calibri"/>
        </w:rPr>
        <w:t>Barnetto</w:t>
      </w:r>
      <w:proofErr w:type="spellEnd"/>
      <w:r>
        <w:rPr>
          <w:rFonts w:ascii="Calibri" w:hAnsi="Calibri"/>
        </w:rPr>
        <w:t xml:space="preserve">, P., Gregorio, G. </w:t>
      </w:r>
      <w:r w:rsidR="00165456" w:rsidRPr="00165456">
        <w:rPr>
          <w:rFonts w:ascii="Calibri" w:hAnsi="Calibri"/>
          <w:i/>
        </w:rPr>
        <w:t>Finance en 32 fiches</w:t>
      </w:r>
      <w:r>
        <w:rPr>
          <w:rFonts w:ascii="Calibri" w:hAnsi="Calibri"/>
        </w:rPr>
        <w:t xml:space="preserve">. DSCG2 Express. L’essentiel en fiches. </w:t>
      </w:r>
      <w:proofErr w:type="gramStart"/>
      <w:r>
        <w:rPr>
          <w:rFonts w:ascii="Calibri" w:hAnsi="Calibri"/>
        </w:rPr>
        <w:t>Paris ,</w:t>
      </w:r>
      <w:proofErr w:type="spellStart"/>
      <w:r>
        <w:rPr>
          <w:rFonts w:ascii="Calibri" w:hAnsi="Calibri"/>
        </w:rPr>
        <w:t>Dunod</w:t>
      </w:r>
      <w:proofErr w:type="spellEnd"/>
      <w:proofErr w:type="gramEnd"/>
    </w:p>
    <w:p w:rsidR="005033A4" w:rsidRDefault="005033A4" w:rsidP="00C41035">
      <w:pPr>
        <w:pStyle w:val="Default"/>
        <w:jc w:val="both"/>
        <w:rPr>
          <w:rFonts w:ascii="Calibri" w:hAnsi="Calibri"/>
          <w:i/>
        </w:rPr>
      </w:pPr>
    </w:p>
    <w:p w:rsidR="005033A4" w:rsidRDefault="005033A4" w:rsidP="00C41035">
      <w:pPr>
        <w:pStyle w:val="Default"/>
        <w:jc w:val="both"/>
        <w:rPr>
          <w:rFonts w:ascii="Calibri" w:hAnsi="Calibri"/>
        </w:rPr>
      </w:pPr>
      <w:r w:rsidRPr="005033A4">
        <w:rPr>
          <w:rFonts w:ascii="Calibri" w:hAnsi="Calibri"/>
        </w:rPr>
        <w:t>Fontaine</w:t>
      </w:r>
      <w:r>
        <w:rPr>
          <w:rFonts w:ascii="Calibri" w:hAnsi="Calibri"/>
        </w:rPr>
        <w:t xml:space="preserve">, P. (2010). </w:t>
      </w:r>
      <w:r w:rsidRPr="005033A4">
        <w:rPr>
          <w:rFonts w:ascii="Calibri" w:hAnsi="Calibri"/>
          <w:i/>
        </w:rPr>
        <w:t>Risque de change : gestion et couverture</w:t>
      </w:r>
      <w:r>
        <w:rPr>
          <w:rFonts w:ascii="Calibri" w:hAnsi="Calibri"/>
        </w:rPr>
        <w:t xml:space="preserve">. Gestion Poche. Paris,  </w:t>
      </w:r>
      <w:proofErr w:type="spellStart"/>
      <w:r>
        <w:rPr>
          <w:rFonts w:ascii="Calibri" w:hAnsi="Calibri"/>
        </w:rPr>
        <w:t>Economica</w:t>
      </w:r>
      <w:proofErr w:type="spellEnd"/>
      <w:r>
        <w:rPr>
          <w:rFonts w:ascii="Calibri" w:hAnsi="Calibri"/>
        </w:rPr>
        <w:t>.</w:t>
      </w:r>
    </w:p>
    <w:p w:rsidR="00317BF7" w:rsidRDefault="00317BF7" w:rsidP="00C41035">
      <w:pPr>
        <w:pStyle w:val="Default"/>
        <w:jc w:val="both"/>
        <w:rPr>
          <w:rFonts w:ascii="Calibri" w:hAnsi="Calibri"/>
        </w:rPr>
      </w:pPr>
    </w:p>
    <w:p w:rsidR="00317BF7" w:rsidRPr="00171B00" w:rsidRDefault="004641D7" w:rsidP="00C41035">
      <w:pPr>
        <w:pStyle w:val="Default"/>
        <w:jc w:val="both"/>
        <w:rPr>
          <w:rFonts w:ascii="Calibri" w:hAnsi="Calibri"/>
        </w:rPr>
      </w:pPr>
      <w:r>
        <w:rPr>
          <w:rFonts w:ascii="Calibri" w:hAnsi="Calibri"/>
        </w:rPr>
        <w:t>Guillard</w:t>
      </w:r>
      <w:r w:rsidR="00FE384A">
        <w:rPr>
          <w:rFonts w:ascii="Calibri" w:hAnsi="Calibri"/>
        </w:rPr>
        <w:t xml:space="preserve">, </w:t>
      </w:r>
      <w:r>
        <w:rPr>
          <w:rFonts w:ascii="Calibri" w:hAnsi="Calibri"/>
        </w:rPr>
        <w:t>V</w:t>
      </w:r>
      <w:r w:rsidR="00FE384A">
        <w:rPr>
          <w:rFonts w:ascii="Calibri" w:hAnsi="Calibri"/>
        </w:rPr>
        <w:t>.</w:t>
      </w:r>
      <w:r>
        <w:rPr>
          <w:rFonts w:ascii="Calibri" w:hAnsi="Calibri"/>
        </w:rPr>
        <w:t xml:space="preserve"> et Vi</w:t>
      </w:r>
      <w:r w:rsidR="003416E0">
        <w:rPr>
          <w:rFonts w:ascii="Calibri" w:hAnsi="Calibri"/>
        </w:rPr>
        <w:t>ncent</w:t>
      </w:r>
      <w:r w:rsidR="00FE384A">
        <w:rPr>
          <w:rFonts w:ascii="Calibri" w:hAnsi="Calibri"/>
        </w:rPr>
        <w:t xml:space="preserve">, </w:t>
      </w:r>
      <w:r w:rsidR="003416E0">
        <w:rPr>
          <w:rFonts w:ascii="Calibri" w:hAnsi="Calibri"/>
        </w:rPr>
        <w:t>M</w:t>
      </w:r>
      <w:r w:rsidR="00FE384A">
        <w:rPr>
          <w:rFonts w:ascii="Calibri" w:hAnsi="Calibri"/>
        </w:rPr>
        <w:t>.</w:t>
      </w:r>
      <w:r w:rsidR="003416E0">
        <w:rPr>
          <w:rFonts w:ascii="Calibri" w:hAnsi="Calibri"/>
        </w:rPr>
        <w:t xml:space="preserve"> (2016).</w:t>
      </w:r>
      <w:r w:rsidR="00317BF7" w:rsidRPr="00171B00">
        <w:rPr>
          <w:rFonts w:ascii="Calibri" w:hAnsi="Calibri"/>
        </w:rPr>
        <w:t xml:space="preserve"> Opérations de couverture en principes français : quels changements en 2017. </w:t>
      </w:r>
      <w:r w:rsidR="00317BF7" w:rsidRPr="00DB11E2">
        <w:rPr>
          <w:rFonts w:ascii="Calibri" w:hAnsi="Calibri"/>
          <w:i/>
        </w:rPr>
        <w:t>Revue française de comptabilité, octobre 2016, n</w:t>
      </w:r>
      <w:r w:rsidR="00FE384A">
        <w:rPr>
          <w:rFonts w:ascii="Calibri" w:hAnsi="Calibri"/>
          <w:i/>
          <w:vertAlign w:val="superscript"/>
        </w:rPr>
        <w:t>o</w:t>
      </w:r>
      <w:r w:rsidR="00E1664A">
        <w:rPr>
          <w:rFonts w:ascii="Calibri" w:hAnsi="Calibri"/>
          <w:i/>
          <w:vertAlign w:val="superscript"/>
        </w:rPr>
        <w:t> </w:t>
      </w:r>
      <w:r w:rsidR="00317BF7" w:rsidRPr="00DB11E2">
        <w:rPr>
          <w:rFonts w:ascii="Calibri" w:hAnsi="Calibri"/>
          <w:i/>
        </w:rPr>
        <w:t>502.</w:t>
      </w:r>
    </w:p>
    <w:p w:rsidR="0055023A" w:rsidRDefault="0055023A" w:rsidP="00C41035">
      <w:pPr>
        <w:pStyle w:val="Default"/>
        <w:jc w:val="both"/>
        <w:rPr>
          <w:rFonts w:ascii="Calibri" w:hAnsi="Calibri"/>
        </w:rPr>
      </w:pPr>
    </w:p>
    <w:p w:rsidR="00171B00" w:rsidRPr="003416E0" w:rsidRDefault="0055023A" w:rsidP="00C41035">
      <w:pPr>
        <w:pStyle w:val="Default"/>
        <w:jc w:val="both"/>
        <w:rPr>
          <w:rFonts w:ascii="Calibri" w:hAnsi="Calibri"/>
          <w:i/>
        </w:rPr>
      </w:pPr>
      <w:proofErr w:type="spellStart"/>
      <w:r>
        <w:rPr>
          <w:rFonts w:ascii="Calibri" w:hAnsi="Calibri"/>
        </w:rPr>
        <w:t>Sa</w:t>
      </w:r>
      <w:r w:rsidR="003416E0">
        <w:rPr>
          <w:rFonts w:ascii="Calibri" w:hAnsi="Calibri"/>
        </w:rPr>
        <w:t>pet</w:t>
      </w:r>
      <w:proofErr w:type="spellEnd"/>
      <w:r w:rsidR="003416E0">
        <w:rPr>
          <w:rFonts w:ascii="Calibri" w:hAnsi="Calibri"/>
        </w:rPr>
        <w:t>, I</w:t>
      </w:r>
      <w:r w:rsidR="00FE384A">
        <w:rPr>
          <w:rFonts w:ascii="Calibri" w:hAnsi="Calibri"/>
        </w:rPr>
        <w:t>.</w:t>
      </w:r>
      <w:r w:rsidR="003416E0">
        <w:rPr>
          <w:rFonts w:ascii="Calibri" w:hAnsi="Calibri"/>
        </w:rPr>
        <w:t>, Vincent, M</w:t>
      </w:r>
      <w:r w:rsidR="00FE384A">
        <w:rPr>
          <w:rFonts w:ascii="Calibri" w:hAnsi="Calibri"/>
        </w:rPr>
        <w:t>.</w:t>
      </w:r>
      <w:r w:rsidR="003416E0">
        <w:rPr>
          <w:rFonts w:ascii="Calibri" w:hAnsi="Calibri"/>
        </w:rPr>
        <w:t xml:space="preserve"> (2016). </w:t>
      </w:r>
      <w:r w:rsidR="00171B00" w:rsidRPr="00171B00">
        <w:rPr>
          <w:rFonts w:ascii="Calibri" w:hAnsi="Calibri"/>
        </w:rPr>
        <w:t xml:space="preserve">Instruments financiers à terme et opérations de couverture. Les nouvelles règles françaises. </w:t>
      </w:r>
      <w:r w:rsidR="00171B00" w:rsidRPr="003416E0">
        <w:rPr>
          <w:rFonts w:ascii="Calibri" w:hAnsi="Calibri"/>
          <w:i/>
        </w:rPr>
        <w:t>La revue fiduciaire comptable, N</w:t>
      </w:r>
      <w:r w:rsidR="00FE384A">
        <w:rPr>
          <w:rFonts w:ascii="Calibri" w:hAnsi="Calibri"/>
          <w:i/>
          <w:vertAlign w:val="superscript"/>
        </w:rPr>
        <w:t>o </w:t>
      </w:r>
      <w:r w:rsidR="00171B00" w:rsidRPr="003416E0">
        <w:rPr>
          <w:rFonts w:ascii="Calibri" w:hAnsi="Calibri"/>
          <w:i/>
        </w:rPr>
        <w:t>441, septembre 2016, pages</w:t>
      </w:r>
      <w:r w:rsidR="00E1664A">
        <w:rPr>
          <w:rFonts w:ascii="Calibri" w:hAnsi="Calibri"/>
          <w:i/>
        </w:rPr>
        <w:t> </w:t>
      </w:r>
      <w:r w:rsidR="00171B00" w:rsidRPr="003416E0">
        <w:rPr>
          <w:rFonts w:ascii="Calibri" w:hAnsi="Calibri"/>
          <w:i/>
        </w:rPr>
        <w:t>52 à 60.</w:t>
      </w:r>
    </w:p>
    <w:p w:rsidR="00171B00" w:rsidRDefault="00171B00" w:rsidP="00C41035">
      <w:pPr>
        <w:pStyle w:val="Default"/>
        <w:jc w:val="both"/>
        <w:rPr>
          <w:rFonts w:ascii="Calibri" w:hAnsi="Calibri"/>
        </w:rPr>
      </w:pPr>
    </w:p>
    <w:sectPr w:rsidR="00171B00" w:rsidSect="00D25B44">
      <w:footerReference w:type="default" r:id="rId8"/>
      <w:pgSz w:w="11906" w:h="16838" w:code="9"/>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89E" w:rsidRDefault="00A1789E" w:rsidP="00C610E0">
      <w:pPr>
        <w:spacing w:after="0" w:line="240" w:lineRule="auto"/>
      </w:pPr>
      <w:r>
        <w:separator/>
      </w:r>
    </w:p>
  </w:endnote>
  <w:endnote w:type="continuationSeparator" w:id="0">
    <w:p w:rsidR="00A1789E" w:rsidRDefault="00A1789E" w:rsidP="00C610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4624022"/>
      <w:docPartObj>
        <w:docPartGallery w:val="Page Numbers (Bottom of Page)"/>
        <w:docPartUnique/>
      </w:docPartObj>
    </w:sdtPr>
    <w:sdtContent>
      <w:p w:rsidR="007615AA" w:rsidRDefault="001540D1">
        <w:pPr>
          <w:pStyle w:val="Pieddepage"/>
          <w:jc w:val="right"/>
        </w:pPr>
        <w:r>
          <w:fldChar w:fldCharType="begin"/>
        </w:r>
        <w:r w:rsidR="007615AA">
          <w:instrText>PAGE   \* MERGEFORMAT</w:instrText>
        </w:r>
        <w:r>
          <w:fldChar w:fldCharType="separate"/>
        </w:r>
        <w:r w:rsidR="00D25B44">
          <w:rPr>
            <w:noProof/>
          </w:rPr>
          <w:t>5</w:t>
        </w:r>
        <w:r>
          <w:fldChar w:fldCharType="end"/>
        </w:r>
      </w:p>
    </w:sdtContent>
  </w:sdt>
  <w:p w:rsidR="007615AA" w:rsidRDefault="007615A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89E" w:rsidRDefault="00A1789E" w:rsidP="00C610E0">
      <w:pPr>
        <w:spacing w:after="0" w:line="240" w:lineRule="auto"/>
      </w:pPr>
      <w:r>
        <w:separator/>
      </w:r>
    </w:p>
  </w:footnote>
  <w:footnote w:type="continuationSeparator" w:id="0">
    <w:p w:rsidR="00A1789E" w:rsidRDefault="00A1789E" w:rsidP="00C610E0">
      <w:pPr>
        <w:spacing w:after="0" w:line="240" w:lineRule="auto"/>
      </w:pPr>
      <w:r>
        <w:continuationSeparator/>
      </w:r>
    </w:p>
  </w:footnote>
  <w:footnote w:id="1">
    <w:p w:rsidR="00B621EC" w:rsidRDefault="00B621EC" w:rsidP="00271430">
      <w:pPr>
        <w:pStyle w:val="Notedebasdepage"/>
        <w:jc w:val="both"/>
      </w:pPr>
      <w:r>
        <w:rPr>
          <w:rStyle w:val="Appelnotedebasdep"/>
        </w:rPr>
        <w:footnoteRef/>
      </w:r>
      <w:r>
        <w:t xml:space="preserve"> « Marché sur lequel deux agents (par exemple une entreprise et une banque) réalisent une transaction, qui porte sur un contrat spécifique et non standardisé. L’opération est ponctuelle et concerne un échange particulier. » (</w:t>
      </w:r>
      <w:proofErr w:type="spellStart"/>
      <w:r>
        <w:t>Barnetto</w:t>
      </w:r>
      <w:proofErr w:type="spellEnd"/>
      <w:r>
        <w:t>, Gr</w:t>
      </w:r>
      <w:r w:rsidR="006622CF">
        <w:t>e</w:t>
      </w:r>
      <w:r>
        <w:t>gorio, 2010, page 133).</w:t>
      </w:r>
    </w:p>
    <w:p w:rsidR="00B621EC" w:rsidRDefault="00B621EC" w:rsidP="00271430">
      <w:pPr>
        <w:pStyle w:val="Notedebasdepage"/>
        <w:jc w:val="both"/>
      </w:pPr>
    </w:p>
  </w:footnote>
  <w:footnote w:id="2">
    <w:p w:rsidR="00B621EC" w:rsidRDefault="00B621EC" w:rsidP="00271430">
      <w:pPr>
        <w:pStyle w:val="Notedebasdepage"/>
        <w:jc w:val="both"/>
      </w:pPr>
      <w:r>
        <w:rPr>
          <w:rStyle w:val="Appelnotedebasdep"/>
        </w:rPr>
        <w:footnoteRef/>
      </w:r>
      <w:r>
        <w:t xml:space="preserve"> </w:t>
      </w:r>
      <w:r w:rsidR="007C3D22">
        <w:t>Marché géré par une organisation publique ou privée, qui offre un cadre réglementaire spécifique (système de cotation, modes de compensation, de règlement et de livraison des titres). Les produits financiers qui y sont négociés sont des produits « standardisés », c’est-à-dire</w:t>
      </w:r>
      <w:r w:rsidR="006622CF">
        <w:t xml:space="preserve"> limités en caractéristiques, en complexité et en nombre</w:t>
      </w:r>
      <w:r w:rsidR="00E826A4">
        <w:t xml:space="preserve"> (exemple de marché : </w:t>
      </w:r>
      <w:proofErr w:type="spellStart"/>
      <w:r w:rsidR="00165456" w:rsidRPr="00165456">
        <w:rPr>
          <w:i/>
        </w:rPr>
        <w:t>Nyse</w:t>
      </w:r>
      <w:proofErr w:type="spellEnd"/>
      <w:r w:rsidR="00165456" w:rsidRPr="00165456">
        <w:rPr>
          <w:i/>
        </w:rPr>
        <w:t xml:space="preserve"> Euronext</w:t>
      </w:r>
      <w:r w:rsidR="00165456" w:rsidRPr="00165456">
        <w:t xml:space="preserve"> à Paris</w:t>
      </w:r>
      <w:r w:rsidR="00E826A4">
        <w:t>)</w:t>
      </w:r>
      <w:r w:rsidR="006622CF">
        <w:t>.</w:t>
      </w:r>
      <w:r w:rsidR="007C3D22">
        <w:t xml:space="preserve">  </w:t>
      </w:r>
      <w:r w:rsidR="006622CF">
        <w:t>(</w:t>
      </w:r>
      <w:proofErr w:type="spellStart"/>
      <w:r w:rsidR="006622CF">
        <w:t>Barnetto</w:t>
      </w:r>
      <w:proofErr w:type="spellEnd"/>
      <w:r w:rsidR="006622CF">
        <w:t>, Gregorio, 2010, page 133).</w:t>
      </w:r>
    </w:p>
  </w:footnote>
  <w:footnote w:id="3">
    <w:p w:rsidR="007615AA" w:rsidRDefault="007615AA">
      <w:pPr>
        <w:pStyle w:val="Notedebasdepage"/>
      </w:pPr>
      <w:r>
        <w:rPr>
          <w:rStyle w:val="Appelnotedebasdep"/>
        </w:rPr>
        <w:footnoteRef/>
      </w:r>
      <w:r>
        <w:t xml:space="preserve"> Il s’agit de comptes créés par le règlement 2015-05</w:t>
      </w:r>
    </w:p>
  </w:footnote>
  <w:footnote w:id="4">
    <w:p w:rsidR="007615AA" w:rsidRDefault="007615AA">
      <w:pPr>
        <w:pStyle w:val="Notedebasdepage"/>
      </w:pPr>
      <w:r>
        <w:rPr>
          <w:rStyle w:val="Appelnotedebasdep"/>
        </w:rPr>
        <w:footnoteRef/>
      </w:r>
      <w:r>
        <w:t xml:space="preserve"> Comptes modifiés par le règlement.</w:t>
      </w:r>
    </w:p>
  </w:footnote>
  <w:footnote w:id="5">
    <w:p w:rsidR="003E5115" w:rsidRPr="000052B4" w:rsidRDefault="003E5115" w:rsidP="002025B7">
      <w:pPr>
        <w:pStyle w:val="Default"/>
        <w:rPr>
          <w:rFonts w:asciiTheme="minorHAnsi" w:hAnsiTheme="minorHAnsi"/>
          <w:sz w:val="20"/>
          <w:szCs w:val="20"/>
        </w:rPr>
      </w:pPr>
      <w:r w:rsidRPr="000052B4">
        <w:rPr>
          <w:rStyle w:val="Appelnotedebasdep"/>
          <w:rFonts w:asciiTheme="minorHAnsi" w:hAnsiTheme="minorHAnsi"/>
          <w:sz w:val="20"/>
          <w:szCs w:val="20"/>
        </w:rPr>
        <w:footnoteRef/>
      </w:r>
      <w:r w:rsidRPr="000052B4">
        <w:rPr>
          <w:rFonts w:asciiTheme="minorHAnsi" w:hAnsiTheme="minorHAnsi"/>
          <w:sz w:val="20"/>
          <w:szCs w:val="20"/>
        </w:rPr>
        <w:t xml:space="preserve"> </w:t>
      </w:r>
      <w:r w:rsidR="0051166A" w:rsidRPr="000052B4">
        <w:rPr>
          <w:rFonts w:asciiTheme="minorHAnsi" w:hAnsiTheme="minorHAnsi"/>
          <w:sz w:val="20"/>
          <w:szCs w:val="20"/>
        </w:rPr>
        <w:t>Les</w:t>
      </w:r>
      <w:r w:rsidRPr="000052B4">
        <w:rPr>
          <w:rFonts w:asciiTheme="minorHAnsi" w:hAnsiTheme="minorHAnsi"/>
          <w:sz w:val="20"/>
          <w:szCs w:val="20"/>
        </w:rPr>
        <w:t xml:space="preserve"> devises fortement corrélées pourraient être incluses dans la même position</w:t>
      </w:r>
      <w:r w:rsidR="0051166A" w:rsidRPr="000052B4">
        <w:rPr>
          <w:rFonts w:asciiTheme="minorHAnsi" w:hAnsiTheme="minorHAnsi"/>
          <w:sz w:val="20"/>
          <w:szCs w:val="20"/>
        </w:rPr>
        <w:t>.</w:t>
      </w:r>
    </w:p>
  </w:footnote>
  <w:footnote w:id="6">
    <w:p w:rsidR="006A18AC" w:rsidRDefault="006A18AC">
      <w:pPr>
        <w:pStyle w:val="Notedebasdepage"/>
      </w:pPr>
      <w:r>
        <w:rPr>
          <w:rStyle w:val="Appelnotedebasdep"/>
        </w:rPr>
        <w:footnoteRef/>
      </w:r>
      <w:r>
        <w:t xml:space="preserve"> Compte créé par le nouvel article </w:t>
      </w:r>
      <w:r w:rsidR="009953F0">
        <w:t>932-1.</w:t>
      </w:r>
    </w:p>
  </w:footnote>
  <w:footnote w:id="7">
    <w:p w:rsidR="00BF3A4F" w:rsidRDefault="00BF3A4F" w:rsidP="00BF3A4F">
      <w:pPr>
        <w:pStyle w:val="Notedebasdepage"/>
      </w:pPr>
      <w:r>
        <w:rPr>
          <w:rStyle w:val="Appelnotedebasdep"/>
        </w:rPr>
        <w:footnoteRef/>
      </w:r>
      <w:r>
        <w:t xml:space="preserve"> Compte créé par le nouvel article 932-1.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1164C"/>
    <w:multiLevelType w:val="hybridMultilevel"/>
    <w:tmpl w:val="0E9E46D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1C875E8"/>
    <w:multiLevelType w:val="hybridMultilevel"/>
    <w:tmpl w:val="6FB00E76"/>
    <w:lvl w:ilvl="0" w:tplc="42CC0A24">
      <w:numFmt w:val="bullet"/>
      <w:lvlText w:val="-"/>
      <w:lvlJc w:val="left"/>
      <w:pPr>
        <w:ind w:left="720" w:hanging="360"/>
      </w:pPr>
      <w:rPr>
        <w:rFonts w:ascii="Calibri" w:eastAsiaTheme="minorHAns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046C4"/>
    <w:rsid w:val="000052B4"/>
    <w:rsid w:val="0001445E"/>
    <w:rsid w:val="000153E2"/>
    <w:rsid w:val="000209CE"/>
    <w:rsid w:val="0005172F"/>
    <w:rsid w:val="00053E95"/>
    <w:rsid w:val="00054EDC"/>
    <w:rsid w:val="00061F99"/>
    <w:rsid w:val="00081FDB"/>
    <w:rsid w:val="000934BB"/>
    <w:rsid w:val="00093FE0"/>
    <w:rsid w:val="000A4DBE"/>
    <w:rsid w:val="000B296D"/>
    <w:rsid w:val="000B6333"/>
    <w:rsid w:val="000C31EC"/>
    <w:rsid w:val="000C3A67"/>
    <w:rsid w:val="000E1FFE"/>
    <w:rsid w:val="000E5DAF"/>
    <w:rsid w:val="00101A32"/>
    <w:rsid w:val="001022CD"/>
    <w:rsid w:val="00105A44"/>
    <w:rsid w:val="0011165D"/>
    <w:rsid w:val="00120D7C"/>
    <w:rsid w:val="00130B17"/>
    <w:rsid w:val="00131C9D"/>
    <w:rsid w:val="001540D1"/>
    <w:rsid w:val="00157FCF"/>
    <w:rsid w:val="0016030A"/>
    <w:rsid w:val="00165456"/>
    <w:rsid w:val="001660E4"/>
    <w:rsid w:val="00171B00"/>
    <w:rsid w:val="001728E4"/>
    <w:rsid w:val="001730D3"/>
    <w:rsid w:val="0018333F"/>
    <w:rsid w:val="00186674"/>
    <w:rsid w:val="001937B0"/>
    <w:rsid w:val="00195173"/>
    <w:rsid w:val="001A104D"/>
    <w:rsid w:val="001B24F2"/>
    <w:rsid w:val="001C3C08"/>
    <w:rsid w:val="002025B7"/>
    <w:rsid w:val="002054B0"/>
    <w:rsid w:val="00225314"/>
    <w:rsid w:val="00246FFC"/>
    <w:rsid w:val="00257362"/>
    <w:rsid w:val="00265F47"/>
    <w:rsid w:val="00271430"/>
    <w:rsid w:val="002A6E3D"/>
    <w:rsid w:val="002A7ADC"/>
    <w:rsid w:val="002C44E0"/>
    <w:rsid w:val="002C4B95"/>
    <w:rsid w:val="002D7A90"/>
    <w:rsid w:val="003007EC"/>
    <w:rsid w:val="00303FE8"/>
    <w:rsid w:val="00314C32"/>
    <w:rsid w:val="003155CE"/>
    <w:rsid w:val="00317BF7"/>
    <w:rsid w:val="00325DA6"/>
    <w:rsid w:val="00331858"/>
    <w:rsid w:val="00333ECF"/>
    <w:rsid w:val="003416E0"/>
    <w:rsid w:val="0034172F"/>
    <w:rsid w:val="0036402A"/>
    <w:rsid w:val="00364FEB"/>
    <w:rsid w:val="00370FD7"/>
    <w:rsid w:val="00376ADB"/>
    <w:rsid w:val="003809DE"/>
    <w:rsid w:val="003B5C05"/>
    <w:rsid w:val="003B5DBC"/>
    <w:rsid w:val="003D58C1"/>
    <w:rsid w:val="003E5115"/>
    <w:rsid w:val="003F25F6"/>
    <w:rsid w:val="003F2D0B"/>
    <w:rsid w:val="003F3340"/>
    <w:rsid w:val="003F641F"/>
    <w:rsid w:val="004046C4"/>
    <w:rsid w:val="00416473"/>
    <w:rsid w:val="004216BC"/>
    <w:rsid w:val="004263C9"/>
    <w:rsid w:val="00433577"/>
    <w:rsid w:val="00433D87"/>
    <w:rsid w:val="00435FBC"/>
    <w:rsid w:val="00456272"/>
    <w:rsid w:val="004641D7"/>
    <w:rsid w:val="00482CC8"/>
    <w:rsid w:val="00483E43"/>
    <w:rsid w:val="004848C7"/>
    <w:rsid w:val="00491FAE"/>
    <w:rsid w:val="00492DA0"/>
    <w:rsid w:val="004A420C"/>
    <w:rsid w:val="004B40BB"/>
    <w:rsid w:val="004B5B1C"/>
    <w:rsid w:val="004C21D4"/>
    <w:rsid w:val="004C304E"/>
    <w:rsid w:val="004D374A"/>
    <w:rsid w:val="004D5CC7"/>
    <w:rsid w:val="004F5157"/>
    <w:rsid w:val="005033A4"/>
    <w:rsid w:val="0051166A"/>
    <w:rsid w:val="0054395F"/>
    <w:rsid w:val="0055023A"/>
    <w:rsid w:val="00553888"/>
    <w:rsid w:val="00563805"/>
    <w:rsid w:val="00581371"/>
    <w:rsid w:val="00581962"/>
    <w:rsid w:val="0058558F"/>
    <w:rsid w:val="005857B6"/>
    <w:rsid w:val="00586AFB"/>
    <w:rsid w:val="00594970"/>
    <w:rsid w:val="005A5A06"/>
    <w:rsid w:val="005B3510"/>
    <w:rsid w:val="005B7AD7"/>
    <w:rsid w:val="005C01DF"/>
    <w:rsid w:val="005D4F87"/>
    <w:rsid w:val="005D7B3C"/>
    <w:rsid w:val="005E0C68"/>
    <w:rsid w:val="005F55A2"/>
    <w:rsid w:val="00614FAB"/>
    <w:rsid w:val="006205B8"/>
    <w:rsid w:val="00626211"/>
    <w:rsid w:val="0063391F"/>
    <w:rsid w:val="00636D42"/>
    <w:rsid w:val="006446CA"/>
    <w:rsid w:val="00646DA3"/>
    <w:rsid w:val="00655A6E"/>
    <w:rsid w:val="00660343"/>
    <w:rsid w:val="006622CF"/>
    <w:rsid w:val="00676910"/>
    <w:rsid w:val="00683544"/>
    <w:rsid w:val="00684207"/>
    <w:rsid w:val="00686451"/>
    <w:rsid w:val="00690AEC"/>
    <w:rsid w:val="006A18AC"/>
    <w:rsid w:val="006A53BE"/>
    <w:rsid w:val="006B3B8E"/>
    <w:rsid w:val="006C6211"/>
    <w:rsid w:val="006E0652"/>
    <w:rsid w:val="006E0790"/>
    <w:rsid w:val="006E0DC6"/>
    <w:rsid w:val="006E65A8"/>
    <w:rsid w:val="006F2AC3"/>
    <w:rsid w:val="00705DDA"/>
    <w:rsid w:val="00723CD4"/>
    <w:rsid w:val="00724F12"/>
    <w:rsid w:val="00725D9D"/>
    <w:rsid w:val="007508A8"/>
    <w:rsid w:val="007532BB"/>
    <w:rsid w:val="00754AD9"/>
    <w:rsid w:val="00757A43"/>
    <w:rsid w:val="007615AA"/>
    <w:rsid w:val="0076280E"/>
    <w:rsid w:val="007671B4"/>
    <w:rsid w:val="0078349F"/>
    <w:rsid w:val="00785DC6"/>
    <w:rsid w:val="00793DA9"/>
    <w:rsid w:val="007A2767"/>
    <w:rsid w:val="007A492D"/>
    <w:rsid w:val="007A7D70"/>
    <w:rsid w:val="007C1700"/>
    <w:rsid w:val="007C3D22"/>
    <w:rsid w:val="007D6079"/>
    <w:rsid w:val="00807C25"/>
    <w:rsid w:val="00821ED7"/>
    <w:rsid w:val="0082700C"/>
    <w:rsid w:val="00835081"/>
    <w:rsid w:val="00837CA2"/>
    <w:rsid w:val="00837DBF"/>
    <w:rsid w:val="008459A4"/>
    <w:rsid w:val="008656BF"/>
    <w:rsid w:val="00885D14"/>
    <w:rsid w:val="00896D3D"/>
    <w:rsid w:val="008B26CA"/>
    <w:rsid w:val="008C0182"/>
    <w:rsid w:val="008D4550"/>
    <w:rsid w:val="008F76F2"/>
    <w:rsid w:val="008F7F11"/>
    <w:rsid w:val="00906B2E"/>
    <w:rsid w:val="00910C47"/>
    <w:rsid w:val="009167D0"/>
    <w:rsid w:val="009207BC"/>
    <w:rsid w:val="00925540"/>
    <w:rsid w:val="009257E9"/>
    <w:rsid w:val="00926068"/>
    <w:rsid w:val="0092715E"/>
    <w:rsid w:val="00935218"/>
    <w:rsid w:val="00944169"/>
    <w:rsid w:val="009531B3"/>
    <w:rsid w:val="00953B29"/>
    <w:rsid w:val="00960824"/>
    <w:rsid w:val="009623D3"/>
    <w:rsid w:val="00971239"/>
    <w:rsid w:val="009713D9"/>
    <w:rsid w:val="009851BE"/>
    <w:rsid w:val="009953F0"/>
    <w:rsid w:val="009A4DE0"/>
    <w:rsid w:val="009B103B"/>
    <w:rsid w:val="009B2AA9"/>
    <w:rsid w:val="009B6294"/>
    <w:rsid w:val="009C5CEA"/>
    <w:rsid w:val="009E3145"/>
    <w:rsid w:val="00A1789E"/>
    <w:rsid w:val="00A418FB"/>
    <w:rsid w:val="00A41B5E"/>
    <w:rsid w:val="00A6394D"/>
    <w:rsid w:val="00A75690"/>
    <w:rsid w:val="00A80CF2"/>
    <w:rsid w:val="00A816A1"/>
    <w:rsid w:val="00A8732F"/>
    <w:rsid w:val="00A93D8F"/>
    <w:rsid w:val="00AB24A5"/>
    <w:rsid w:val="00AC3750"/>
    <w:rsid w:val="00AD1C9F"/>
    <w:rsid w:val="00AE7854"/>
    <w:rsid w:val="00AF37B7"/>
    <w:rsid w:val="00B10BF0"/>
    <w:rsid w:val="00B542A9"/>
    <w:rsid w:val="00B621EC"/>
    <w:rsid w:val="00B713B4"/>
    <w:rsid w:val="00B8321E"/>
    <w:rsid w:val="00B8399A"/>
    <w:rsid w:val="00B9270E"/>
    <w:rsid w:val="00BA3556"/>
    <w:rsid w:val="00BB32FF"/>
    <w:rsid w:val="00BB6CFF"/>
    <w:rsid w:val="00BC44BD"/>
    <w:rsid w:val="00BC674B"/>
    <w:rsid w:val="00BD0E3A"/>
    <w:rsid w:val="00BD324A"/>
    <w:rsid w:val="00BD371C"/>
    <w:rsid w:val="00BE29E8"/>
    <w:rsid w:val="00BF3A4F"/>
    <w:rsid w:val="00C01D4F"/>
    <w:rsid w:val="00C12D00"/>
    <w:rsid w:val="00C21920"/>
    <w:rsid w:val="00C23ED6"/>
    <w:rsid w:val="00C256E9"/>
    <w:rsid w:val="00C32629"/>
    <w:rsid w:val="00C357F1"/>
    <w:rsid w:val="00C41035"/>
    <w:rsid w:val="00C610E0"/>
    <w:rsid w:val="00C616B6"/>
    <w:rsid w:val="00C906C1"/>
    <w:rsid w:val="00CB13B5"/>
    <w:rsid w:val="00CB74D1"/>
    <w:rsid w:val="00CD53A5"/>
    <w:rsid w:val="00D00F66"/>
    <w:rsid w:val="00D25B44"/>
    <w:rsid w:val="00D63292"/>
    <w:rsid w:val="00D67289"/>
    <w:rsid w:val="00D7540F"/>
    <w:rsid w:val="00D75EB1"/>
    <w:rsid w:val="00DA78EB"/>
    <w:rsid w:val="00DB11E2"/>
    <w:rsid w:val="00DB7FC0"/>
    <w:rsid w:val="00DC3F70"/>
    <w:rsid w:val="00DD11A9"/>
    <w:rsid w:val="00E0121E"/>
    <w:rsid w:val="00E05F69"/>
    <w:rsid w:val="00E14E5F"/>
    <w:rsid w:val="00E1664A"/>
    <w:rsid w:val="00E36ACB"/>
    <w:rsid w:val="00E37A98"/>
    <w:rsid w:val="00E43E39"/>
    <w:rsid w:val="00E572FE"/>
    <w:rsid w:val="00E610E7"/>
    <w:rsid w:val="00E656A7"/>
    <w:rsid w:val="00E7050D"/>
    <w:rsid w:val="00E72A2D"/>
    <w:rsid w:val="00E805D3"/>
    <w:rsid w:val="00E826A4"/>
    <w:rsid w:val="00E84B6D"/>
    <w:rsid w:val="00E86737"/>
    <w:rsid w:val="00E9250F"/>
    <w:rsid w:val="00E92E3C"/>
    <w:rsid w:val="00E94C31"/>
    <w:rsid w:val="00EA3592"/>
    <w:rsid w:val="00EB6D1A"/>
    <w:rsid w:val="00EC618C"/>
    <w:rsid w:val="00EC74DC"/>
    <w:rsid w:val="00ED00DC"/>
    <w:rsid w:val="00ED0FF7"/>
    <w:rsid w:val="00EE4C6B"/>
    <w:rsid w:val="00EF716F"/>
    <w:rsid w:val="00F1633E"/>
    <w:rsid w:val="00F21B4F"/>
    <w:rsid w:val="00F22A3C"/>
    <w:rsid w:val="00F26FB1"/>
    <w:rsid w:val="00F56B19"/>
    <w:rsid w:val="00F67838"/>
    <w:rsid w:val="00F71054"/>
    <w:rsid w:val="00F7439B"/>
    <w:rsid w:val="00FA4A26"/>
    <w:rsid w:val="00FA4C4D"/>
    <w:rsid w:val="00FC5E9A"/>
    <w:rsid w:val="00FD5B34"/>
    <w:rsid w:val="00FE384A"/>
    <w:rsid w:val="00FF4FA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3B4"/>
  </w:style>
  <w:style w:type="paragraph" w:styleId="Titre1">
    <w:name w:val="heading 1"/>
    <w:basedOn w:val="Normal"/>
    <w:link w:val="Titre1Car"/>
    <w:uiPriority w:val="9"/>
    <w:qFormat/>
    <w:rsid w:val="00F743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046C4"/>
    <w:pPr>
      <w:autoSpaceDE w:val="0"/>
      <w:autoSpaceDN w:val="0"/>
      <w:adjustRightInd w:val="0"/>
      <w:spacing w:after="0" w:line="240" w:lineRule="auto"/>
    </w:pPr>
    <w:rPr>
      <w:rFonts w:ascii="Times New Roman" w:hAnsi="Times New Roman" w:cs="Times New Roman"/>
      <w:color w:val="000000"/>
      <w:sz w:val="24"/>
      <w:szCs w:val="24"/>
    </w:rPr>
  </w:style>
  <w:style w:type="table" w:styleId="Grilledutableau">
    <w:name w:val="Table Grid"/>
    <w:basedOn w:val="TableauNormal"/>
    <w:uiPriority w:val="39"/>
    <w:rsid w:val="00885D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BD324A"/>
    <w:pPr>
      <w:ind w:left="720"/>
      <w:contextualSpacing/>
    </w:pPr>
  </w:style>
  <w:style w:type="paragraph" w:styleId="Notedebasdepage">
    <w:name w:val="footnote text"/>
    <w:basedOn w:val="Normal"/>
    <w:link w:val="NotedebasdepageCar"/>
    <w:uiPriority w:val="99"/>
    <w:semiHidden/>
    <w:unhideWhenUsed/>
    <w:rsid w:val="00C610E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C610E0"/>
    <w:rPr>
      <w:sz w:val="20"/>
      <w:szCs w:val="20"/>
    </w:rPr>
  </w:style>
  <w:style w:type="character" w:styleId="Appelnotedebasdep">
    <w:name w:val="footnote reference"/>
    <w:basedOn w:val="Policepardfaut"/>
    <w:uiPriority w:val="99"/>
    <w:semiHidden/>
    <w:unhideWhenUsed/>
    <w:rsid w:val="00C610E0"/>
    <w:rPr>
      <w:vertAlign w:val="superscript"/>
    </w:rPr>
  </w:style>
  <w:style w:type="character" w:styleId="Marquedecommentaire">
    <w:name w:val="annotation reference"/>
    <w:basedOn w:val="Policepardfaut"/>
    <w:uiPriority w:val="99"/>
    <w:semiHidden/>
    <w:unhideWhenUsed/>
    <w:rsid w:val="00FE384A"/>
    <w:rPr>
      <w:sz w:val="16"/>
      <w:szCs w:val="16"/>
    </w:rPr>
  </w:style>
  <w:style w:type="paragraph" w:styleId="Commentaire">
    <w:name w:val="annotation text"/>
    <w:basedOn w:val="Normal"/>
    <w:link w:val="CommentaireCar"/>
    <w:uiPriority w:val="99"/>
    <w:semiHidden/>
    <w:unhideWhenUsed/>
    <w:rsid w:val="00FE384A"/>
    <w:pPr>
      <w:spacing w:line="240" w:lineRule="auto"/>
    </w:pPr>
    <w:rPr>
      <w:sz w:val="20"/>
      <w:szCs w:val="20"/>
    </w:rPr>
  </w:style>
  <w:style w:type="character" w:customStyle="1" w:styleId="CommentaireCar">
    <w:name w:val="Commentaire Car"/>
    <w:basedOn w:val="Policepardfaut"/>
    <w:link w:val="Commentaire"/>
    <w:uiPriority w:val="99"/>
    <w:semiHidden/>
    <w:rsid w:val="00FE384A"/>
    <w:rPr>
      <w:sz w:val="20"/>
      <w:szCs w:val="20"/>
    </w:rPr>
  </w:style>
  <w:style w:type="paragraph" w:styleId="Objetducommentaire">
    <w:name w:val="annotation subject"/>
    <w:basedOn w:val="Commentaire"/>
    <w:next w:val="Commentaire"/>
    <w:link w:val="ObjetducommentaireCar"/>
    <w:uiPriority w:val="99"/>
    <w:semiHidden/>
    <w:unhideWhenUsed/>
    <w:rsid w:val="00FE384A"/>
    <w:rPr>
      <w:b/>
      <w:bCs/>
    </w:rPr>
  </w:style>
  <w:style w:type="character" w:customStyle="1" w:styleId="ObjetducommentaireCar">
    <w:name w:val="Objet du commentaire Car"/>
    <w:basedOn w:val="CommentaireCar"/>
    <w:link w:val="Objetducommentaire"/>
    <w:uiPriority w:val="99"/>
    <w:semiHidden/>
    <w:rsid w:val="00FE384A"/>
    <w:rPr>
      <w:b/>
      <w:bCs/>
      <w:sz w:val="20"/>
      <w:szCs w:val="20"/>
    </w:rPr>
  </w:style>
  <w:style w:type="paragraph" w:styleId="Rvision">
    <w:name w:val="Revision"/>
    <w:hidden/>
    <w:uiPriority w:val="99"/>
    <w:semiHidden/>
    <w:rsid w:val="00FE384A"/>
    <w:pPr>
      <w:spacing w:after="0" w:line="240" w:lineRule="auto"/>
    </w:pPr>
  </w:style>
  <w:style w:type="paragraph" w:styleId="Textedebulles">
    <w:name w:val="Balloon Text"/>
    <w:basedOn w:val="Normal"/>
    <w:link w:val="TextedebullesCar"/>
    <w:uiPriority w:val="99"/>
    <w:semiHidden/>
    <w:unhideWhenUsed/>
    <w:rsid w:val="00FE38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E384A"/>
    <w:rPr>
      <w:rFonts w:ascii="Tahoma" w:hAnsi="Tahoma" w:cs="Tahoma"/>
      <w:sz w:val="16"/>
      <w:szCs w:val="16"/>
    </w:rPr>
  </w:style>
  <w:style w:type="character" w:customStyle="1" w:styleId="Titre1Car">
    <w:name w:val="Titre 1 Car"/>
    <w:basedOn w:val="Policepardfaut"/>
    <w:link w:val="Titre1"/>
    <w:uiPriority w:val="9"/>
    <w:rsid w:val="00F7439B"/>
    <w:rPr>
      <w:rFonts w:ascii="Times New Roman" w:eastAsia="Times New Roman" w:hAnsi="Times New Roman" w:cs="Times New Roman"/>
      <w:b/>
      <w:bCs/>
      <w:kern w:val="36"/>
      <w:sz w:val="48"/>
      <w:szCs w:val="48"/>
      <w:lang w:eastAsia="fr-FR"/>
    </w:rPr>
  </w:style>
  <w:style w:type="paragraph" w:styleId="En-tte">
    <w:name w:val="header"/>
    <w:basedOn w:val="Normal"/>
    <w:link w:val="En-tteCar"/>
    <w:uiPriority w:val="99"/>
    <w:unhideWhenUsed/>
    <w:rsid w:val="003F641F"/>
    <w:pPr>
      <w:tabs>
        <w:tab w:val="center" w:pos="4536"/>
        <w:tab w:val="right" w:pos="9072"/>
      </w:tabs>
      <w:spacing w:after="0" w:line="240" w:lineRule="auto"/>
    </w:pPr>
  </w:style>
  <w:style w:type="character" w:customStyle="1" w:styleId="En-tteCar">
    <w:name w:val="En-tête Car"/>
    <w:basedOn w:val="Policepardfaut"/>
    <w:link w:val="En-tte"/>
    <w:uiPriority w:val="99"/>
    <w:rsid w:val="003F641F"/>
  </w:style>
  <w:style w:type="paragraph" w:styleId="Pieddepage">
    <w:name w:val="footer"/>
    <w:basedOn w:val="Normal"/>
    <w:link w:val="PieddepageCar"/>
    <w:uiPriority w:val="99"/>
    <w:unhideWhenUsed/>
    <w:rsid w:val="003F641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F641F"/>
  </w:style>
  <w:style w:type="paragraph" w:styleId="Sansinterligne">
    <w:name w:val="No Spacing"/>
    <w:uiPriority w:val="1"/>
    <w:qFormat/>
    <w:rsid w:val="006446CA"/>
    <w:pPr>
      <w:spacing w:after="0" w:line="240" w:lineRule="auto"/>
    </w:pPr>
  </w:style>
</w:styles>
</file>

<file path=word/webSettings.xml><?xml version="1.0" encoding="utf-8"?>
<w:webSettings xmlns:r="http://schemas.openxmlformats.org/officeDocument/2006/relationships" xmlns:w="http://schemas.openxmlformats.org/wordprocessingml/2006/main">
  <w:divs>
    <w:div w:id="514148226">
      <w:bodyDiv w:val="1"/>
      <w:marLeft w:val="0"/>
      <w:marRight w:val="0"/>
      <w:marTop w:val="0"/>
      <w:marBottom w:val="0"/>
      <w:divBdr>
        <w:top w:val="none" w:sz="0" w:space="0" w:color="auto"/>
        <w:left w:val="none" w:sz="0" w:space="0" w:color="auto"/>
        <w:bottom w:val="none" w:sz="0" w:space="0" w:color="auto"/>
        <w:right w:val="none" w:sz="0" w:space="0" w:color="auto"/>
      </w:divBdr>
      <w:divsChild>
        <w:div w:id="1413625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A7CDA-5429-4292-BBE1-4B7F7DE89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3334</Words>
  <Characters>18340</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Pinteaux</dc:creator>
  <cp:lastModifiedBy>François</cp:lastModifiedBy>
  <cp:revision>3</cp:revision>
  <cp:lastPrinted>2016-11-15T12:31:00Z</cp:lastPrinted>
  <dcterms:created xsi:type="dcterms:W3CDTF">2017-01-03T13:09:00Z</dcterms:created>
  <dcterms:modified xsi:type="dcterms:W3CDTF">2017-01-03T13:20:00Z</dcterms:modified>
</cp:coreProperties>
</file>