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A40" w:rsidRDefault="00497A40" w:rsidP="00497A40">
      <w:pPr>
        <w:pStyle w:val="Titre"/>
        <w:rPr>
          <w:lang w:eastAsia="en-US"/>
        </w:rPr>
      </w:pPr>
      <w:r>
        <w:rPr>
          <w:lang w:eastAsia="en-US"/>
        </w:rPr>
        <w:t>MODE OP</w:t>
      </w:r>
      <w:r w:rsidR="00BF0E26">
        <w:rPr>
          <w:lang w:eastAsia="en-US"/>
        </w:rPr>
        <w:t>É</w:t>
      </w:r>
      <w:r>
        <w:rPr>
          <w:lang w:eastAsia="en-US"/>
        </w:rPr>
        <w:t xml:space="preserve">RATOIRE </w:t>
      </w:r>
    </w:p>
    <w:p w:rsidR="00497A40" w:rsidRDefault="00497A40" w:rsidP="00497A40">
      <w:pPr>
        <w:pStyle w:val="Titre"/>
        <w:rPr>
          <w:lang w:eastAsia="en-US"/>
        </w:rPr>
      </w:pPr>
      <w:r>
        <w:rPr>
          <w:lang w:eastAsia="en-US"/>
        </w:rPr>
        <w:t xml:space="preserve">EXTRACTION ET EXPORTATION </w:t>
      </w:r>
    </w:p>
    <w:p w:rsidR="00497A40" w:rsidRPr="00892D89" w:rsidRDefault="00497A40" w:rsidP="00497A40">
      <w:pPr>
        <w:pStyle w:val="Titre"/>
        <w:rPr>
          <w:lang w:eastAsia="en-US"/>
        </w:rPr>
      </w:pPr>
      <w:r w:rsidRPr="00497A40">
        <w:rPr>
          <w:lang w:eastAsia="en-US"/>
        </w:rPr>
        <w:t>Chiffre d’affaires par famille de clients</w:t>
      </w:r>
    </w:p>
    <w:p w:rsidR="00497A40" w:rsidRPr="004A2D80" w:rsidRDefault="00497A40" w:rsidP="00497A40">
      <w:pPr>
        <w:pStyle w:val="Titre1"/>
        <w:keepNext/>
        <w:keepLines/>
        <w:numPr>
          <w:ilvl w:val="0"/>
          <w:numId w:val="0"/>
        </w:numPr>
        <w:shd w:val="clear" w:color="auto" w:fill="DBE5F1" w:themeFill="accent1" w:themeFillTint="33"/>
        <w:spacing w:before="120" w:beforeAutospacing="0" w:after="120" w:afterAutospacing="0"/>
        <w:ind w:left="432" w:hanging="432"/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</w:pPr>
      <w:r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>Module commercial</w:t>
      </w:r>
    </w:p>
    <w:p w:rsidR="00A85A34" w:rsidRDefault="00A85A34" w:rsidP="00A85A34">
      <w:r>
        <w:t>Cliquer sur l’univers correspondant à votre recherche, exemple « </w:t>
      </w:r>
      <w:r>
        <w:rPr>
          <w:b/>
        </w:rPr>
        <w:t>Stocks / Articles</w:t>
      </w:r>
      <w:r>
        <w:t> », puis sur l’option « </w:t>
      </w:r>
      <w:r w:rsidRPr="00392A3A">
        <w:rPr>
          <w:b/>
        </w:rPr>
        <w:t>Statistiques</w:t>
      </w:r>
      <w:r>
        <w:t xml:space="preserve"> » du dossier correspondant à la recherche (Clients, Fournisseurs ou Articles), </w:t>
      </w:r>
      <w:r>
        <w:br/>
        <w:t>puis la fenêtre statistique s’affiche.</w:t>
      </w:r>
    </w:p>
    <w:p w:rsidR="00A85A34" w:rsidRPr="006E705E" w:rsidRDefault="00A85A34" w:rsidP="00A85A34">
      <w:pPr>
        <w:rPr>
          <w:u w:val="single"/>
        </w:rPr>
      </w:pPr>
      <w:r w:rsidRPr="006E705E">
        <w:rPr>
          <w:u w:val="single"/>
        </w:rPr>
        <w:t>Pour l’onglet « Sélection »</w:t>
      </w:r>
    </w:p>
    <w:p w:rsidR="00A85A34" w:rsidRDefault="00A85A34" w:rsidP="00A85A34">
      <w:r>
        <w:t>Sélectionner la liste des statistiques à obtenir, soit : « </w:t>
      </w:r>
      <w:r w:rsidRPr="00A02C06">
        <w:rPr>
          <w:b/>
        </w:rPr>
        <w:t>Chiffre d’affaires groupé par famille</w:t>
      </w:r>
      <w:r>
        <w:t> ».</w:t>
      </w:r>
    </w:p>
    <w:p w:rsidR="00A85A34" w:rsidRDefault="00A85A34" w:rsidP="00A85A34">
      <w:r>
        <w:t>Préciser pour la partie « </w:t>
      </w:r>
      <w:r w:rsidRPr="00392A3A">
        <w:rPr>
          <w:b/>
        </w:rPr>
        <w:t>Réinitialiser les filtres</w:t>
      </w:r>
      <w:r>
        <w:t> » les éléments à prendre en compte (Du</w:t>
      </w:r>
      <w:r w:rsidR="008A4F3C">
        <w:t xml:space="preserve"> : </w:t>
      </w:r>
      <w:r w:rsidRPr="006E705E">
        <w:rPr>
          <w:color w:val="595959" w:themeColor="text1" w:themeTint="A6"/>
        </w:rPr>
        <w:t>premièr</w:t>
      </w:r>
      <w:r>
        <w:rPr>
          <w:color w:val="595959" w:themeColor="text1" w:themeTint="A6"/>
        </w:rPr>
        <w:t>e</w:t>
      </w:r>
      <w:r w:rsidRPr="006E705E">
        <w:rPr>
          <w:color w:val="595959" w:themeColor="text1" w:themeTint="A6"/>
        </w:rPr>
        <w:t xml:space="preserve"> </w:t>
      </w:r>
      <w:r>
        <w:rPr>
          <w:color w:val="595959" w:themeColor="text1" w:themeTint="A6"/>
        </w:rPr>
        <w:t>famille d’</w:t>
      </w:r>
      <w:r w:rsidRPr="006E705E">
        <w:rPr>
          <w:color w:val="595959" w:themeColor="text1" w:themeTint="A6"/>
        </w:rPr>
        <w:t>article</w:t>
      </w:r>
      <w:r>
        <w:rPr>
          <w:color w:val="595959" w:themeColor="text1" w:themeTint="A6"/>
        </w:rPr>
        <w:t>s</w:t>
      </w:r>
      <w:r>
        <w:t xml:space="preserve"> Au</w:t>
      </w:r>
      <w:r w:rsidR="008A4F3C">
        <w:t xml:space="preserve"> : </w:t>
      </w:r>
      <w:r w:rsidRPr="006E705E">
        <w:rPr>
          <w:color w:val="595959" w:themeColor="text1" w:themeTint="A6"/>
        </w:rPr>
        <w:t>dernièr</w:t>
      </w:r>
      <w:r>
        <w:rPr>
          <w:color w:val="595959" w:themeColor="text1" w:themeTint="A6"/>
        </w:rPr>
        <w:t>e famille</w:t>
      </w:r>
      <w:r w:rsidRPr="006E705E">
        <w:rPr>
          <w:color w:val="595959" w:themeColor="text1" w:themeTint="A6"/>
        </w:rPr>
        <w:t xml:space="preserve"> </w:t>
      </w:r>
      <w:r>
        <w:rPr>
          <w:color w:val="595959" w:themeColor="text1" w:themeTint="A6"/>
        </w:rPr>
        <w:t>d’</w:t>
      </w:r>
      <w:r w:rsidRPr="006E705E">
        <w:rPr>
          <w:color w:val="595959" w:themeColor="text1" w:themeTint="A6"/>
        </w:rPr>
        <w:t>article</w:t>
      </w:r>
      <w:r>
        <w:rPr>
          <w:color w:val="595959" w:themeColor="text1" w:themeTint="A6"/>
        </w:rPr>
        <w:t>s</w:t>
      </w:r>
      <w:r>
        <w:t>, par exemple).</w:t>
      </w:r>
    </w:p>
    <w:p w:rsidR="00A85A34" w:rsidRPr="006E705E" w:rsidRDefault="00A85A34" w:rsidP="00A85A34">
      <w:pPr>
        <w:rPr>
          <w:u w:val="single"/>
        </w:rPr>
      </w:pPr>
      <w:r w:rsidRPr="006E705E">
        <w:rPr>
          <w:u w:val="single"/>
        </w:rPr>
        <w:t>Pour l’onglet « </w:t>
      </w:r>
      <w:r>
        <w:rPr>
          <w:u w:val="single"/>
        </w:rPr>
        <w:t>Données</w:t>
      </w:r>
      <w:r w:rsidRPr="006E705E">
        <w:rPr>
          <w:u w:val="single"/>
        </w:rPr>
        <w:t> »</w:t>
      </w:r>
    </w:p>
    <w:p w:rsidR="00A85A34" w:rsidRDefault="00A85A34" w:rsidP="00A85A34">
      <w:r>
        <w:t>Dans la colonne « </w:t>
      </w:r>
      <w:r w:rsidRPr="00392A3A">
        <w:rPr>
          <w:b/>
        </w:rPr>
        <w:t>Famille Articles</w:t>
      </w:r>
      <w:r>
        <w:t> » réduire l’affiche. Cliquer sur le symbole négatif afin de réduire l’affiche.</w:t>
      </w:r>
    </w:p>
    <w:p w:rsidR="00A85A34" w:rsidRPr="006E705E" w:rsidRDefault="00A85A34" w:rsidP="00BF0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line="240" w:lineRule="auto"/>
        <w:rPr>
          <w:color w:val="FF0000"/>
        </w:rPr>
      </w:pPr>
      <w:r w:rsidRPr="006E705E">
        <w:rPr>
          <w:color w:val="FF0000"/>
        </w:rPr>
        <w:t>Remarque :</w:t>
      </w:r>
    </w:p>
    <w:p w:rsidR="00A85A34" w:rsidRDefault="00A85A34" w:rsidP="00BF0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line="240" w:lineRule="auto"/>
      </w:pPr>
      <w:r>
        <w:t>Il est primordial de bien sélectionner les donn</w:t>
      </w:r>
      <w:r w:rsidR="008A4F3C">
        <w:t>ées à afficher (couleur de fond</w:t>
      </w:r>
      <w:r>
        <w:t xml:space="preserve"> en bleu</w:t>
      </w:r>
      <w:r w:rsidR="008A4F3C">
        <w:t xml:space="preserve"> : </w:t>
      </w:r>
      <w:r>
        <w:t>précise les données sélectionnées pour l’affichage graphique)</w:t>
      </w:r>
    </w:p>
    <w:p w:rsidR="00A85A34" w:rsidRDefault="00A85A34" w:rsidP="00BF0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line="240" w:lineRule="auto"/>
      </w:pPr>
      <w:r>
        <w:t>Il suffit de cliquer sur la première ligne à afficher (dans la première colonne) puis de glisser (tout en laissant son doi</w:t>
      </w:r>
      <w:r w:rsidR="008A4F3C">
        <w:t>gt appuyé</w:t>
      </w:r>
      <w:r>
        <w:t xml:space="preserve"> sur la souris) vers le dernier élément à afficher.</w:t>
      </w:r>
    </w:p>
    <w:p w:rsidR="00A85A34" w:rsidRPr="006E705E" w:rsidRDefault="00A85A34" w:rsidP="00A85A34">
      <w:pPr>
        <w:rPr>
          <w:u w:val="single"/>
        </w:rPr>
      </w:pPr>
      <w:r w:rsidRPr="006E705E">
        <w:rPr>
          <w:u w:val="single"/>
        </w:rPr>
        <w:t>Pour l’onglet « </w:t>
      </w:r>
      <w:r>
        <w:rPr>
          <w:u w:val="single"/>
        </w:rPr>
        <w:t>Graphique</w:t>
      </w:r>
      <w:r w:rsidRPr="006E705E">
        <w:rPr>
          <w:u w:val="single"/>
        </w:rPr>
        <w:t> »</w:t>
      </w:r>
    </w:p>
    <w:p w:rsidR="00A85A34" w:rsidRDefault="00A85A34" w:rsidP="00A85A34">
      <w:r>
        <w:t>Il suffit de cliquer sur cet onglet pour visualiser les données sous forme de graphique.</w:t>
      </w:r>
    </w:p>
    <w:p w:rsidR="00A85A34" w:rsidRPr="006E705E" w:rsidRDefault="00A85A34" w:rsidP="00C26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color w:val="FF0000"/>
        </w:rPr>
      </w:pPr>
      <w:r w:rsidRPr="006E705E">
        <w:rPr>
          <w:color w:val="FF0000"/>
        </w:rPr>
        <w:t>Remarque :</w:t>
      </w:r>
    </w:p>
    <w:p w:rsidR="00A85A34" w:rsidRDefault="00A85A34" w:rsidP="00A85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Il est possible d’inverser les légendes et les axes du graphique.</w:t>
      </w:r>
    </w:p>
    <w:p w:rsidR="008D7B69" w:rsidRDefault="008D7B69" w:rsidP="008D7B69">
      <w:pPr>
        <w:spacing w:after="120" w:line="240" w:lineRule="auto"/>
      </w:pPr>
      <w:r>
        <w:t>Pour exporter les données vers une feuille de calcul « Excel », il suffit de cliquer sur le bouton « </w:t>
      </w:r>
      <w:r w:rsidRPr="00A02C06">
        <w:rPr>
          <w:b/>
          <w:color w:val="000000" w:themeColor="text1"/>
        </w:rPr>
        <w:t>Exporter</w:t>
      </w:r>
      <w:r>
        <w:t> </w:t>
      </w:r>
      <w:r w:rsidR="00C16FD0">
        <w:t>« </w:t>
      </w:r>
      <w:r>
        <w:t xml:space="preserve">pour extraire </w:t>
      </w:r>
      <w:r w:rsidR="00C16FD0">
        <w:t>les données</w:t>
      </w:r>
      <w:r>
        <w:t xml:space="preserve">. Il faut ensuite préciser le fichier de destination (soit un nouveau nom de fichier, soit un non de fichier existant). </w:t>
      </w:r>
    </w:p>
    <w:p w:rsidR="00A85A34" w:rsidRDefault="00A85A34" w:rsidP="008D7B69">
      <w:pPr>
        <w:spacing w:after="120" w:line="240" w:lineRule="auto"/>
      </w:pPr>
      <w:r>
        <w:t>Il sera possible d’ajouter une colonne supplémentaire afin de calculer en pourcentage la part représentative des différentes familles de clients.</w:t>
      </w:r>
    </w:p>
    <w:p w:rsidR="008D7B69" w:rsidRDefault="008A4F3C" w:rsidP="008D7B69">
      <w:pPr>
        <w:spacing w:after="120" w:line="240" w:lineRule="auto"/>
      </w:pPr>
      <w:r>
        <w:t>Il est bien sû</w:t>
      </w:r>
      <w:r w:rsidR="008D7B69">
        <w:t>r possible, par la suite, de copier la feuille de calcul vers un autre classeur Excel.</w:t>
      </w:r>
    </w:p>
    <w:p w:rsidR="008D7B69" w:rsidRPr="008424CD" w:rsidRDefault="008D7B69" w:rsidP="00BF0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line="240" w:lineRule="auto"/>
        <w:rPr>
          <w:color w:val="FF0000"/>
        </w:rPr>
      </w:pPr>
      <w:r>
        <w:rPr>
          <w:color w:val="FF0000"/>
        </w:rPr>
        <w:t>Attention</w:t>
      </w:r>
      <w:r w:rsidRPr="008424CD">
        <w:rPr>
          <w:color w:val="FF0000"/>
        </w:rPr>
        <w:t> :</w:t>
      </w:r>
    </w:p>
    <w:p w:rsidR="00474B4A" w:rsidRDefault="008D7B69" w:rsidP="00BF0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line="240" w:lineRule="auto"/>
        <w:rPr>
          <w:rFonts w:ascii="Arial Black" w:hAnsi="Arial Black"/>
          <w:color w:val="C00000"/>
        </w:rPr>
      </w:pPr>
      <w:r>
        <w:t xml:space="preserve">Si vous sélectionnez un fichier existant cela supprime </w:t>
      </w:r>
      <w:r w:rsidR="008A4F3C">
        <w:t xml:space="preserve">automatiquement </w:t>
      </w:r>
      <w:r>
        <w:t>les données précédentes, il n’est pas possible d’alimenter un même fichier sur plusieurs feuilles de calcul directement.</w:t>
      </w:r>
      <w:r w:rsidR="00474B4A">
        <w:rPr>
          <w:rFonts w:ascii="Arial Black" w:hAnsi="Arial Black"/>
          <w:color w:val="C00000"/>
        </w:rPr>
        <w:br w:type="page"/>
      </w:r>
    </w:p>
    <w:p w:rsidR="00C260FA" w:rsidRPr="00497A40" w:rsidRDefault="00A41623" w:rsidP="00497A40">
      <w:pPr>
        <w:pStyle w:val="Titre1"/>
        <w:keepNext/>
        <w:keepLines/>
        <w:numPr>
          <w:ilvl w:val="0"/>
          <w:numId w:val="0"/>
        </w:numPr>
        <w:shd w:val="clear" w:color="auto" w:fill="F2DBDB" w:themeFill="accent2" w:themeFillTint="33"/>
        <w:spacing w:before="120" w:beforeAutospacing="0" w:after="120" w:afterAutospacing="0"/>
        <w:ind w:left="432" w:hanging="432"/>
        <w:rPr>
          <w:rFonts w:asciiTheme="minorHAnsi" w:eastAsiaTheme="majorEastAsia" w:hAnsiTheme="minorHAnsi" w:cstheme="majorBidi"/>
          <w:color w:val="C00000"/>
          <w:kern w:val="0"/>
          <w:sz w:val="28"/>
          <w:szCs w:val="28"/>
          <w:u w:val="single"/>
          <w:lang w:eastAsia="en-US"/>
        </w:rPr>
      </w:pPr>
      <w:r w:rsidRPr="00497A40">
        <w:rPr>
          <w:rFonts w:asciiTheme="minorHAnsi" w:eastAsiaTheme="majorEastAsia" w:hAnsiTheme="minorHAnsi" w:cstheme="majorBidi"/>
          <w:color w:val="C00000"/>
          <w:kern w:val="0"/>
          <w:sz w:val="28"/>
          <w:szCs w:val="28"/>
          <w:u w:val="single"/>
          <w:lang w:eastAsia="en-US"/>
        </w:rPr>
        <w:lastRenderedPageBreak/>
        <w:t>Le module comptable permet uniquement d’obtenir le CA global</w:t>
      </w:r>
      <w:r w:rsidR="00C260FA" w:rsidRPr="00497A40">
        <w:rPr>
          <w:rFonts w:asciiTheme="minorHAnsi" w:eastAsiaTheme="majorEastAsia" w:hAnsiTheme="minorHAnsi" w:cstheme="majorBidi"/>
          <w:color w:val="C00000"/>
          <w:kern w:val="0"/>
          <w:sz w:val="28"/>
          <w:szCs w:val="28"/>
          <w:u w:val="single"/>
          <w:lang w:eastAsia="en-US"/>
        </w:rPr>
        <w:t>.</w:t>
      </w:r>
    </w:p>
    <w:p w:rsidR="00C260FA" w:rsidRDefault="00C260FA" w:rsidP="00C260FA">
      <w:pPr>
        <w:spacing w:after="120" w:line="240" w:lineRule="auto"/>
      </w:pPr>
      <w:r w:rsidRPr="00C260FA">
        <w:t>Soit par le biais de la consultation des comptes de ventes, soit par le biais de l’extrait de balance des comptes de gestion (comptes 7071 à 7074).</w:t>
      </w:r>
    </w:p>
    <w:p w:rsidR="00C260FA" w:rsidRPr="00C260FA" w:rsidRDefault="00C260FA" w:rsidP="00C26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color w:val="FF0000"/>
        </w:rPr>
      </w:pPr>
      <w:r w:rsidRPr="00C260FA">
        <w:rPr>
          <w:color w:val="FF0000"/>
        </w:rPr>
        <w:t>Attention :</w:t>
      </w:r>
    </w:p>
    <w:p w:rsidR="00C260FA" w:rsidRPr="00C260FA" w:rsidRDefault="00C260FA" w:rsidP="00C26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</w:pPr>
      <w:r>
        <w:t>Le tableau du module comptable affiche le Chiffre d’affaires de l’année 2014, mais il comprend la vente des produits (liés à l’activité de l’entreprise mais aussi les autres types de produits, tel</w:t>
      </w:r>
      <w:r w:rsidR="008A4F3C">
        <w:t>s</w:t>
      </w:r>
      <w:r>
        <w:t xml:space="preserve"> que la vente de prestations de services – transport).</w:t>
      </w:r>
    </w:p>
    <w:p w:rsidR="00CF3DD8" w:rsidRDefault="00CF3DD8">
      <w:pPr>
        <w:rPr>
          <w:rFonts w:ascii="Arial Black" w:hAnsi="Arial Black"/>
          <w:color w:val="C00000"/>
        </w:rPr>
      </w:pPr>
      <w:r>
        <w:rPr>
          <w:rFonts w:ascii="Arial Black" w:hAnsi="Arial Black"/>
          <w:color w:val="C00000"/>
        </w:rPr>
        <w:br w:type="page"/>
      </w:r>
    </w:p>
    <w:p w:rsidR="00497A40" w:rsidRDefault="00497A40" w:rsidP="00497A40">
      <w:pPr>
        <w:spacing w:after="0" w:line="240" w:lineRule="auto"/>
        <w:rPr>
          <w:rFonts w:ascii="Arial Black" w:hAnsi="Arial Black"/>
          <w:color w:val="7030A0"/>
        </w:rPr>
      </w:pPr>
      <w:r>
        <w:rPr>
          <w:rFonts w:ascii="Arial Black" w:hAnsi="Arial Black"/>
          <w:color w:val="7030A0"/>
        </w:rPr>
        <w:lastRenderedPageBreak/>
        <w:t>Exemple pour l’enseignant</w:t>
      </w:r>
      <w:r w:rsidRPr="00974C56">
        <w:rPr>
          <w:rFonts w:ascii="Arial Black" w:hAnsi="Arial Black"/>
          <w:color w:val="7030A0"/>
        </w:rPr>
        <w:t xml:space="preserve"> </w:t>
      </w:r>
    </w:p>
    <w:p w:rsidR="004B671D" w:rsidRPr="00A02C06" w:rsidRDefault="006C33BC" w:rsidP="006C33BC">
      <w:pPr>
        <w:spacing w:after="0" w:line="240" w:lineRule="auto"/>
        <w:rPr>
          <w:rFonts w:ascii="Arial Black" w:hAnsi="Arial Black"/>
          <w:color w:val="7030A0"/>
        </w:rPr>
      </w:pPr>
      <w:r w:rsidRPr="00A02C06">
        <w:rPr>
          <w:rFonts w:ascii="Arial Black" w:hAnsi="Arial Black"/>
          <w:color w:val="7030A0"/>
        </w:rPr>
        <w:t>P</w:t>
      </w:r>
      <w:r w:rsidR="001B43D6" w:rsidRPr="00A02C06">
        <w:rPr>
          <w:rFonts w:ascii="Arial Black" w:hAnsi="Arial Black"/>
          <w:color w:val="7030A0"/>
        </w:rPr>
        <w:t xml:space="preserve">our obtenir la </w:t>
      </w:r>
      <w:r w:rsidR="00C16FD0" w:rsidRPr="00A02C06">
        <w:rPr>
          <w:rFonts w:ascii="Arial Black" w:hAnsi="Arial Black"/>
          <w:color w:val="7030A0"/>
        </w:rPr>
        <w:t>répartition du chiffre d’affaires par famille de clients</w:t>
      </w:r>
    </w:p>
    <w:p w:rsidR="001B43D6" w:rsidRPr="006C33BC" w:rsidRDefault="00BB3E50" w:rsidP="006C33BC">
      <w:pPr>
        <w:spacing w:after="0" w:line="240" w:lineRule="auto"/>
      </w:pPr>
      <w:r>
        <w:t>À</w:t>
      </w:r>
      <w:r w:rsidR="001B43D6" w:rsidRPr="006C33BC">
        <w:t xml:space="preserve"> partir de </w:t>
      </w:r>
      <w:r w:rsidR="00C16FD0">
        <w:t xml:space="preserve">l’option </w:t>
      </w:r>
      <w:r w:rsidR="00A02C06">
        <w:t>« s</w:t>
      </w:r>
      <w:r w:rsidR="00C16FD0">
        <w:t>tatistiques</w:t>
      </w:r>
      <w:r w:rsidR="00A02C06">
        <w:t> »</w:t>
      </w:r>
      <w:r w:rsidR="00C16FD0">
        <w:t xml:space="preserve"> des clients : « Chiffre d’affaires groupé par famille</w:t>
      </w:r>
      <w:r w:rsidR="00A02C06">
        <w:t> »</w:t>
      </w:r>
    </w:p>
    <w:p w:rsidR="001B43D6" w:rsidRPr="006C33BC" w:rsidRDefault="001B43D6" w:rsidP="006C33BC">
      <w:pPr>
        <w:spacing w:after="0" w:line="240" w:lineRule="auto"/>
      </w:pPr>
      <w:r w:rsidRPr="006C33BC">
        <w:t xml:space="preserve">Il faut </w:t>
      </w:r>
      <w:r w:rsidR="00C16FD0">
        <w:t>préciser la période correspondante et réduire l’affichage de la colonne « Code Famille »</w:t>
      </w:r>
    </w:p>
    <w:p w:rsidR="001B43D6" w:rsidRDefault="00C16FD0" w:rsidP="006C33BC">
      <w:pPr>
        <w:spacing w:after="0" w:line="240" w:lineRule="auto"/>
        <w:ind w:firstLine="708"/>
        <w:rPr>
          <w:strike/>
        </w:rPr>
      </w:pPr>
      <w:r>
        <w:rPr>
          <w:rFonts w:ascii="Arial Black" w:hAnsi="Arial Black"/>
          <w:noProof/>
          <w:color w:val="C00000"/>
          <w:lang w:eastAsia="fr-FR"/>
        </w:rPr>
        <w:drawing>
          <wp:inline distT="0" distB="0" distL="0" distR="0">
            <wp:extent cx="5756910" cy="3789045"/>
            <wp:effectExtent l="19050" t="0" r="0" b="0"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378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3D6" w:rsidRPr="006C33BC" w:rsidRDefault="00BB3E50" w:rsidP="006C33BC">
      <w:pPr>
        <w:spacing w:after="0" w:line="240" w:lineRule="auto"/>
      </w:pPr>
      <w:r>
        <w:t xml:space="preserve">Ensuite </w:t>
      </w:r>
      <w:bookmarkStart w:id="0" w:name="_GoBack"/>
      <w:bookmarkEnd w:id="0"/>
      <w:r w:rsidR="00C16FD0">
        <w:t>bien sélectionner la zone à représenter sous forme de graphique et sélectionner l’onglet « Graphique »</w:t>
      </w:r>
    </w:p>
    <w:p w:rsidR="006C33BC" w:rsidRPr="006C33BC" w:rsidRDefault="00C16FD0" w:rsidP="006C33BC">
      <w:pPr>
        <w:spacing w:after="0" w:line="240" w:lineRule="auto"/>
      </w:pPr>
      <w:r>
        <w:rPr>
          <w:noProof/>
          <w:lang w:eastAsia="fr-FR"/>
        </w:rPr>
        <w:drawing>
          <wp:inline distT="0" distB="0" distL="0" distR="0">
            <wp:extent cx="5379567" cy="3773291"/>
            <wp:effectExtent l="19050" t="0" r="0" b="0"/>
            <wp:docPr id="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534" cy="3773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FD0" w:rsidRDefault="00C16FD0">
      <w:r>
        <w:br w:type="page"/>
      </w:r>
    </w:p>
    <w:p w:rsidR="006C33BC" w:rsidRDefault="00C16FD0" w:rsidP="006C33BC">
      <w:pPr>
        <w:spacing w:after="0" w:line="240" w:lineRule="auto"/>
      </w:pPr>
      <w:r>
        <w:lastRenderedPageBreak/>
        <w:t>Pour le module comptable voici le résultat correspondant :</w:t>
      </w:r>
    </w:p>
    <w:p w:rsidR="00C16FD0" w:rsidRPr="006C33BC" w:rsidRDefault="00C16FD0" w:rsidP="006C33BC">
      <w:pPr>
        <w:spacing w:after="0" w:line="240" w:lineRule="auto"/>
      </w:pPr>
      <w:r>
        <w:rPr>
          <w:noProof/>
          <w:lang w:eastAsia="fr-FR"/>
        </w:rPr>
        <w:drawing>
          <wp:inline distT="0" distB="0" distL="0" distR="0">
            <wp:extent cx="5753100" cy="4305300"/>
            <wp:effectExtent l="19050" t="0" r="0" b="0"/>
            <wp:docPr id="7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3BC" w:rsidRDefault="006C33BC" w:rsidP="006C33BC">
      <w:pPr>
        <w:spacing w:after="0" w:line="240" w:lineRule="auto"/>
        <w:rPr>
          <w:strike/>
        </w:rPr>
      </w:pPr>
    </w:p>
    <w:p w:rsidR="006C33BC" w:rsidRDefault="006C33BC" w:rsidP="006C33BC">
      <w:pPr>
        <w:spacing w:after="0" w:line="240" w:lineRule="auto"/>
        <w:rPr>
          <w:strike/>
        </w:rPr>
      </w:pPr>
    </w:p>
    <w:p w:rsidR="006C33BC" w:rsidRPr="00C32C32" w:rsidRDefault="006C33BC" w:rsidP="001B43D6">
      <w:pPr>
        <w:rPr>
          <w:strike/>
        </w:rPr>
      </w:pPr>
    </w:p>
    <w:sectPr w:rsidR="006C33BC" w:rsidRPr="00C32C32" w:rsidSect="004F4C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199" w:rsidRDefault="00B01199" w:rsidP="00376F0F">
      <w:pPr>
        <w:spacing w:after="0" w:line="240" w:lineRule="auto"/>
      </w:pPr>
      <w:r>
        <w:separator/>
      </w:r>
    </w:p>
  </w:endnote>
  <w:endnote w:type="continuationSeparator" w:id="0">
    <w:p w:rsidR="00B01199" w:rsidRDefault="00B01199" w:rsidP="00376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B4A" w:rsidRDefault="00474B4A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683" w:rsidRDefault="00627683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Mode opératoire PGI – EBP</w:t>
    </w:r>
    <w:r w:rsidR="006C33BC">
      <w:rPr>
        <w:rFonts w:asciiTheme="majorHAnsi" w:hAnsiTheme="majorHAnsi"/>
      </w:rPr>
      <w:t xml:space="preserve"> – </w:t>
    </w:r>
    <w:r w:rsidR="00474B4A">
      <w:rPr>
        <w:rFonts w:asciiTheme="majorHAnsi" w:hAnsiTheme="majorHAnsi"/>
      </w:rPr>
      <w:t>Répartition du CA par famille « Clients »</w:t>
    </w:r>
    <w:r>
      <w:rPr>
        <w:rFonts w:asciiTheme="majorHAnsi" w:hAnsiTheme="majorHAnsi"/>
      </w:rPr>
      <w:tab/>
      <w:t xml:space="preserve">Page </w:t>
    </w:r>
    <w:r w:rsidR="00A8490E" w:rsidRPr="00A8490E">
      <w:fldChar w:fldCharType="begin"/>
    </w:r>
    <w:r w:rsidR="00887DDC">
      <w:instrText xml:space="preserve"> PAGE   \* MERGEFORMAT </w:instrText>
    </w:r>
    <w:r w:rsidR="00A8490E" w:rsidRPr="00A8490E">
      <w:fldChar w:fldCharType="separate"/>
    </w:r>
    <w:r w:rsidR="00BF0E26" w:rsidRPr="00BF0E26">
      <w:rPr>
        <w:rFonts w:asciiTheme="majorHAnsi" w:hAnsiTheme="majorHAnsi"/>
        <w:noProof/>
      </w:rPr>
      <w:t>1</w:t>
    </w:r>
    <w:r w:rsidR="00A8490E">
      <w:rPr>
        <w:rFonts w:asciiTheme="majorHAnsi" w:hAnsiTheme="majorHAnsi"/>
        <w:noProof/>
      </w:rPr>
      <w:fldChar w:fldCharType="end"/>
    </w:r>
    <w:r>
      <w:t xml:space="preserve"> sur </w:t>
    </w:r>
    <w:r w:rsidR="00497A40">
      <w:t>2</w:t>
    </w:r>
  </w:p>
  <w:p w:rsidR="00627683" w:rsidRDefault="00627683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B4A" w:rsidRDefault="00474B4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199" w:rsidRDefault="00B01199" w:rsidP="00376F0F">
      <w:pPr>
        <w:spacing w:after="0" w:line="240" w:lineRule="auto"/>
      </w:pPr>
      <w:r>
        <w:separator/>
      </w:r>
    </w:p>
  </w:footnote>
  <w:footnote w:type="continuationSeparator" w:id="0">
    <w:p w:rsidR="00B01199" w:rsidRDefault="00B01199" w:rsidP="00376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B4A" w:rsidRDefault="00474B4A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B4A" w:rsidRDefault="00474B4A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B4A" w:rsidRDefault="00474B4A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B6E40"/>
    <w:multiLevelType w:val="hybridMultilevel"/>
    <w:tmpl w:val="5E3EF708"/>
    <w:lvl w:ilvl="0" w:tplc="77D234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277DE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212B7"/>
    <w:multiLevelType w:val="hybridMultilevel"/>
    <w:tmpl w:val="1C3A596A"/>
    <w:lvl w:ilvl="0" w:tplc="28909C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72D05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6E76DC"/>
    <w:multiLevelType w:val="hybridMultilevel"/>
    <w:tmpl w:val="727C9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BD7A7B"/>
    <w:multiLevelType w:val="hybridMultilevel"/>
    <w:tmpl w:val="1B56356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07634C0"/>
    <w:multiLevelType w:val="hybridMultilevel"/>
    <w:tmpl w:val="F572D0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456C30"/>
    <w:multiLevelType w:val="multilevel"/>
    <w:tmpl w:val="5CD02BF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7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D34"/>
    <w:rsid w:val="000169E5"/>
    <w:rsid w:val="00023776"/>
    <w:rsid w:val="0002408F"/>
    <w:rsid w:val="00024F5E"/>
    <w:rsid w:val="000B1896"/>
    <w:rsid w:val="000C2513"/>
    <w:rsid w:val="000D4137"/>
    <w:rsid w:val="000E231F"/>
    <w:rsid w:val="001274E2"/>
    <w:rsid w:val="001465DC"/>
    <w:rsid w:val="00190BE8"/>
    <w:rsid w:val="00196B22"/>
    <w:rsid w:val="001A08C3"/>
    <w:rsid w:val="001B43D6"/>
    <w:rsid w:val="00216F29"/>
    <w:rsid w:val="002A601B"/>
    <w:rsid w:val="002A65C8"/>
    <w:rsid w:val="002C24E0"/>
    <w:rsid w:val="002C350D"/>
    <w:rsid w:val="00316B05"/>
    <w:rsid w:val="003255CC"/>
    <w:rsid w:val="00376F0F"/>
    <w:rsid w:val="003823FF"/>
    <w:rsid w:val="00392A3A"/>
    <w:rsid w:val="003A5A9C"/>
    <w:rsid w:val="003C060E"/>
    <w:rsid w:val="003C23A4"/>
    <w:rsid w:val="003D1EFC"/>
    <w:rsid w:val="003E0236"/>
    <w:rsid w:val="0041016D"/>
    <w:rsid w:val="004222AA"/>
    <w:rsid w:val="0046298E"/>
    <w:rsid w:val="00465D18"/>
    <w:rsid w:val="00474B4A"/>
    <w:rsid w:val="0049072A"/>
    <w:rsid w:val="0049776D"/>
    <w:rsid w:val="00497A40"/>
    <w:rsid w:val="004B671D"/>
    <w:rsid w:val="004C6375"/>
    <w:rsid w:val="004D2000"/>
    <w:rsid w:val="004D36A8"/>
    <w:rsid w:val="004F4C2E"/>
    <w:rsid w:val="00500F73"/>
    <w:rsid w:val="00534A9A"/>
    <w:rsid w:val="00560713"/>
    <w:rsid w:val="005B006C"/>
    <w:rsid w:val="005B3D00"/>
    <w:rsid w:val="005D24AB"/>
    <w:rsid w:val="00627683"/>
    <w:rsid w:val="00645C2F"/>
    <w:rsid w:val="0064606F"/>
    <w:rsid w:val="00664EC6"/>
    <w:rsid w:val="006B6531"/>
    <w:rsid w:val="006C33BC"/>
    <w:rsid w:val="006E705E"/>
    <w:rsid w:val="007108A9"/>
    <w:rsid w:val="00755F14"/>
    <w:rsid w:val="00777192"/>
    <w:rsid w:val="007A4493"/>
    <w:rsid w:val="007B351B"/>
    <w:rsid w:val="007B6705"/>
    <w:rsid w:val="007E2192"/>
    <w:rsid w:val="007F11B9"/>
    <w:rsid w:val="007F1F08"/>
    <w:rsid w:val="007F71AA"/>
    <w:rsid w:val="008315A1"/>
    <w:rsid w:val="008424CD"/>
    <w:rsid w:val="00857BCE"/>
    <w:rsid w:val="00887DDC"/>
    <w:rsid w:val="008924DA"/>
    <w:rsid w:val="008A4F3C"/>
    <w:rsid w:val="008B517A"/>
    <w:rsid w:val="008D3FD6"/>
    <w:rsid w:val="008D43D4"/>
    <w:rsid w:val="008D5841"/>
    <w:rsid w:val="008D7B69"/>
    <w:rsid w:val="008E0E50"/>
    <w:rsid w:val="008F49DD"/>
    <w:rsid w:val="008F6A10"/>
    <w:rsid w:val="00901250"/>
    <w:rsid w:val="00902060"/>
    <w:rsid w:val="00904A2C"/>
    <w:rsid w:val="00912D24"/>
    <w:rsid w:val="00954375"/>
    <w:rsid w:val="0099542F"/>
    <w:rsid w:val="009B46D3"/>
    <w:rsid w:val="009B6A5B"/>
    <w:rsid w:val="009D0A6C"/>
    <w:rsid w:val="009D3A96"/>
    <w:rsid w:val="009E5995"/>
    <w:rsid w:val="00A02C06"/>
    <w:rsid w:val="00A31394"/>
    <w:rsid w:val="00A41623"/>
    <w:rsid w:val="00A64B41"/>
    <w:rsid w:val="00A73AF3"/>
    <w:rsid w:val="00A74829"/>
    <w:rsid w:val="00A74C37"/>
    <w:rsid w:val="00A84660"/>
    <w:rsid w:val="00A8490E"/>
    <w:rsid w:val="00A85A34"/>
    <w:rsid w:val="00A87B00"/>
    <w:rsid w:val="00AA1875"/>
    <w:rsid w:val="00AA19CA"/>
    <w:rsid w:val="00AA76B1"/>
    <w:rsid w:val="00AB5E4B"/>
    <w:rsid w:val="00AE184A"/>
    <w:rsid w:val="00B01199"/>
    <w:rsid w:val="00B263FA"/>
    <w:rsid w:val="00B2746A"/>
    <w:rsid w:val="00B542BE"/>
    <w:rsid w:val="00B568C5"/>
    <w:rsid w:val="00B67C77"/>
    <w:rsid w:val="00B71FCA"/>
    <w:rsid w:val="00B74E48"/>
    <w:rsid w:val="00BA5573"/>
    <w:rsid w:val="00BA60AE"/>
    <w:rsid w:val="00BA65AC"/>
    <w:rsid w:val="00BB1602"/>
    <w:rsid w:val="00BB3E50"/>
    <w:rsid w:val="00BC3D79"/>
    <w:rsid w:val="00BF0E26"/>
    <w:rsid w:val="00BF6510"/>
    <w:rsid w:val="00C16FD0"/>
    <w:rsid w:val="00C22DF9"/>
    <w:rsid w:val="00C23006"/>
    <w:rsid w:val="00C260FA"/>
    <w:rsid w:val="00C2634B"/>
    <w:rsid w:val="00C32C32"/>
    <w:rsid w:val="00C84992"/>
    <w:rsid w:val="00C855E6"/>
    <w:rsid w:val="00C90409"/>
    <w:rsid w:val="00CE44A3"/>
    <w:rsid w:val="00CE7EBF"/>
    <w:rsid w:val="00CF3DD8"/>
    <w:rsid w:val="00D3220F"/>
    <w:rsid w:val="00D3286A"/>
    <w:rsid w:val="00D5723D"/>
    <w:rsid w:val="00DB1247"/>
    <w:rsid w:val="00DE261F"/>
    <w:rsid w:val="00DF6160"/>
    <w:rsid w:val="00E06CC0"/>
    <w:rsid w:val="00E4181D"/>
    <w:rsid w:val="00E46DE1"/>
    <w:rsid w:val="00E52212"/>
    <w:rsid w:val="00E76530"/>
    <w:rsid w:val="00E94687"/>
    <w:rsid w:val="00E955C5"/>
    <w:rsid w:val="00EF7148"/>
    <w:rsid w:val="00F16D20"/>
    <w:rsid w:val="00F22A20"/>
    <w:rsid w:val="00F42D63"/>
    <w:rsid w:val="00F45B6D"/>
    <w:rsid w:val="00F66401"/>
    <w:rsid w:val="00F76174"/>
    <w:rsid w:val="00F85505"/>
    <w:rsid w:val="00F906D7"/>
    <w:rsid w:val="00F92991"/>
    <w:rsid w:val="00FB5D34"/>
    <w:rsid w:val="00FC32F5"/>
    <w:rsid w:val="00FD2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C2E"/>
  </w:style>
  <w:style w:type="paragraph" w:styleId="Titre1">
    <w:name w:val="heading 1"/>
    <w:basedOn w:val="Normal"/>
    <w:link w:val="Titre1Car"/>
    <w:uiPriority w:val="9"/>
    <w:qFormat/>
    <w:rsid w:val="00497A40"/>
    <w:pPr>
      <w:numPr>
        <w:numId w:val="8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A5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557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A557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76F0F"/>
  </w:style>
  <w:style w:type="paragraph" w:styleId="Pieddepage">
    <w:name w:val="footer"/>
    <w:basedOn w:val="Normal"/>
    <w:link w:val="PieddepageCar"/>
    <w:uiPriority w:val="99"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6F0F"/>
  </w:style>
  <w:style w:type="character" w:customStyle="1" w:styleId="Titre1Car">
    <w:name w:val="Titre 1 Car"/>
    <w:basedOn w:val="Policepardfaut"/>
    <w:link w:val="Titre1"/>
    <w:uiPriority w:val="9"/>
    <w:rsid w:val="00497A4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497A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497A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63D08B-C23C-408C-A6E3-610848ADB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457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Enseignant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 Opératoire PGI EBP</dc:title>
  <dc:creator>J. Grard</dc:creator>
  <cp:keywords>PGI; EBP</cp:keywords>
  <cp:lastModifiedBy>joan</cp:lastModifiedBy>
  <cp:revision>2</cp:revision>
  <dcterms:created xsi:type="dcterms:W3CDTF">2015-05-15T08:50:00Z</dcterms:created>
  <dcterms:modified xsi:type="dcterms:W3CDTF">2015-05-15T08:50:00Z</dcterms:modified>
  <cp:category>Mode Opératoire</cp:category>
</cp:coreProperties>
</file>