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E94" w:rsidRDefault="00313E94" w:rsidP="00313E94">
      <w:pPr>
        <w:pStyle w:val="Titre"/>
        <w:rPr>
          <w:lang w:eastAsia="en-US"/>
        </w:rPr>
      </w:pPr>
      <w:r>
        <w:rPr>
          <w:lang w:eastAsia="en-US"/>
        </w:rPr>
        <w:t>MODE OP</w:t>
      </w:r>
      <w:r w:rsidR="00793ED5">
        <w:rPr>
          <w:lang w:eastAsia="en-US"/>
        </w:rPr>
        <w:t>É</w:t>
      </w:r>
      <w:r>
        <w:rPr>
          <w:lang w:eastAsia="en-US"/>
        </w:rPr>
        <w:t xml:space="preserve">RATOIRE </w:t>
      </w:r>
    </w:p>
    <w:p w:rsidR="00313E94" w:rsidRDefault="00313E94" w:rsidP="00313E94">
      <w:pPr>
        <w:pStyle w:val="Titre"/>
        <w:rPr>
          <w:lang w:eastAsia="en-US"/>
        </w:rPr>
      </w:pPr>
      <w:r>
        <w:rPr>
          <w:lang w:eastAsia="en-US"/>
        </w:rPr>
        <w:t xml:space="preserve">EXTRACTION ET EXPORTATION </w:t>
      </w:r>
    </w:p>
    <w:p w:rsidR="00313E94" w:rsidRPr="00313E94" w:rsidRDefault="00313E94" w:rsidP="00313E94">
      <w:pPr>
        <w:pStyle w:val="Titre"/>
        <w:rPr>
          <w:sz w:val="40"/>
          <w:lang w:eastAsia="en-US"/>
        </w:rPr>
      </w:pPr>
      <w:r w:rsidRPr="00313E94">
        <w:rPr>
          <w:sz w:val="40"/>
          <w:lang w:eastAsia="en-US"/>
        </w:rPr>
        <w:t>Les dotations de l’ensemble des immobilisations</w:t>
      </w:r>
    </w:p>
    <w:p w:rsidR="002D2AFE" w:rsidRPr="00313E94" w:rsidRDefault="00313E94" w:rsidP="00313E94">
      <w:pPr>
        <w:pStyle w:val="Titre1"/>
        <w:keepNext/>
        <w:keepLines/>
        <w:numPr>
          <w:ilvl w:val="0"/>
          <w:numId w:val="0"/>
        </w:numPr>
        <w:shd w:val="clear" w:color="auto" w:fill="FDE9D9" w:themeFill="accent6" w:themeFillTint="33"/>
        <w:spacing w:before="120" w:beforeAutospacing="0" w:after="120" w:afterAutospacing="0"/>
        <w:ind w:left="432" w:hanging="432"/>
        <w:rPr>
          <w:rFonts w:asciiTheme="minorHAnsi" w:eastAsiaTheme="majorEastAsia" w:hAnsiTheme="minorHAnsi" w:cstheme="majorBidi"/>
          <w:color w:val="984806" w:themeColor="accent6" w:themeShade="80"/>
          <w:kern w:val="0"/>
          <w:sz w:val="28"/>
          <w:szCs w:val="28"/>
          <w:u w:val="single"/>
          <w:lang w:eastAsia="en-US"/>
        </w:rPr>
      </w:pPr>
      <w:r>
        <w:rPr>
          <w:rFonts w:asciiTheme="minorHAnsi" w:eastAsiaTheme="majorEastAsia" w:hAnsiTheme="minorHAnsi" w:cstheme="majorBidi"/>
          <w:color w:val="984806" w:themeColor="accent6" w:themeShade="80"/>
          <w:kern w:val="0"/>
          <w:sz w:val="28"/>
          <w:szCs w:val="28"/>
          <w:u w:val="single"/>
          <w:lang w:eastAsia="en-US"/>
        </w:rPr>
        <w:t>Module Immobilisation</w:t>
      </w:r>
    </w:p>
    <w:p w:rsidR="002D2AFE" w:rsidRPr="00190BE8" w:rsidRDefault="002D2AFE" w:rsidP="002D2A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40" w:line="240" w:lineRule="auto"/>
        <w:rPr>
          <w:color w:val="FF0000"/>
        </w:rPr>
      </w:pPr>
      <w:r w:rsidRPr="00190BE8">
        <w:rPr>
          <w:color w:val="FF0000"/>
        </w:rPr>
        <w:t>Remarque :</w:t>
      </w:r>
    </w:p>
    <w:p w:rsidR="002D2AFE" w:rsidRPr="00190BE8" w:rsidRDefault="002D2AFE" w:rsidP="002D2A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40" w:line="240" w:lineRule="auto"/>
        <w:rPr>
          <w:color w:val="000000" w:themeColor="text1"/>
        </w:rPr>
      </w:pPr>
      <w:r w:rsidRPr="00190BE8">
        <w:rPr>
          <w:color w:val="000000" w:themeColor="text1"/>
        </w:rPr>
        <w:t>Sans même générer l’inventaire, il est possible d’obtenir le montant des dotations d’une année.</w:t>
      </w:r>
    </w:p>
    <w:p w:rsidR="002D2AFE" w:rsidRPr="00C32C32" w:rsidRDefault="002D2AFE" w:rsidP="002D2AFE">
      <w:pPr>
        <w:rPr>
          <w:strike/>
        </w:rPr>
      </w:pPr>
    </w:p>
    <w:p w:rsidR="002D2AFE" w:rsidRDefault="008F28AB" w:rsidP="002D2AFE">
      <w:r>
        <w:t>À</w:t>
      </w:r>
      <w:r w:rsidR="002D2AFE">
        <w:t xml:space="preserve"> partir de l’écran de démarrage, cliquer sur le bouton interactif « </w:t>
      </w:r>
      <w:r w:rsidR="002D2AFE" w:rsidRPr="002B7E27">
        <w:rPr>
          <w:b/>
        </w:rPr>
        <w:t>Liste des plans d’amortissements</w:t>
      </w:r>
      <w:r w:rsidR="002D2AFE">
        <w:t xml:space="preserve"> » ou </w:t>
      </w:r>
      <w:r w:rsidR="002D2AFE" w:rsidRPr="00190BE8">
        <w:t>Cliquer dans l’univers « </w:t>
      </w:r>
      <w:r w:rsidR="002D2AFE">
        <w:rPr>
          <w:b/>
        </w:rPr>
        <w:t>Immobilisations</w:t>
      </w:r>
      <w:r w:rsidR="002D2AFE" w:rsidRPr="00190BE8">
        <w:t xml:space="preserve"> », puis sur </w:t>
      </w:r>
      <w:r w:rsidR="002D2AFE">
        <w:t>la rubrique</w:t>
      </w:r>
      <w:r w:rsidR="002D2AFE" w:rsidRPr="00190BE8">
        <w:t xml:space="preserve"> « </w:t>
      </w:r>
      <w:r w:rsidR="002D2AFE">
        <w:rPr>
          <w:b/>
        </w:rPr>
        <w:t>Plan d’amortissement</w:t>
      </w:r>
      <w:r w:rsidR="002D2AFE" w:rsidRPr="00190BE8">
        <w:rPr>
          <w:b/>
        </w:rPr>
        <w:t> »</w:t>
      </w:r>
      <w:r w:rsidR="002D2AFE">
        <w:t>. L’ensemble des plans d’amortissements s’affichent.</w:t>
      </w:r>
    </w:p>
    <w:p w:rsidR="002D2AFE" w:rsidRPr="00190BE8" w:rsidRDefault="002D2AFE" w:rsidP="002D2AFE">
      <w:r>
        <w:t>Sélectionner, pour chaque plan d’amortissement, la ligne de dotation correspondante.</w:t>
      </w:r>
    </w:p>
    <w:p w:rsidR="002D2AFE" w:rsidRPr="008424CD" w:rsidRDefault="002D2AFE" w:rsidP="002D2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</w:rPr>
      </w:pPr>
      <w:r>
        <w:rPr>
          <w:color w:val="FF0000"/>
        </w:rPr>
        <w:t>Important</w:t>
      </w:r>
      <w:r w:rsidRPr="008424CD">
        <w:rPr>
          <w:color w:val="FF0000"/>
        </w:rPr>
        <w:t> :</w:t>
      </w:r>
    </w:p>
    <w:p w:rsidR="002D2AFE" w:rsidRDefault="002D2AFE" w:rsidP="002D2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Pour faciliter la sélection des lignes de dotation, pour une année précise, il suffit de saisir, dans la zone de « recherche » la date d’inventaire correspondante, puis de valider. Seules les dotations de la date d’inventaire s’affichent.</w:t>
      </w:r>
    </w:p>
    <w:p w:rsidR="002D2AFE" w:rsidRDefault="002D2AFE" w:rsidP="002D2AFE">
      <w:pPr>
        <w:spacing w:after="120" w:line="240" w:lineRule="auto"/>
      </w:pPr>
      <w:r>
        <w:t>Pour exporter les données vers une feuille de calcul « Excel », il suffit de cliquer sur le bouton « </w:t>
      </w:r>
      <w:r w:rsidRPr="002B7E27">
        <w:rPr>
          <w:b/>
          <w:color w:val="000000" w:themeColor="text1"/>
        </w:rPr>
        <w:t>Exporter</w:t>
      </w:r>
      <w:r>
        <w:t> » et retenir l’option « </w:t>
      </w:r>
      <w:r w:rsidRPr="002B7E27">
        <w:rPr>
          <w:b/>
          <w:color w:val="000000" w:themeColor="text1"/>
        </w:rPr>
        <w:t>Exporter la sélection</w:t>
      </w:r>
      <w:r>
        <w:t> » pour extraire le montant des dotations pour une période concernée. Il faut ensuite préciser le fichier de destination (soit un nou</w:t>
      </w:r>
      <w:r w:rsidR="008F28AB">
        <w:t>veau nom de fichier, soit un nom</w:t>
      </w:r>
      <w:r>
        <w:t xml:space="preserve"> de fichier existant). </w:t>
      </w:r>
    </w:p>
    <w:p w:rsidR="002D2AFE" w:rsidRDefault="008F28AB" w:rsidP="002D2AFE">
      <w:pPr>
        <w:spacing w:after="120" w:line="240" w:lineRule="auto"/>
      </w:pPr>
      <w:r>
        <w:t>Il est bien sû</w:t>
      </w:r>
      <w:r w:rsidR="002D2AFE">
        <w:t>r possible, par la suite, de copier la feuille de calcul vers un autre classeur Excel.</w:t>
      </w:r>
    </w:p>
    <w:p w:rsidR="002D2AFE" w:rsidRPr="008424CD" w:rsidRDefault="002D2AFE" w:rsidP="002D2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</w:rPr>
      </w:pPr>
      <w:r>
        <w:rPr>
          <w:color w:val="FF0000"/>
        </w:rPr>
        <w:t>Attention</w:t>
      </w:r>
      <w:r w:rsidRPr="008424CD">
        <w:rPr>
          <w:color w:val="FF0000"/>
        </w:rPr>
        <w:t> :</w:t>
      </w:r>
    </w:p>
    <w:p w:rsidR="008F28AB" w:rsidRDefault="008F28AB" w:rsidP="008F2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Si vous sélectionnez un fichier existant cela supprime automatiquement les données précédentes, il n’est pas possible d’alimenter un même fichier sur plusieurs feuilles de calcul directement.</w:t>
      </w:r>
    </w:p>
    <w:p w:rsidR="002D2AFE" w:rsidRDefault="002D2AFE">
      <w:pPr>
        <w:rPr>
          <w:rFonts w:ascii="Arial Black" w:hAnsi="Arial Black"/>
          <w:color w:val="C00000"/>
        </w:rPr>
      </w:pPr>
      <w:r>
        <w:rPr>
          <w:rFonts w:ascii="Arial Black" w:hAnsi="Arial Black"/>
          <w:color w:val="C00000"/>
        </w:rPr>
        <w:br w:type="page"/>
      </w:r>
    </w:p>
    <w:p w:rsidR="00313E94" w:rsidRDefault="00313E94" w:rsidP="00313E94">
      <w:pPr>
        <w:spacing w:after="0" w:line="240" w:lineRule="auto"/>
        <w:rPr>
          <w:rFonts w:ascii="Arial Black" w:hAnsi="Arial Black"/>
          <w:color w:val="7030A0"/>
        </w:rPr>
      </w:pPr>
      <w:r>
        <w:rPr>
          <w:rFonts w:ascii="Arial Black" w:hAnsi="Arial Black"/>
          <w:color w:val="7030A0"/>
        </w:rPr>
        <w:lastRenderedPageBreak/>
        <w:t>Exemple pour l’enseignant</w:t>
      </w:r>
      <w:r w:rsidRPr="00974C56">
        <w:rPr>
          <w:rFonts w:ascii="Arial Black" w:hAnsi="Arial Black"/>
          <w:color w:val="7030A0"/>
        </w:rPr>
        <w:t xml:space="preserve"> </w:t>
      </w:r>
    </w:p>
    <w:p w:rsidR="004B671D" w:rsidRPr="002B7E27" w:rsidRDefault="006C33BC" w:rsidP="006C33BC">
      <w:pPr>
        <w:spacing w:after="0" w:line="240" w:lineRule="auto"/>
        <w:rPr>
          <w:rFonts w:ascii="Arial Black" w:hAnsi="Arial Black"/>
          <w:color w:val="7030A0"/>
        </w:rPr>
      </w:pPr>
      <w:r w:rsidRPr="002B7E27">
        <w:rPr>
          <w:rFonts w:ascii="Arial Black" w:hAnsi="Arial Black"/>
          <w:color w:val="7030A0"/>
        </w:rPr>
        <w:t>P</w:t>
      </w:r>
      <w:r w:rsidR="001B43D6" w:rsidRPr="002B7E27">
        <w:rPr>
          <w:rFonts w:ascii="Arial Black" w:hAnsi="Arial Black"/>
          <w:color w:val="7030A0"/>
        </w:rPr>
        <w:t>our obtenir l</w:t>
      </w:r>
      <w:r w:rsidR="00BC469F" w:rsidRPr="002B7E27">
        <w:rPr>
          <w:rFonts w:ascii="Arial Black" w:hAnsi="Arial Black"/>
          <w:color w:val="7030A0"/>
        </w:rPr>
        <w:t xml:space="preserve">es </w:t>
      </w:r>
      <w:r w:rsidR="002D2AFE" w:rsidRPr="002B7E27">
        <w:rPr>
          <w:rFonts w:ascii="Arial Black" w:hAnsi="Arial Black"/>
          <w:color w:val="7030A0"/>
        </w:rPr>
        <w:t>dotations aux amortissements d’une date d’inventaire précise</w:t>
      </w:r>
    </w:p>
    <w:p w:rsidR="001B43D6" w:rsidRPr="006C33BC" w:rsidRDefault="008F28AB" w:rsidP="006C33BC">
      <w:pPr>
        <w:spacing w:after="0" w:line="240" w:lineRule="auto"/>
      </w:pPr>
      <w:r>
        <w:t>À</w:t>
      </w:r>
      <w:bookmarkStart w:id="0" w:name="_GoBack"/>
      <w:bookmarkEnd w:id="0"/>
      <w:r w:rsidR="001B43D6" w:rsidRPr="006C33BC">
        <w:t xml:space="preserve"> partir de </w:t>
      </w:r>
      <w:r w:rsidR="00C16FD0">
        <w:t xml:space="preserve">l’option </w:t>
      </w:r>
      <w:r w:rsidR="002D2AFE">
        <w:t>Plan d’amortissement</w:t>
      </w:r>
      <w:r w:rsidR="00BC469F">
        <w:t xml:space="preserve"> de l’univers « </w:t>
      </w:r>
      <w:r w:rsidR="002D2AFE">
        <w:t>Immobilisations</w:t>
      </w:r>
      <w:r w:rsidR="00BC469F">
        <w:t> »</w:t>
      </w:r>
    </w:p>
    <w:p w:rsidR="001B43D6" w:rsidRPr="006C33BC" w:rsidRDefault="001B43D6" w:rsidP="006C33BC">
      <w:pPr>
        <w:spacing w:after="0" w:line="240" w:lineRule="auto"/>
      </w:pPr>
      <w:r w:rsidRPr="006C33BC">
        <w:t xml:space="preserve">Il </w:t>
      </w:r>
      <w:r w:rsidR="002D2AFE">
        <w:t xml:space="preserve">faut sélectionner la ou les lignes à exporter </w:t>
      </w:r>
      <w:r w:rsidR="00BC469F">
        <w:t>:</w:t>
      </w:r>
    </w:p>
    <w:p w:rsidR="001B43D6" w:rsidRDefault="002D2AFE" w:rsidP="006C33BC">
      <w:pPr>
        <w:spacing w:after="0" w:line="240" w:lineRule="auto"/>
        <w:ind w:firstLine="708"/>
        <w:rPr>
          <w:strike/>
        </w:rPr>
      </w:pPr>
      <w:r>
        <w:rPr>
          <w:strike/>
          <w:noProof/>
          <w:lang w:eastAsia="fr-FR"/>
        </w:rPr>
        <w:drawing>
          <wp:inline distT="0" distB="0" distL="0" distR="0">
            <wp:extent cx="5753735" cy="3166110"/>
            <wp:effectExtent l="1905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316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BE1" w:rsidRDefault="00F64BE1" w:rsidP="006C33BC">
      <w:pPr>
        <w:spacing w:after="0" w:line="240" w:lineRule="auto"/>
      </w:pPr>
    </w:p>
    <w:p w:rsidR="001B43D6" w:rsidRDefault="002D2AFE" w:rsidP="006C33BC">
      <w:pPr>
        <w:spacing w:after="0" w:line="240" w:lineRule="auto"/>
      </w:pPr>
      <w:r>
        <w:t>Il est possible d’afficher certaines dotations à partir de la date d’inventaire, par le biais de la zone « Rechercher </w:t>
      </w:r>
      <w:proofErr w:type="gramStart"/>
      <w:r>
        <w:t xml:space="preserve">» </w:t>
      </w:r>
      <w:r w:rsidR="00453496">
        <w:t> :</w:t>
      </w:r>
      <w:proofErr w:type="gramEnd"/>
    </w:p>
    <w:p w:rsidR="002D2AFE" w:rsidRDefault="002D2AFE" w:rsidP="006C33BC">
      <w:pPr>
        <w:spacing w:after="0" w:line="240" w:lineRule="auto"/>
      </w:pPr>
      <w:r>
        <w:rPr>
          <w:noProof/>
          <w:lang w:eastAsia="fr-FR"/>
        </w:rPr>
        <w:drawing>
          <wp:inline distT="0" distB="0" distL="0" distR="0">
            <wp:extent cx="5753735" cy="1863090"/>
            <wp:effectExtent l="19050" t="0" r="0" b="0"/>
            <wp:docPr id="6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186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AFE" w:rsidRDefault="002D2AFE">
      <w:r>
        <w:br w:type="page"/>
      </w:r>
    </w:p>
    <w:p w:rsidR="002D2AFE" w:rsidRDefault="002D2AFE" w:rsidP="006C33BC">
      <w:pPr>
        <w:spacing w:after="0" w:line="240" w:lineRule="auto"/>
      </w:pPr>
      <w:r>
        <w:lastRenderedPageBreak/>
        <w:t>Voici un extrait du fichier exporté :</w:t>
      </w:r>
    </w:p>
    <w:p w:rsidR="00F64BE1" w:rsidRPr="006C33BC" w:rsidRDefault="00F64BE1" w:rsidP="006C33BC">
      <w:pPr>
        <w:spacing w:after="0" w:line="240" w:lineRule="auto"/>
      </w:pPr>
    </w:p>
    <w:p w:rsidR="006C33BC" w:rsidRPr="006C33BC" w:rsidRDefault="002D2AFE" w:rsidP="006C33BC">
      <w:pPr>
        <w:spacing w:after="0" w:line="240" w:lineRule="auto"/>
      </w:pPr>
      <w:r>
        <w:rPr>
          <w:noProof/>
          <w:lang w:eastAsia="fr-FR"/>
        </w:rPr>
        <w:drawing>
          <wp:inline distT="0" distB="0" distL="0" distR="0">
            <wp:extent cx="5753100" cy="4467225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3BC" w:rsidRPr="00C32C32" w:rsidRDefault="006C33BC" w:rsidP="001B43D6">
      <w:pPr>
        <w:rPr>
          <w:strike/>
        </w:rPr>
      </w:pPr>
    </w:p>
    <w:sectPr w:rsidR="006C33BC" w:rsidRPr="00C32C32" w:rsidSect="004F4C2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E5F" w:rsidRDefault="000F4E5F" w:rsidP="00376F0F">
      <w:pPr>
        <w:spacing w:after="0" w:line="240" w:lineRule="auto"/>
      </w:pPr>
      <w:r>
        <w:separator/>
      </w:r>
    </w:p>
  </w:endnote>
  <w:endnote w:type="continuationSeparator" w:id="0">
    <w:p w:rsidR="000F4E5F" w:rsidRDefault="000F4E5F" w:rsidP="00376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683" w:rsidRDefault="00627683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Mode opératoire PGI – EBP</w:t>
    </w:r>
    <w:r w:rsidR="006C33BC">
      <w:rPr>
        <w:rFonts w:asciiTheme="majorHAnsi" w:hAnsiTheme="majorHAnsi"/>
      </w:rPr>
      <w:t xml:space="preserve"> – </w:t>
    </w:r>
    <w:r w:rsidR="002D2AFE">
      <w:rPr>
        <w:rFonts w:asciiTheme="majorHAnsi" w:hAnsiTheme="majorHAnsi"/>
      </w:rPr>
      <w:t>Extraire les dotations aux amortissements</w:t>
    </w:r>
    <w:r>
      <w:rPr>
        <w:rFonts w:asciiTheme="majorHAnsi" w:hAnsiTheme="majorHAnsi"/>
      </w:rPr>
      <w:tab/>
      <w:t xml:space="preserve">Page </w:t>
    </w:r>
    <w:r w:rsidR="00194F8D" w:rsidRPr="00194F8D">
      <w:fldChar w:fldCharType="begin"/>
    </w:r>
    <w:r w:rsidR="006A3F0D">
      <w:instrText xml:space="preserve"> PAGE   \* MERGEFORMAT </w:instrText>
    </w:r>
    <w:r w:rsidR="00194F8D" w:rsidRPr="00194F8D">
      <w:fldChar w:fldCharType="separate"/>
    </w:r>
    <w:r w:rsidR="00793ED5" w:rsidRPr="00793ED5">
      <w:rPr>
        <w:rFonts w:asciiTheme="majorHAnsi" w:hAnsiTheme="majorHAnsi"/>
        <w:noProof/>
      </w:rPr>
      <w:t>1</w:t>
    </w:r>
    <w:r w:rsidR="00194F8D">
      <w:rPr>
        <w:rFonts w:asciiTheme="majorHAnsi" w:hAnsiTheme="majorHAnsi"/>
        <w:noProof/>
      </w:rPr>
      <w:fldChar w:fldCharType="end"/>
    </w:r>
    <w:r>
      <w:t xml:space="preserve"> sur </w:t>
    </w:r>
    <w:r w:rsidR="00313E94">
      <w:t>1</w:t>
    </w:r>
  </w:p>
  <w:p w:rsidR="00627683" w:rsidRDefault="0062768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E5F" w:rsidRDefault="000F4E5F" w:rsidP="00376F0F">
      <w:pPr>
        <w:spacing w:after="0" w:line="240" w:lineRule="auto"/>
      </w:pPr>
      <w:r>
        <w:separator/>
      </w:r>
    </w:p>
  </w:footnote>
  <w:footnote w:type="continuationSeparator" w:id="0">
    <w:p w:rsidR="000F4E5F" w:rsidRDefault="000F4E5F" w:rsidP="00376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B6E40"/>
    <w:multiLevelType w:val="hybridMultilevel"/>
    <w:tmpl w:val="5E3EF708"/>
    <w:lvl w:ilvl="0" w:tplc="77D234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277DE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212B7"/>
    <w:multiLevelType w:val="hybridMultilevel"/>
    <w:tmpl w:val="1C3A596A"/>
    <w:lvl w:ilvl="0" w:tplc="28909C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72D05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6E76DC"/>
    <w:multiLevelType w:val="hybridMultilevel"/>
    <w:tmpl w:val="727C9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BD7A7B"/>
    <w:multiLevelType w:val="hybridMultilevel"/>
    <w:tmpl w:val="1B56356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07634C0"/>
    <w:multiLevelType w:val="hybridMultilevel"/>
    <w:tmpl w:val="F572D0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456C30"/>
    <w:multiLevelType w:val="multilevel"/>
    <w:tmpl w:val="5CD02BF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D34"/>
    <w:rsid w:val="000053AA"/>
    <w:rsid w:val="000169E5"/>
    <w:rsid w:val="00023776"/>
    <w:rsid w:val="0002408F"/>
    <w:rsid w:val="00024F5E"/>
    <w:rsid w:val="000337CA"/>
    <w:rsid w:val="00054BD5"/>
    <w:rsid w:val="000B1896"/>
    <w:rsid w:val="000C2513"/>
    <w:rsid w:val="000D4137"/>
    <w:rsid w:val="000E231F"/>
    <w:rsid w:val="000F4E5F"/>
    <w:rsid w:val="001274E2"/>
    <w:rsid w:val="001465DC"/>
    <w:rsid w:val="00190BE8"/>
    <w:rsid w:val="00194F8D"/>
    <w:rsid w:val="00196B22"/>
    <w:rsid w:val="001A08C3"/>
    <w:rsid w:val="001B43D6"/>
    <w:rsid w:val="001B79EA"/>
    <w:rsid w:val="00216F29"/>
    <w:rsid w:val="00246CD6"/>
    <w:rsid w:val="002A601B"/>
    <w:rsid w:val="002A65C8"/>
    <w:rsid w:val="002B7E27"/>
    <w:rsid w:val="002C24E0"/>
    <w:rsid w:val="002C350D"/>
    <w:rsid w:val="002D2AFE"/>
    <w:rsid w:val="00313E94"/>
    <w:rsid w:val="00316B05"/>
    <w:rsid w:val="003255CC"/>
    <w:rsid w:val="00376F0F"/>
    <w:rsid w:val="00380D19"/>
    <w:rsid w:val="003823FF"/>
    <w:rsid w:val="00392A3A"/>
    <w:rsid w:val="003A5A9C"/>
    <w:rsid w:val="003C060E"/>
    <w:rsid w:val="003C23A4"/>
    <w:rsid w:val="003D1EFC"/>
    <w:rsid w:val="003E0236"/>
    <w:rsid w:val="0041016D"/>
    <w:rsid w:val="004222AA"/>
    <w:rsid w:val="00453496"/>
    <w:rsid w:val="0046298E"/>
    <w:rsid w:val="00465D18"/>
    <w:rsid w:val="00474B4A"/>
    <w:rsid w:val="0049072A"/>
    <w:rsid w:val="00491FD2"/>
    <w:rsid w:val="0049776D"/>
    <w:rsid w:val="004B671D"/>
    <w:rsid w:val="004C6375"/>
    <w:rsid w:val="004D36A8"/>
    <w:rsid w:val="004F4C2E"/>
    <w:rsid w:val="00500F73"/>
    <w:rsid w:val="00534A9A"/>
    <w:rsid w:val="00560713"/>
    <w:rsid w:val="005B006C"/>
    <w:rsid w:val="005B07E1"/>
    <w:rsid w:val="005B3D00"/>
    <w:rsid w:val="005D24AB"/>
    <w:rsid w:val="006045DD"/>
    <w:rsid w:val="00627683"/>
    <w:rsid w:val="00637DEA"/>
    <w:rsid w:val="00645C2F"/>
    <w:rsid w:val="0064606F"/>
    <w:rsid w:val="00664EC6"/>
    <w:rsid w:val="006A3F0D"/>
    <w:rsid w:val="006B6531"/>
    <w:rsid w:val="006C33BC"/>
    <w:rsid w:val="006D2E95"/>
    <w:rsid w:val="006E6028"/>
    <w:rsid w:val="006E705E"/>
    <w:rsid w:val="007108A9"/>
    <w:rsid w:val="00777192"/>
    <w:rsid w:val="00793ED5"/>
    <w:rsid w:val="007A4493"/>
    <w:rsid w:val="007B351B"/>
    <w:rsid w:val="007B6705"/>
    <w:rsid w:val="007E2192"/>
    <w:rsid w:val="007F11B9"/>
    <w:rsid w:val="007F1F08"/>
    <w:rsid w:val="007F71AA"/>
    <w:rsid w:val="008315A1"/>
    <w:rsid w:val="008424CD"/>
    <w:rsid w:val="008924DA"/>
    <w:rsid w:val="008B517A"/>
    <w:rsid w:val="008D3FD6"/>
    <w:rsid w:val="008D43D4"/>
    <w:rsid w:val="008D5841"/>
    <w:rsid w:val="008D7B69"/>
    <w:rsid w:val="008E0E50"/>
    <w:rsid w:val="008F28AB"/>
    <w:rsid w:val="008F49DD"/>
    <w:rsid w:val="008F6A10"/>
    <w:rsid w:val="00901250"/>
    <w:rsid w:val="00902060"/>
    <w:rsid w:val="00904A2C"/>
    <w:rsid w:val="00912D24"/>
    <w:rsid w:val="00954375"/>
    <w:rsid w:val="00981CA4"/>
    <w:rsid w:val="0099542F"/>
    <w:rsid w:val="009B46D3"/>
    <w:rsid w:val="009D0A6C"/>
    <w:rsid w:val="009D3A96"/>
    <w:rsid w:val="009E5995"/>
    <w:rsid w:val="00A31394"/>
    <w:rsid w:val="00A41623"/>
    <w:rsid w:val="00A64B41"/>
    <w:rsid w:val="00A73AF3"/>
    <w:rsid w:val="00A74829"/>
    <w:rsid w:val="00A74C37"/>
    <w:rsid w:val="00A84660"/>
    <w:rsid w:val="00A85A34"/>
    <w:rsid w:val="00A87B00"/>
    <w:rsid w:val="00A976F3"/>
    <w:rsid w:val="00AA1875"/>
    <w:rsid w:val="00AA19CA"/>
    <w:rsid w:val="00AA366D"/>
    <w:rsid w:val="00AA76B1"/>
    <w:rsid w:val="00AB5E4B"/>
    <w:rsid w:val="00AE184A"/>
    <w:rsid w:val="00B263FA"/>
    <w:rsid w:val="00B2746A"/>
    <w:rsid w:val="00B542BE"/>
    <w:rsid w:val="00B568C5"/>
    <w:rsid w:val="00B65E16"/>
    <w:rsid w:val="00B71FCA"/>
    <w:rsid w:val="00B74E48"/>
    <w:rsid w:val="00BA5573"/>
    <w:rsid w:val="00BA60AE"/>
    <w:rsid w:val="00BA65AC"/>
    <w:rsid w:val="00BB1602"/>
    <w:rsid w:val="00BC3D79"/>
    <w:rsid w:val="00BC469F"/>
    <w:rsid w:val="00BF6510"/>
    <w:rsid w:val="00C16FD0"/>
    <w:rsid w:val="00C22DF9"/>
    <w:rsid w:val="00C23006"/>
    <w:rsid w:val="00C260FA"/>
    <w:rsid w:val="00C2634B"/>
    <w:rsid w:val="00C32C32"/>
    <w:rsid w:val="00C84992"/>
    <w:rsid w:val="00C855E6"/>
    <w:rsid w:val="00C90409"/>
    <w:rsid w:val="00CE44A3"/>
    <w:rsid w:val="00CE7EBF"/>
    <w:rsid w:val="00CF3DD8"/>
    <w:rsid w:val="00CF5D2A"/>
    <w:rsid w:val="00D3286A"/>
    <w:rsid w:val="00D5723D"/>
    <w:rsid w:val="00DB1247"/>
    <w:rsid w:val="00DE261F"/>
    <w:rsid w:val="00DF6160"/>
    <w:rsid w:val="00E06CC0"/>
    <w:rsid w:val="00E4181D"/>
    <w:rsid w:val="00E46DE1"/>
    <w:rsid w:val="00E52212"/>
    <w:rsid w:val="00E76530"/>
    <w:rsid w:val="00E80710"/>
    <w:rsid w:val="00E94687"/>
    <w:rsid w:val="00E955C5"/>
    <w:rsid w:val="00EC154E"/>
    <w:rsid w:val="00EC57AF"/>
    <w:rsid w:val="00EF7148"/>
    <w:rsid w:val="00F16D20"/>
    <w:rsid w:val="00F22A20"/>
    <w:rsid w:val="00F42D63"/>
    <w:rsid w:val="00F45B6D"/>
    <w:rsid w:val="00F64BE1"/>
    <w:rsid w:val="00F76174"/>
    <w:rsid w:val="00F85505"/>
    <w:rsid w:val="00F906D7"/>
    <w:rsid w:val="00F92991"/>
    <w:rsid w:val="00FB5D34"/>
    <w:rsid w:val="00FB603D"/>
    <w:rsid w:val="00FC32F5"/>
    <w:rsid w:val="00FD243E"/>
    <w:rsid w:val="00FE6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C2E"/>
  </w:style>
  <w:style w:type="paragraph" w:styleId="Titre1">
    <w:name w:val="heading 1"/>
    <w:basedOn w:val="Normal"/>
    <w:link w:val="Titre1Car"/>
    <w:uiPriority w:val="9"/>
    <w:qFormat/>
    <w:rsid w:val="00313E94"/>
    <w:pPr>
      <w:numPr>
        <w:numId w:val="8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A5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557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A557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76F0F"/>
  </w:style>
  <w:style w:type="paragraph" w:styleId="Pieddepage">
    <w:name w:val="footer"/>
    <w:basedOn w:val="Normal"/>
    <w:link w:val="PieddepageCar"/>
    <w:uiPriority w:val="99"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6F0F"/>
  </w:style>
  <w:style w:type="paragraph" w:styleId="Titre">
    <w:name w:val="Title"/>
    <w:basedOn w:val="Normal"/>
    <w:next w:val="Normal"/>
    <w:link w:val="TitreCar"/>
    <w:uiPriority w:val="10"/>
    <w:qFormat/>
    <w:rsid w:val="00313E9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313E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313E94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8392F2-3C95-4AF8-9929-246B9ABDF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Enseignant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 Opératoire PGI EBP</dc:title>
  <dc:creator>J. Grard</dc:creator>
  <cp:keywords>PGI; EBP</cp:keywords>
  <cp:lastModifiedBy>joan</cp:lastModifiedBy>
  <cp:revision>2</cp:revision>
  <dcterms:created xsi:type="dcterms:W3CDTF">2015-05-15T08:44:00Z</dcterms:created>
  <dcterms:modified xsi:type="dcterms:W3CDTF">2015-05-15T08:44:00Z</dcterms:modified>
  <cp:category>Mode Opératoire</cp:category>
</cp:coreProperties>
</file>