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DB" w:rsidRDefault="00D32D9F">
      <w:r>
        <w:rPr>
          <w:noProof/>
        </w:rPr>
        <w:drawing>
          <wp:anchor distT="0" distB="0" distL="114300" distR="114300" simplePos="0" relativeHeight="251657728" behindDoc="0" locked="0" layoutInCell="1" allowOverlap="1">
            <wp:simplePos x="0" y="0"/>
            <wp:positionH relativeFrom="column">
              <wp:posOffset>5528310</wp:posOffset>
            </wp:positionH>
            <wp:positionV relativeFrom="page">
              <wp:posOffset>276225</wp:posOffset>
            </wp:positionV>
            <wp:extent cx="552450" cy="59245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592455"/>
                    </a:xfrm>
                    <a:prstGeom prst="rect">
                      <a:avLst/>
                    </a:prstGeom>
                    <a:noFill/>
                  </pic:spPr>
                </pic:pic>
              </a:graphicData>
            </a:graphic>
          </wp:anchor>
        </w:drawing>
      </w:r>
      <w:r w:rsidR="003069FA">
        <w:t>Fiche pédagogique à remplir pour les productions Crcf</w:t>
      </w:r>
    </w:p>
    <w:p w:rsidR="001665DB" w:rsidRDefault="001665DB"/>
    <w:tbl>
      <w:tblPr>
        <w:tblW w:w="5042" w:type="pct"/>
        <w:tblInd w:w="-82" w:type="dxa"/>
        <w:tblCellMar>
          <w:left w:w="10" w:type="dxa"/>
          <w:right w:w="10" w:type="dxa"/>
        </w:tblCellMar>
        <w:tblLook w:val="0000"/>
      </w:tblPr>
      <w:tblGrid>
        <w:gridCol w:w="2293"/>
        <w:gridCol w:w="7547"/>
      </w:tblGrid>
      <w:tr w:rsidR="001665DB" w:rsidTr="00794CA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D32D9F" w:rsidP="00326D94">
            <w:pPr>
              <w:keepNext/>
              <w:tabs>
                <w:tab w:val="left" w:pos="851"/>
              </w:tabs>
              <w:spacing w:before="240" w:after="240"/>
              <w:ind w:left="851" w:right="0" w:hanging="567"/>
              <w:jc w:val="left"/>
            </w:pPr>
            <w:bookmarkStart w:id="0" w:name="_Toc337805170"/>
            <w:r>
              <w:rPr>
                <w:rFonts w:cs="Arial"/>
                <w:b/>
                <w:bCs/>
                <w:iCs/>
                <w:noProof/>
                <w:sz w:val="36"/>
                <w:szCs w:val="26"/>
              </w:rPr>
              <w:drawing>
                <wp:inline distT="0" distB="0" distL="0" distR="0">
                  <wp:extent cx="1333500" cy="952500"/>
                  <wp:effectExtent l="0" t="0" r="0" b="0"/>
                  <wp:docPr id="1" name="Image 1" descr="nantes-61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tes-61ba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952500"/>
                          </a:xfrm>
                          <a:prstGeom prst="rect">
                            <a:avLst/>
                          </a:prstGeom>
                          <a:noFill/>
                          <a:ln>
                            <a:noFill/>
                          </a:ln>
                        </pic:spPr>
                      </pic:pic>
                    </a:graphicData>
                  </a:graphic>
                </wp:inline>
              </w:drawing>
            </w:r>
            <w:bookmarkEnd w:id="0"/>
            <w:r w:rsidR="00326D94">
              <w:rPr>
                <w:rFonts w:ascii="Calibri" w:hAnsi="Calibri"/>
                <w:b/>
                <w:sz w:val="36"/>
              </w:rPr>
              <w:t> CHAP’TOIL</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rPr>
                <w:b/>
                <w:bCs/>
                <w:szCs w:val="20"/>
              </w:rPr>
            </w:pPr>
            <w:r>
              <w:rPr>
                <w:b/>
                <w:bCs/>
                <w:szCs w:val="20"/>
              </w:rPr>
              <w:t>ACADÉMIE</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B33871" w:rsidRDefault="00852283">
            <w:pPr>
              <w:ind w:left="0" w:right="0"/>
              <w:jc w:val="left"/>
            </w:pPr>
            <w:r w:rsidRPr="00B33871">
              <w:t>NANTES</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Auteur(s) / relecteur(s)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B33871" w:rsidRDefault="00852283" w:rsidP="00383B41">
            <w:pPr>
              <w:ind w:left="0" w:right="0"/>
              <w:jc w:val="left"/>
            </w:pPr>
            <w:r w:rsidRPr="00B33871">
              <w:t xml:space="preserve">Auteurs : </w:t>
            </w:r>
            <w:r w:rsidR="00383B41">
              <w:t xml:space="preserve">Janick Bahuaud et </w:t>
            </w:r>
            <w:r w:rsidR="00326D94" w:rsidRPr="00326D94">
              <w:t>Catherine Péaud du Lycée Talensac</w:t>
            </w:r>
            <w:r w:rsidR="00383B41">
              <w:t>-</w:t>
            </w:r>
            <w:r w:rsidR="00326D94" w:rsidRPr="00326D94">
              <w:t>Jeanne Bernard de Nantes</w:t>
            </w:r>
            <w:r w:rsidRPr="00B33871">
              <w:t>.</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Mots-Clés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B33871" w:rsidRDefault="003069FA" w:rsidP="006143C6">
            <w:pPr>
              <w:ind w:left="0" w:right="0"/>
              <w:jc w:val="left"/>
            </w:pPr>
            <w:r w:rsidRPr="00B33871">
              <w:t> </w:t>
            </w:r>
            <w:r w:rsidR="00852283" w:rsidRPr="00B33871">
              <w:t>SIC système d’information comptable /</w:t>
            </w:r>
            <w:r w:rsidR="006143C6">
              <w:t>écriture / achats / ventes/</w:t>
            </w:r>
            <w:r w:rsidR="00B654AA">
              <w:t>lettrage</w:t>
            </w:r>
            <w:r w:rsidR="00EC3791" w:rsidRPr="00B33871">
              <w:t xml:space="preserve"> /</w:t>
            </w:r>
            <w:r w:rsidR="00B654AA">
              <w:t>obligations fiscales / T</w:t>
            </w:r>
            <w:r w:rsidR="00C37293" w:rsidRPr="00B33871">
              <w:t xml:space="preserve">VA / </w:t>
            </w:r>
            <w:r w:rsidR="00852283" w:rsidRPr="00B33871">
              <w:t xml:space="preserve">veille fiscale / PGI / </w:t>
            </w:r>
            <w:r w:rsidR="006143C6">
              <w:t>Trésorerie</w:t>
            </w:r>
            <w:r w:rsidR="00C37293" w:rsidRPr="00B33871">
              <w:t>/</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Description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B33871" w:rsidRDefault="00852283">
            <w:pPr>
              <w:ind w:left="0" w:right="0"/>
              <w:jc w:val="left"/>
              <w:rPr>
                <w:rFonts w:cs="Arial"/>
              </w:rPr>
            </w:pPr>
            <w:r w:rsidRPr="00B33871">
              <w:rPr>
                <w:b/>
              </w:rPr>
              <w:t>Problème de gestion</w:t>
            </w:r>
            <w:r w:rsidRPr="00B33871">
              <w:t xml:space="preserve"> : </w:t>
            </w:r>
            <w:r w:rsidR="00326D94" w:rsidRPr="00326D94">
              <w:rPr>
                <w:rFonts w:cs="Arial"/>
              </w:rPr>
              <w:t>L’évolution de la réglementation fiscale impacte-t-elle  la trésorerie de l’entreprise Chap’Toil  et dans quelle mesure nécessitera  t’elle des adaptions  organisationnelles ?</w:t>
            </w:r>
          </w:p>
          <w:p w:rsidR="00326D94" w:rsidRPr="00326D94" w:rsidRDefault="00852283" w:rsidP="00326D94">
            <w:pPr>
              <w:ind w:left="0"/>
              <w:rPr>
                <w:rFonts w:cs="Arial"/>
              </w:rPr>
            </w:pPr>
            <w:r w:rsidRPr="00B33871">
              <w:rPr>
                <w:rFonts w:cs="Arial"/>
                <w:b/>
              </w:rPr>
              <w:t>Contexte</w:t>
            </w:r>
            <w:r w:rsidRPr="00B33871">
              <w:rPr>
                <w:rFonts w:cs="Arial"/>
              </w:rPr>
              <w:t xml:space="preserve"> : </w:t>
            </w:r>
            <w:r w:rsidR="00326D94" w:rsidRPr="00326D94">
              <w:rPr>
                <w:rFonts w:cs="Arial"/>
              </w:rPr>
              <w:t xml:space="preserve">Depuis 15 ans, </w:t>
            </w:r>
            <w:r w:rsidR="00326D94" w:rsidRPr="00326D94">
              <w:rPr>
                <w:rFonts w:cs="Arial"/>
                <w:b/>
              </w:rPr>
              <w:t>CHAP’TOIL</w:t>
            </w:r>
            <w:r w:rsidR="00326D94" w:rsidRPr="00326D94">
              <w:rPr>
                <w:rFonts w:cs="Arial"/>
              </w:rPr>
              <w:t xml:space="preserve"> est spécialisée dans  la conception, la confection, la réparation et l’installation  d’équipements en textiles lourds (toiles synthétiques et naturelles). Loïc DUFLOT en est l’associé unique. </w:t>
            </w:r>
          </w:p>
          <w:p w:rsidR="00326D94" w:rsidRPr="00326D94" w:rsidRDefault="00326D94" w:rsidP="00326D94">
            <w:pPr>
              <w:ind w:left="0"/>
              <w:rPr>
                <w:rFonts w:cs="Arial"/>
              </w:rPr>
            </w:pPr>
            <w:r w:rsidRPr="00326D94">
              <w:rPr>
                <w:rFonts w:cs="Arial"/>
              </w:rPr>
              <w:t xml:space="preserve">Cette petite entreprise s’adresse aux professionnels et aux particuliers pour des travaux dans les domaines suivants : chapiteaux de spectacle, décors en impression numérique, toile de mobile-homes, bâches, stores. </w:t>
            </w:r>
          </w:p>
          <w:p w:rsidR="00326D94" w:rsidRPr="00326D94" w:rsidRDefault="00326D94" w:rsidP="00326D94">
            <w:pPr>
              <w:ind w:left="0"/>
              <w:rPr>
                <w:rFonts w:cs="Arial"/>
              </w:rPr>
            </w:pPr>
            <w:r w:rsidRPr="00326D94">
              <w:rPr>
                <w:rFonts w:cs="Arial"/>
              </w:rPr>
              <w:t>Le capital social est de 10 000 €. L’effectif est de cinq salariés. Sur l'année 2013, l’EURL a dégagé un résultat net de 7 200 € pour un chiffre d'affaires de 231 400 €.</w:t>
            </w:r>
          </w:p>
          <w:p w:rsidR="00326D94" w:rsidRPr="00326D94" w:rsidRDefault="00326D94" w:rsidP="00326D94">
            <w:pPr>
              <w:ind w:left="0"/>
              <w:rPr>
                <w:rFonts w:cs="Arial"/>
              </w:rPr>
            </w:pPr>
            <w:r w:rsidRPr="00326D94">
              <w:rPr>
                <w:rFonts w:cs="Arial"/>
              </w:rPr>
              <w:t xml:space="preserve">L'activité présente une rentabilité moyenne et rencontre des difficultés de trésorerie récurrente. </w:t>
            </w:r>
          </w:p>
          <w:p w:rsidR="00326D94" w:rsidRPr="00326D94" w:rsidRDefault="00326D94" w:rsidP="00326D94">
            <w:pPr>
              <w:ind w:left="0"/>
              <w:rPr>
                <w:rFonts w:cs="Arial"/>
              </w:rPr>
            </w:pPr>
            <w:r w:rsidRPr="00326D94">
              <w:rPr>
                <w:rFonts w:cs="Arial"/>
              </w:rPr>
              <w:t>Le marché est essentiellement national.</w:t>
            </w:r>
          </w:p>
          <w:p w:rsidR="00326D94" w:rsidRPr="00326D94" w:rsidRDefault="00326D94" w:rsidP="00326D94">
            <w:pPr>
              <w:ind w:left="0"/>
              <w:rPr>
                <w:rFonts w:cs="Arial"/>
              </w:rPr>
            </w:pPr>
            <w:r w:rsidRPr="00326D94">
              <w:rPr>
                <w:rFonts w:cs="Arial"/>
              </w:rPr>
              <w:t>Le taux de TVA applicable est le taux normal.</w:t>
            </w:r>
          </w:p>
          <w:p w:rsidR="00326D94" w:rsidRPr="00326D94" w:rsidRDefault="00326D94" w:rsidP="00326D94">
            <w:pPr>
              <w:ind w:left="0"/>
              <w:rPr>
                <w:rFonts w:cs="Arial"/>
              </w:rPr>
            </w:pPr>
            <w:r w:rsidRPr="00326D94">
              <w:rPr>
                <w:rFonts w:cs="Arial"/>
              </w:rPr>
              <w:t>L’entreprise relève du régime du réel simplifiée pour la TVA.</w:t>
            </w:r>
          </w:p>
          <w:p w:rsidR="00852283" w:rsidRPr="00B33871" w:rsidRDefault="00326D94" w:rsidP="00326D94">
            <w:pPr>
              <w:ind w:left="0" w:right="0"/>
              <w:jc w:val="left"/>
            </w:pPr>
            <w:r w:rsidRPr="00326D94">
              <w:rPr>
                <w:rFonts w:cs="Arial"/>
              </w:rPr>
              <w:t>L’exercice comptable s’étend du 1er/01 au 31/12</w:t>
            </w:r>
          </w:p>
        </w:tc>
      </w:tr>
      <w:tr w:rsidR="00840085"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840085" w:rsidP="00921F3E">
            <w:pPr>
              <w:ind w:left="0" w:right="0"/>
              <w:jc w:val="left"/>
              <w:rPr>
                <w:b/>
                <w:bCs/>
                <w:szCs w:val="20"/>
              </w:rPr>
            </w:pPr>
            <w:r>
              <w:rPr>
                <w:b/>
                <w:bCs/>
                <w:szCs w:val="20"/>
              </w:rPr>
              <w:t xml:space="preserve">Durée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Pr="00B33871" w:rsidRDefault="00326D94">
            <w:pPr>
              <w:ind w:left="0" w:right="0"/>
              <w:jc w:val="left"/>
            </w:pPr>
            <w:r>
              <w:t>4 séances de 3h</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Public visé</w:t>
            </w:r>
            <w:r w:rsidR="00852283">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6143C6" w:rsidRPr="00B33871" w:rsidRDefault="00852283" w:rsidP="006143C6">
            <w:pPr>
              <w:ind w:left="0" w:right="0"/>
              <w:jc w:val="left"/>
            </w:pPr>
            <w:r w:rsidRPr="00B33871">
              <w:t>Etudiants de première année BTS CG</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Domaine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52283" w:rsidRPr="00A51FF7" w:rsidRDefault="00852283" w:rsidP="00C37293">
            <w:pPr>
              <w:ind w:left="199"/>
              <w:rPr>
                <w:rFonts w:cs="Arial"/>
                <w:u w:val="single"/>
              </w:rPr>
            </w:pPr>
            <w:r w:rsidRPr="00A51FF7">
              <w:rPr>
                <w:rFonts w:cs="Arial"/>
                <w:u w:val="single"/>
              </w:rPr>
              <w:t xml:space="preserve">P1- Contrôle et traitement comptable des opérations commerciales </w:t>
            </w:r>
          </w:p>
          <w:p w:rsidR="00326D94" w:rsidRPr="00B654AA" w:rsidRDefault="00326D94" w:rsidP="00326D94">
            <w:pPr>
              <w:rPr>
                <w:sz w:val="20"/>
                <w:szCs w:val="20"/>
              </w:rPr>
            </w:pPr>
            <w:r w:rsidRPr="00B654AA">
              <w:rPr>
                <w:sz w:val="20"/>
                <w:szCs w:val="20"/>
              </w:rPr>
              <w:t>1.3 Enregistrement et suivi des opérations comptables relatives aux clients</w:t>
            </w:r>
          </w:p>
          <w:p w:rsidR="00326D94" w:rsidRPr="00B654AA" w:rsidRDefault="00326D94" w:rsidP="00326D94">
            <w:pPr>
              <w:rPr>
                <w:sz w:val="20"/>
                <w:szCs w:val="20"/>
              </w:rPr>
            </w:pPr>
            <w:r w:rsidRPr="00B654AA">
              <w:rPr>
                <w:sz w:val="20"/>
                <w:szCs w:val="20"/>
              </w:rPr>
              <w:t xml:space="preserve">1.3.1. Enregistrement, contrôle et validation des opérations relatives aux clients </w:t>
            </w:r>
          </w:p>
          <w:p w:rsidR="00326D94" w:rsidRPr="00B654AA" w:rsidRDefault="00326D94" w:rsidP="00326D94">
            <w:pPr>
              <w:rPr>
                <w:sz w:val="20"/>
                <w:szCs w:val="20"/>
              </w:rPr>
            </w:pPr>
            <w:r w:rsidRPr="00B654AA">
              <w:rPr>
                <w:sz w:val="20"/>
                <w:szCs w:val="20"/>
              </w:rPr>
              <w:t>1.3.2. Suivi des créances, contrôle et lettrage</w:t>
            </w:r>
          </w:p>
          <w:p w:rsidR="00326D94" w:rsidRPr="00B654AA" w:rsidRDefault="00326D94" w:rsidP="00326D94">
            <w:pPr>
              <w:rPr>
                <w:sz w:val="20"/>
                <w:szCs w:val="20"/>
              </w:rPr>
            </w:pPr>
            <w:r w:rsidRPr="00B654AA">
              <w:rPr>
                <w:sz w:val="20"/>
                <w:szCs w:val="20"/>
              </w:rPr>
              <w:t>1.5 Enregistrement et suivi des opérations relatives aux fournisseurs</w:t>
            </w:r>
          </w:p>
          <w:p w:rsidR="00326D94" w:rsidRPr="005E7152" w:rsidRDefault="00326D94" w:rsidP="00326D94">
            <w:pPr>
              <w:rPr>
                <w:sz w:val="20"/>
                <w:szCs w:val="20"/>
              </w:rPr>
            </w:pPr>
            <w:r w:rsidRPr="005E7152">
              <w:rPr>
                <w:sz w:val="20"/>
                <w:szCs w:val="20"/>
              </w:rPr>
              <w:t>1.5.4. Enregistrement des factures d’achat de bien, de service</w:t>
            </w:r>
            <w:r>
              <w:rPr>
                <w:sz w:val="20"/>
                <w:szCs w:val="20"/>
              </w:rPr>
              <w:t>s</w:t>
            </w:r>
          </w:p>
          <w:p w:rsidR="00326D94" w:rsidRDefault="00326D94" w:rsidP="00326D94">
            <w:pPr>
              <w:rPr>
                <w:sz w:val="20"/>
                <w:szCs w:val="20"/>
              </w:rPr>
            </w:pPr>
            <w:r w:rsidRPr="005E7152">
              <w:rPr>
                <w:sz w:val="20"/>
                <w:szCs w:val="20"/>
              </w:rPr>
              <w:t>1.5.5. Gestion des échéances relatives aux règlements des fournisseurs</w:t>
            </w:r>
          </w:p>
          <w:p w:rsidR="00326D94" w:rsidRPr="00B654AA" w:rsidRDefault="00326D94" w:rsidP="00326D94">
            <w:pPr>
              <w:rPr>
                <w:rFonts w:cs="Arial"/>
                <w:u w:val="single"/>
              </w:rPr>
            </w:pPr>
            <w:r w:rsidRPr="00B654AA">
              <w:rPr>
                <w:rFonts w:cs="Arial"/>
                <w:u w:val="single"/>
              </w:rPr>
              <w:t xml:space="preserve">P2 – Contrôle et production de l’information financière </w:t>
            </w:r>
          </w:p>
          <w:p w:rsidR="00326D94" w:rsidRPr="00B654AA" w:rsidRDefault="00326D94" w:rsidP="00326D94">
            <w:pPr>
              <w:rPr>
                <w:sz w:val="20"/>
                <w:szCs w:val="20"/>
              </w:rPr>
            </w:pPr>
            <w:r w:rsidRPr="00B654AA">
              <w:rPr>
                <w:sz w:val="20"/>
                <w:szCs w:val="20"/>
              </w:rPr>
              <w:lastRenderedPageBreak/>
              <w:t>2.3 Réalisation des opérations d’inventaire</w:t>
            </w:r>
          </w:p>
          <w:p w:rsidR="00326D94" w:rsidRPr="00170DBE" w:rsidRDefault="00326D94" w:rsidP="00326D94">
            <w:pPr>
              <w:rPr>
                <w:sz w:val="20"/>
                <w:szCs w:val="20"/>
              </w:rPr>
            </w:pPr>
            <w:r w:rsidRPr="00170DBE">
              <w:rPr>
                <w:sz w:val="20"/>
                <w:szCs w:val="20"/>
              </w:rPr>
              <w:t xml:space="preserve">2.3.5 Réalisation des contrôles nécessaires dans les procédures d’inventaire </w:t>
            </w:r>
          </w:p>
          <w:p w:rsidR="00326D94" w:rsidRPr="00B654AA" w:rsidRDefault="00326D94" w:rsidP="00326D94">
            <w:pPr>
              <w:rPr>
                <w:sz w:val="20"/>
                <w:szCs w:val="20"/>
              </w:rPr>
            </w:pPr>
            <w:r w:rsidRPr="00B654AA">
              <w:rPr>
                <w:sz w:val="20"/>
                <w:szCs w:val="20"/>
              </w:rPr>
              <w:t>2.4 Production des comptes annuels et des situations financières</w:t>
            </w:r>
          </w:p>
          <w:p w:rsidR="00326D94" w:rsidRPr="005E7152" w:rsidRDefault="00326D94" w:rsidP="00326D94">
            <w:pPr>
              <w:rPr>
                <w:sz w:val="20"/>
                <w:szCs w:val="20"/>
              </w:rPr>
            </w:pPr>
            <w:r w:rsidRPr="005E7152">
              <w:rPr>
                <w:sz w:val="20"/>
                <w:szCs w:val="20"/>
              </w:rPr>
              <w:t>2.4.2 Préparation des comptes annuels et des situations intermédiaires</w:t>
            </w:r>
          </w:p>
          <w:p w:rsidR="00326D94" w:rsidRPr="00A51FF7" w:rsidRDefault="00326D94" w:rsidP="00326D94">
            <w:pPr>
              <w:ind w:left="199"/>
              <w:rPr>
                <w:rFonts w:cs="Arial"/>
                <w:u w:val="single"/>
              </w:rPr>
            </w:pPr>
            <w:r w:rsidRPr="00A51FF7">
              <w:rPr>
                <w:rFonts w:cs="Arial"/>
                <w:u w:val="single"/>
              </w:rPr>
              <w:t xml:space="preserve">P3- Gestion des obligations fiscales </w:t>
            </w:r>
          </w:p>
          <w:p w:rsidR="00326D94" w:rsidRPr="00B654AA" w:rsidRDefault="00326D94" w:rsidP="00326D94">
            <w:pPr>
              <w:rPr>
                <w:sz w:val="20"/>
                <w:szCs w:val="20"/>
              </w:rPr>
            </w:pPr>
            <w:r w:rsidRPr="00B654AA">
              <w:rPr>
                <w:sz w:val="20"/>
                <w:szCs w:val="20"/>
              </w:rPr>
              <w:t>3.1 Conduite de la veille fiscale</w:t>
            </w:r>
          </w:p>
          <w:p w:rsidR="00326D94" w:rsidRPr="005E7152" w:rsidRDefault="00326D94" w:rsidP="00326D94">
            <w:pPr>
              <w:rPr>
                <w:sz w:val="20"/>
                <w:szCs w:val="20"/>
              </w:rPr>
            </w:pPr>
            <w:r w:rsidRPr="005E7152">
              <w:rPr>
                <w:sz w:val="20"/>
                <w:szCs w:val="20"/>
              </w:rPr>
              <w:t>3.1.1. Réalisation de la veille juridique nécessaire à l’application des obligations fiscales</w:t>
            </w:r>
          </w:p>
          <w:p w:rsidR="00326D94" w:rsidRPr="005E7152" w:rsidRDefault="00326D94" w:rsidP="00326D94">
            <w:pPr>
              <w:rPr>
                <w:sz w:val="20"/>
                <w:szCs w:val="20"/>
              </w:rPr>
            </w:pPr>
            <w:r w:rsidRPr="005E7152">
              <w:rPr>
                <w:sz w:val="20"/>
                <w:szCs w:val="20"/>
              </w:rPr>
              <w:t>3.1.2. Identification des obligations fiscales de l’organisation</w:t>
            </w:r>
          </w:p>
          <w:p w:rsidR="00326D94" w:rsidRPr="005E7152" w:rsidRDefault="00326D94" w:rsidP="00326D94">
            <w:pPr>
              <w:rPr>
                <w:sz w:val="20"/>
                <w:szCs w:val="20"/>
              </w:rPr>
            </w:pPr>
            <w:r w:rsidRPr="005E7152">
              <w:rPr>
                <w:sz w:val="20"/>
                <w:szCs w:val="20"/>
              </w:rPr>
              <w:t>3.1.3. Elaboration de l’échéancier fiscal</w:t>
            </w:r>
          </w:p>
          <w:p w:rsidR="00326D94" w:rsidRPr="00B654AA" w:rsidRDefault="00326D94" w:rsidP="00326D94">
            <w:pPr>
              <w:rPr>
                <w:sz w:val="20"/>
                <w:szCs w:val="20"/>
              </w:rPr>
            </w:pPr>
            <w:r w:rsidRPr="00B654AA">
              <w:rPr>
                <w:sz w:val="20"/>
                <w:szCs w:val="20"/>
              </w:rPr>
              <w:t>3.2 Traitement des opérations relatives à la TVA</w:t>
            </w:r>
          </w:p>
          <w:p w:rsidR="00326D94" w:rsidRPr="005E7152" w:rsidRDefault="00326D94" w:rsidP="00326D94">
            <w:pPr>
              <w:rPr>
                <w:sz w:val="20"/>
                <w:szCs w:val="20"/>
              </w:rPr>
            </w:pPr>
            <w:r w:rsidRPr="005E7152">
              <w:rPr>
                <w:sz w:val="20"/>
                <w:szCs w:val="20"/>
              </w:rPr>
              <w:t>3.2.1. Préparation de la déclaration de TVA</w:t>
            </w:r>
          </w:p>
          <w:p w:rsidR="00326D94" w:rsidRPr="005E7152" w:rsidRDefault="00326D94" w:rsidP="00326D94">
            <w:pPr>
              <w:rPr>
                <w:sz w:val="20"/>
                <w:szCs w:val="20"/>
              </w:rPr>
            </w:pPr>
            <w:r w:rsidRPr="005E7152">
              <w:rPr>
                <w:sz w:val="20"/>
                <w:szCs w:val="20"/>
              </w:rPr>
              <w:t>3.2.2. Établissement, contrôle et transmission de la déclaration de TVA</w:t>
            </w:r>
          </w:p>
          <w:p w:rsidR="00326D94" w:rsidRPr="005E7152" w:rsidRDefault="00326D94" w:rsidP="00326D94">
            <w:pPr>
              <w:rPr>
                <w:sz w:val="20"/>
                <w:szCs w:val="20"/>
              </w:rPr>
            </w:pPr>
            <w:r w:rsidRPr="005E7152">
              <w:rPr>
                <w:sz w:val="20"/>
                <w:szCs w:val="20"/>
              </w:rPr>
              <w:t>3.2.3. Enregistrement comptable de la déclaration de TVA</w:t>
            </w:r>
          </w:p>
          <w:p w:rsidR="00326D94" w:rsidRPr="005E7152" w:rsidRDefault="00326D94" w:rsidP="00326D94">
            <w:pPr>
              <w:rPr>
                <w:sz w:val="20"/>
                <w:szCs w:val="20"/>
              </w:rPr>
            </w:pPr>
            <w:r w:rsidRPr="005E7152">
              <w:rPr>
                <w:sz w:val="20"/>
                <w:szCs w:val="20"/>
              </w:rPr>
              <w:t>3.2.4. Conseil en matière de régime et d’options de T.V.A</w:t>
            </w:r>
          </w:p>
          <w:p w:rsidR="00B654AA" w:rsidRPr="00B654AA" w:rsidRDefault="00B654AA" w:rsidP="00326D94">
            <w:pPr>
              <w:rPr>
                <w:rFonts w:cs="Arial"/>
                <w:u w:val="single"/>
              </w:rPr>
            </w:pPr>
            <w:r w:rsidRPr="00B654AA">
              <w:rPr>
                <w:rFonts w:cs="Arial"/>
                <w:u w:val="single"/>
              </w:rPr>
              <w:t xml:space="preserve">P6 - Analyse de la situation financière </w:t>
            </w:r>
          </w:p>
          <w:p w:rsidR="00326D94" w:rsidRPr="00B654AA" w:rsidRDefault="00326D94" w:rsidP="00326D94">
            <w:pPr>
              <w:rPr>
                <w:sz w:val="20"/>
                <w:szCs w:val="20"/>
              </w:rPr>
            </w:pPr>
            <w:r w:rsidRPr="00B654AA">
              <w:rPr>
                <w:sz w:val="20"/>
                <w:szCs w:val="20"/>
              </w:rPr>
              <w:t>6.4 Analyse de la trésorerie et de la solvabilité de l’organisation</w:t>
            </w:r>
          </w:p>
          <w:p w:rsidR="00326D94" w:rsidRPr="005E7152" w:rsidRDefault="00326D94" w:rsidP="00326D94">
            <w:pPr>
              <w:rPr>
                <w:sz w:val="20"/>
                <w:szCs w:val="20"/>
              </w:rPr>
            </w:pPr>
            <w:r w:rsidRPr="005E7152">
              <w:rPr>
                <w:sz w:val="20"/>
                <w:szCs w:val="20"/>
              </w:rPr>
              <w:t>6.4.2 Suivi et analyse de la trésorerie de l’organisation</w:t>
            </w:r>
          </w:p>
          <w:p w:rsidR="00326D94" w:rsidRPr="00A51FF7" w:rsidRDefault="00326D94" w:rsidP="00326D94">
            <w:pPr>
              <w:ind w:left="199" w:right="0"/>
              <w:jc w:val="left"/>
              <w:rPr>
                <w:rFonts w:cs="Arial"/>
                <w:u w:val="single"/>
              </w:rPr>
            </w:pPr>
            <w:r w:rsidRPr="00A51FF7">
              <w:rPr>
                <w:rFonts w:cs="Arial"/>
                <w:u w:val="single"/>
              </w:rPr>
              <w:t>P7 – Fiabilisation de l’information comptable et du système d’information (SI)</w:t>
            </w:r>
          </w:p>
          <w:p w:rsidR="00326D94" w:rsidRPr="00B654AA" w:rsidRDefault="00326D94" w:rsidP="00326D94">
            <w:pPr>
              <w:rPr>
                <w:sz w:val="20"/>
                <w:szCs w:val="20"/>
              </w:rPr>
            </w:pPr>
            <w:r w:rsidRPr="00B654AA">
              <w:rPr>
                <w:sz w:val="20"/>
                <w:szCs w:val="20"/>
              </w:rPr>
              <w:t>7.1 Recherche d’information</w:t>
            </w:r>
          </w:p>
          <w:p w:rsidR="00840085" w:rsidRPr="00326D94" w:rsidRDefault="00326D94" w:rsidP="00326D94">
            <w:pPr>
              <w:rPr>
                <w:sz w:val="20"/>
                <w:szCs w:val="20"/>
              </w:rPr>
            </w:pPr>
            <w:r w:rsidRPr="005E7152">
              <w:rPr>
                <w:sz w:val="20"/>
                <w:szCs w:val="20"/>
              </w:rPr>
              <w:t>7.1.3. Mises en œuvre les méthodes de recherche d’information</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lastRenderedPageBreak/>
              <w:t xml:space="preserve">Type de ressource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B33871" w:rsidRDefault="00840085" w:rsidP="00C37293">
            <w:pPr>
              <w:ind w:left="341" w:right="0"/>
              <w:jc w:val="left"/>
            </w:pPr>
            <w:r w:rsidRPr="00B33871">
              <w:t>Atelier professionnel (BTS-CG)</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Logiciel utilisé </w:t>
            </w:r>
            <w:r>
              <w:t>:</w:t>
            </w:r>
            <w:r>
              <w:br/>
            </w:r>
            <w:r>
              <w:rPr>
                <w:b/>
                <w:bCs/>
              </w:rPr>
              <w:t xml:space="preserve">Autres outils TIC </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B33871" w:rsidRDefault="00B654AA" w:rsidP="00903121">
            <w:pPr>
              <w:ind w:right="0"/>
              <w:jc w:val="left"/>
            </w:pPr>
            <w:r w:rsidRPr="00B654AA">
              <w:t xml:space="preserve">PGI Sage 100 entreprise, Tableur Excel et traitement de texte Word, accès internet, ressources internes, les services de GOOGLE+, GOOGLE DRIVE, GMAIL </w:t>
            </w:r>
          </w:p>
        </w:tc>
      </w:tr>
      <w:tr w:rsidR="001665DB" w:rsidRPr="00B33871"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Cadre pédagogique,</w:t>
            </w:r>
            <w:r>
              <w:rPr>
                <w:b/>
                <w:bCs/>
              </w:rPr>
              <w:br/>
              <w:t>organisation pédagogique</w:t>
            </w:r>
            <w:r>
              <w:rPr>
                <w:b/>
                <w:bCs/>
              </w:rPr>
              <w:br/>
              <w:t>et conditions de déroulement</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B654AA" w:rsidRPr="00B654AA" w:rsidRDefault="00B654AA" w:rsidP="00B654AA">
            <w:pPr>
              <w:spacing w:after="120"/>
            </w:pPr>
            <w:r w:rsidRPr="00B654AA">
              <w:t>L’enseignant est le chef de mission ; il précise aux étudiants placés sous sa responsabilité les missions confiées, les évolutions souhaitées, supervise l’avancée des travaux et contrôle la justesse des productions réalisées.</w:t>
            </w:r>
          </w:p>
          <w:p w:rsidR="00B654AA" w:rsidRPr="00B654AA" w:rsidRDefault="00B654AA" w:rsidP="00B654AA">
            <w:pPr>
              <w:spacing w:after="120"/>
            </w:pPr>
            <w:r w:rsidRPr="00B654AA">
              <w:t>Les étudiants en groupe, sont assistants comptables ; un jeu de rôle et un travail coopératif sont  envisagés en binôme.</w:t>
            </w:r>
          </w:p>
          <w:p w:rsidR="00B654AA" w:rsidRPr="00B654AA" w:rsidRDefault="00B654AA" w:rsidP="00B654AA">
            <w:pPr>
              <w:spacing w:after="120"/>
            </w:pPr>
            <w:r w:rsidRPr="00B654AA">
              <w:rPr>
                <w:i/>
              </w:rPr>
              <w:t>Dans un premier temps</w:t>
            </w:r>
            <w:r w:rsidRPr="00B654AA">
              <w:t>, ils se répartissent le travail entre la comptabilité clients, fournisseurs, de trésorerie et les travaux de fin d’exercice. Ils réalisent ainsi les travaux de mise à jour de la comptabilité en enregistrant les opérations de décembre et en comptabilisant les écritures de fin d’exercice préparées par le chef de mission et ce, avant d’entreprendre les travaux de révision comptable.</w:t>
            </w:r>
          </w:p>
          <w:p w:rsidR="00B654AA" w:rsidRPr="00B654AA" w:rsidRDefault="00B654AA" w:rsidP="00B654AA">
            <w:pPr>
              <w:spacing w:after="120"/>
            </w:pPr>
            <w:r w:rsidRPr="00B654AA">
              <w:rPr>
                <w:i/>
              </w:rPr>
              <w:t>Dans un deuxième temps</w:t>
            </w:r>
            <w:r w:rsidRPr="00B654AA">
              <w:t>, après validation des premiers travaux par le chef de mission, ils s’organisent pour :</w:t>
            </w:r>
          </w:p>
          <w:p w:rsidR="00B654AA" w:rsidRPr="00B654AA" w:rsidRDefault="00B654AA" w:rsidP="00B654AA">
            <w:pPr>
              <w:pStyle w:val="Paragraphedeliste"/>
              <w:widowControl w:val="0"/>
              <w:numPr>
                <w:ilvl w:val="0"/>
                <w:numId w:val="5"/>
              </w:numPr>
              <w:suppressAutoHyphens/>
              <w:spacing w:after="120" w:line="240" w:lineRule="auto"/>
              <w:jc w:val="both"/>
              <w:rPr>
                <w:rFonts w:ascii="Book Antiqua" w:hAnsi="Book Antiqua"/>
                <w:sz w:val="24"/>
                <w:szCs w:val="24"/>
              </w:rPr>
            </w:pPr>
            <w:r w:rsidRPr="00B654AA">
              <w:rPr>
                <w:rFonts w:ascii="Book Antiqua" w:hAnsi="Book Antiqua"/>
                <w:sz w:val="24"/>
                <w:szCs w:val="24"/>
              </w:rPr>
              <w:t>contrôler  la TVA collectée afin de réaliser la déclaration CA12 partie I TVA brute</w:t>
            </w:r>
          </w:p>
          <w:p w:rsidR="00B654AA" w:rsidRPr="00B654AA" w:rsidRDefault="00B654AA" w:rsidP="00B654AA">
            <w:pPr>
              <w:pStyle w:val="Paragraphedeliste"/>
              <w:widowControl w:val="0"/>
              <w:numPr>
                <w:ilvl w:val="0"/>
                <w:numId w:val="5"/>
              </w:numPr>
              <w:suppressAutoHyphens/>
              <w:spacing w:after="120" w:line="240" w:lineRule="auto"/>
              <w:jc w:val="both"/>
              <w:rPr>
                <w:rFonts w:ascii="Book Antiqua" w:hAnsi="Book Antiqua"/>
                <w:sz w:val="24"/>
                <w:szCs w:val="24"/>
              </w:rPr>
            </w:pPr>
            <w:r w:rsidRPr="00B654AA">
              <w:rPr>
                <w:rFonts w:ascii="Book Antiqua" w:hAnsi="Book Antiqua"/>
                <w:sz w:val="24"/>
                <w:szCs w:val="24"/>
              </w:rPr>
              <w:t>contrôler  la TVA déductible  et terminer  la déclaration CA12 partie II TVA déductible et partie III TVA nette</w:t>
            </w:r>
          </w:p>
          <w:p w:rsidR="00B654AA" w:rsidRPr="00B654AA" w:rsidRDefault="00B654AA" w:rsidP="00B654AA">
            <w:pPr>
              <w:spacing w:after="120"/>
              <w:ind w:left="34"/>
            </w:pPr>
            <w:r w:rsidRPr="00B654AA">
              <w:t>Un document professionnel  issu du dossier leur sera remis pour conduire leur analyse.</w:t>
            </w:r>
          </w:p>
          <w:p w:rsidR="001665DB" w:rsidRPr="00B33871" w:rsidRDefault="00B654AA" w:rsidP="00B654AA">
            <w:pPr>
              <w:pStyle w:val="Paragraphedeliste"/>
              <w:numPr>
                <w:ilvl w:val="0"/>
                <w:numId w:val="5"/>
              </w:numPr>
              <w:spacing w:after="0" w:line="240" w:lineRule="auto"/>
              <w:rPr>
                <w:rFonts w:ascii="Book Antiqua" w:hAnsi="Book Antiqua"/>
                <w:sz w:val="24"/>
                <w:szCs w:val="24"/>
              </w:rPr>
            </w:pPr>
            <w:r w:rsidRPr="00B654AA">
              <w:rPr>
                <w:rFonts w:ascii="Book Antiqua" w:hAnsi="Book Antiqua"/>
                <w:color w:val="000000" w:themeColor="text1"/>
                <w:sz w:val="24"/>
                <w:szCs w:val="24"/>
              </w:rPr>
              <w:t>Enfin la réponse à la problématique posée sur les choix à op</w:t>
            </w:r>
            <w:r w:rsidRPr="00B654AA">
              <w:rPr>
                <w:rFonts w:ascii="Book Antiqua" w:hAnsi="Book Antiqua"/>
                <w:color w:val="000000" w:themeColor="text1"/>
                <w:sz w:val="24"/>
                <w:szCs w:val="24"/>
              </w:rPr>
              <w:t>é</w:t>
            </w:r>
            <w:r w:rsidRPr="00B654AA">
              <w:rPr>
                <w:rFonts w:ascii="Book Antiqua" w:hAnsi="Book Antiqua"/>
                <w:color w:val="000000" w:themeColor="text1"/>
                <w:sz w:val="24"/>
                <w:szCs w:val="24"/>
              </w:rPr>
              <w:t xml:space="preserve">rer par le client en matière organisationnelle sera un sujet à </w:t>
            </w:r>
            <w:r w:rsidRPr="00B654AA">
              <w:rPr>
                <w:rFonts w:ascii="Book Antiqua" w:hAnsi="Book Antiqua"/>
                <w:color w:val="000000" w:themeColor="text1"/>
                <w:sz w:val="24"/>
                <w:szCs w:val="24"/>
              </w:rPr>
              <w:lastRenderedPageBreak/>
              <w:t xml:space="preserve">analyser </w:t>
            </w:r>
            <w:r w:rsidRPr="00B654AA">
              <w:rPr>
                <w:rFonts w:ascii="Book Antiqua" w:hAnsi="Book Antiqua"/>
                <w:b/>
                <w:color w:val="000000" w:themeColor="text1"/>
                <w:sz w:val="24"/>
                <w:szCs w:val="24"/>
              </w:rPr>
              <w:t>dans le groupe de travail</w:t>
            </w:r>
            <w:r w:rsidRPr="00B654AA">
              <w:rPr>
                <w:rFonts w:ascii="Book Antiqua" w:hAnsi="Book Antiqua"/>
                <w:color w:val="000000" w:themeColor="text1"/>
                <w:sz w:val="24"/>
                <w:szCs w:val="24"/>
              </w:rPr>
              <w:t>. A cette occasion, les ét</w:t>
            </w:r>
            <w:r w:rsidRPr="00B654AA">
              <w:rPr>
                <w:rFonts w:ascii="Book Antiqua" w:hAnsi="Book Antiqua"/>
                <w:color w:val="000000" w:themeColor="text1"/>
                <w:sz w:val="24"/>
                <w:szCs w:val="24"/>
              </w:rPr>
              <w:t>u</w:t>
            </w:r>
            <w:r w:rsidRPr="00B654AA">
              <w:rPr>
                <w:rFonts w:ascii="Book Antiqua" w:hAnsi="Book Antiqua"/>
                <w:color w:val="000000" w:themeColor="text1"/>
                <w:sz w:val="24"/>
                <w:szCs w:val="24"/>
              </w:rPr>
              <w:t>diants devront si les conclusions de l’analyse de la situation le suggèrent,  proposer une organisation comptable avec une évolution pratique au client Chap’Toil.</w:t>
            </w:r>
          </w:p>
        </w:tc>
      </w:tr>
      <w:tr w:rsidR="001665DB" w:rsidRPr="00B654AA"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lastRenderedPageBreak/>
              <w:t xml:space="preserve">Fichier à télécharger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B33871" w:rsidRDefault="00C37293">
            <w:pPr>
              <w:ind w:left="0" w:right="0"/>
              <w:jc w:val="left"/>
            </w:pPr>
            <w:r w:rsidRPr="00B33871">
              <w:t>BTS-CG-Cas</w:t>
            </w:r>
            <w:r w:rsidR="00B654AA">
              <w:t>CHAPTOIL</w:t>
            </w:r>
            <w:r w:rsidRPr="00B33871">
              <w:t>-Etud.zip</w:t>
            </w:r>
          </w:p>
          <w:p w:rsidR="00C37293" w:rsidRPr="00B654AA" w:rsidRDefault="00C37293" w:rsidP="00B654AA">
            <w:pPr>
              <w:ind w:left="0" w:right="0"/>
              <w:jc w:val="left"/>
            </w:pPr>
            <w:r w:rsidRPr="00B654AA">
              <w:t>BTS-CG-Cas</w:t>
            </w:r>
            <w:r w:rsidR="00B654AA" w:rsidRPr="00B654AA">
              <w:t>CHAPTOIL</w:t>
            </w:r>
            <w:r w:rsidRPr="00B654AA">
              <w:t>-Prof.zip</w:t>
            </w:r>
          </w:p>
        </w:tc>
      </w:tr>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383B41">
            <w:pPr>
              <w:ind w:left="0" w:right="0"/>
            </w:pPr>
            <w:r w:rsidRPr="00E56335">
              <w:rPr>
                <w:b/>
                <w:bCs/>
                <w:szCs w:val="20"/>
              </w:rPr>
              <w:t>Observations</w:t>
            </w:r>
            <w:r w:rsidRPr="00E56335">
              <w:rPr>
                <w:szCs w:val="20"/>
              </w:rPr>
              <w:t xml:space="preserve"> :</w:t>
            </w:r>
            <w:r w:rsidR="00383B41">
              <w:rPr>
                <w:szCs w:val="20"/>
              </w:rPr>
              <w:t>le dossier professeur comporte des fichiers destinés à permettre l’utilisation de cette SP sous un autre PGI</w:t>
            </w:r>
            <w:r w:rsidR="00B33871" w:rsidRPr="00E56335">
              <w:rPr>
                <w:szCs w:val="20"/>
              </w:rPr>
              <w:t>.</w:t>
            </w:r>
          </w:p>
        </w:tc>
      </w:tr>
    </w:tbl>
    <w:p w:rsidR="001665DB" w:rsidRDefault="001665DB"/>
    <w:p w:rsidR="001665DB" w:rsidRDefault="003069FA">
      <w:pPr>
        <w:rPr>
          <w:szCs w:val="20"/>
        </w:rPr>
      </w:pPr>
      <w:r>
        <w:rPr>
          <w:szCs w:val="20"/>
        </w:rPr>
        <w:t xml:space="preserve">* nommage des fichiers : </w:t>
      </w:r>
      <w:bookmarkStart w:id="1" w:name="_GoBack"/>
      <w:bookmarkEnd w:id="1"/>
    </w:p>
    <w:p w:rsidR="001665DB" w:rsidRDefault="003069FA">
      <w:pPr>
        <w:rPr>
          <w:szCs w:val="20"/>
        </w:rPr>
      </w:pPr>
      <w:r>
        <w:rPr>
          <w:szCs w:val="20"/>
        </w:rPr>
        <w:t>utilisation d'abréviation (type "CamelCase", pas d'espaces, pas d'accents) exemple :</w:t>
      </w:r>
    </w:p>
    <w:p w:rsidR="001665DB" w:rsidRDefault="003069FA">
      <w:pPr>
        <w:rPr>
          <w:i/>
          <w:szCs w:val="20"/>
        </w:rPr>
      </w:pPr>
      <w:r>
        <w:rPr>
          <w:i/>
          <w:szCs w:val="20"/>
        </w:rPr>
        <w:t>BTS-CG-Casxxxxx-Prof.zip, STMG-Projetxxx-Eleve, …</w:t>
      </w:r>
    </w:p>
    <w:p w:rsidR="001665DB" w:rsidRDefault="001665DB">
      <w:pPr>
        <w:rPr>
          <w:szCs w:val="20"/>
        </w:rPr>
      </w:pPr>
    </w:p>
    <w:p w:rsidR="001665DB" w:rsidRDefault="003069FA">
      <w:pPr>
        <w:rPr>
          <w:szCs w:val="20"/>
        </w:rPr>
      </w:pPr>
      <w:r>
        <w:rPr>
          <w:szCs w:val="20"/>
        </w:rPr>
        <w:t xml:space="preserve">Si versions différentes, suffixé avec le numéro de version : </w:t>
      </w:r>
    </w:p>
    <w:p w:rsidR="001665DB" w:rsidRDefault="003069FA">
      <w:pPr>
        <w:rPr>
          <w:i/>
          <w:szCs w:val="20"/>
        </w:rPr>
      </w:pPr>
      <w:r>
        <w:rPr>
          <w:i/>
          <w:szCs w:val="20"/>
        </w:rPr>
        <w:t>Exemple : BTS-CG-Casxxxxx-Prof-V2.1.zip</w:t>
      </w:r>
    </w:p>
    <w:p w:rsidR="001665DB" w:rsidRDefault="001665DB"/>
    <w:sectPr w:rsidR="001665DB" w:rsidSect="009D65BF">
      <w:pgSz w:w="11906" w:h="16838"/>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C88" w:rsidRDefault="00A12C88">
      <w:r>
        <w:separator/>
      </w:r>
    </w:p>
  </w:endnote>
  <w:endnote w:type="continuationSeparator" w:id="1">
    <w:p w:rsidR="00A12C88" w:rsidRDefault="00A12C8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C88" w:rsidRDefault="00A12C88">
      <w:r>
        <w:rPr>
          <w:color w:val="000000"/>
        </w:rPr>
        <w:separator/>
      </w:r>
    </w:p>
  </w:footnote>
  <w:footnote w:type="continuationSeparator" w:id="1">
    <w:p w:rsidR="00A12C88" w:rsidRDefault="00A12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07D9"/>
    <w:multiLevelType w:val="hybridMultilevel"/>
    <w:tmpl w:val="1E34F0E6"/>
    <w:lvl w:ilvl="0" w:tplc="63D0952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2A5641"/>
    <w:multiLevelType w:val="hybridMultilevel"/>
    <w:tmpl w:val="5340593A"/>
    <w:lvl w:ilvl="0" w:tplc="82C2D6AE">
      <w:start w:val="4"/>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DD4611"/>
    <w:multiLevelType w:val="multilevel"/>
    <w:tmpl w:val="F9502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247607A"/>
    <w:multiLevelType w:val="multilevel"/>
    <w:tmpl w:val="03F2D2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CA567DC"/>
    <w:multiLevelType w:val="multilevel"/>
    <w:tmpl w:val="3A4E497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nsid w:val="6F6D74C4"/>
    <w:multiLevelType w:val="multilevel"/>
    <w:tmpl w:val="8A1CD354"/>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characterSpacingControl w:val="doNotCompress"/>
  <w:footnotePr>
    <w:footnote w:id="0"/>
    <w:footnote w:id="1"/>
  </w:footnotePr>
  <w:endnotePr>
    <w:endnote w:id="0"/>
    <w:endnote w:id="1"/>
  </w:endnotePr>
  <w:compat/>
  <w:rsids>
    <w:rsidRoot w:val="00794CA5"/>
    <w:rsid w:val="001665DB"/>
    <w:rsid w:val="00170BB7"/>
    <w:rsid w:val="00257B82"/>
    <w:rsid w:val="002C2444"/>
    <w:rsid w:val="003069FA"/>
    <w:rsid w:val="00326D94"/>
    <w:rsid w:val="00383B41"/>
    <w:rsid w:val="004F732F"/>
    <w:rsid w:val="006143C6"/>
    <w:rsid w:val="006D0C6F"/>
    <w:rsid w:val="007276AD"/>
    <w:rsid w:val="00794CA5"/>
    <w:rsid w:val="00840085"/>
    <w:rsid w:val="00852283"/>
    <w:rsid w:val="008A512F"/>
    <w:rsid w:val="008C44D6"/>
    <w:rsid w:val="008C541F"/>
    <w:rsid w:val="00903121"/>
    <w:rsid w:val="00921F3E"/>
    <w:rsid w:val="009D65BF"/>
    <w:rsid w:val="00A12C88"/>
    <w:rsid w:val="00A51FF7"/>
    <w:rsid w:val="00B33871"/>
    <w:rsid w:val="00B654AA"/>
    <w:rsid w:val="00C37293"/>
    <w:rsid w:val="00D32D9F"/>
    <w:rsid w:val="00D431CC"/>
    <w:rsid w:val="00E114D6"/>
    <w:rsid w:val="00E56335"/>
    <w:rsid w:val="00EC3791"/>
    <w:rsid w:val="00F71B02"/>
    <w:rsid w:val="00FB37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65BF"/>
    <w:pPr>
      <w:suppressAutoHyphens/>
      <w:autoSpaceDN w:val="0"/>
      <w:ind w:left="284" w:right="284"/>
      <w:jc w:val="both"/>
      <w:textAlignment w:val="baseline"/>
    </w:pPr>
    <w:rPr>
      <w:rFonts w:ascii="Book Antiqua" w:hAnsi="Book Antiqua"/>
      <w:sz w:val="24"/>
      <w:szCs w:val="24"/>
    </w:rPr>
  </w:style>
  <w:style w:type="paragraph" w:styleId="Titre1">
    <w:name w:val="heading 1"/>
    <w:basedOn w:val="Normal"/>
    <w:next w:val="Normal"/>
    <w:rsid w:val="009D65BF"/>
    <w:pPr>
      <w:keepNext/>
      <w:pBdr>
        <w:top w:val="double" w:sz="12" w:space="1" w:color="000080"/>
        <w:bottom w:val="double" w:sz="12" w:space="1" w:color="000080"/>
      </w:pBdr>
      <w:spacing w:before="240" w:after="240"/>
      <w:ind w:left="0" w:right="-1"/>
      <w:outlineLvl w:val="0"/>
    </w:pPr>
    <w:rPr>
      <w:rFonts w:ascii="Arial" w:hAnsi="Arial" w:cs="Arial"/>
      <w:b/>
      <w:bCs/>
      <w:color w:val="0000FF"/>
      <w:kern w:val="3"/>
      <w:sz w:val="36"/>
      <w:szCs w:val="32"/>
    </w:rPr>
  </w:style>
  <w:style w:type="paragraph" w:styleId="Titre2">
    <w:name w:val="heading 2"/>
    <w:basedOn w:val="Normal"/>
    <w:next w:val="Normal"/>
    <w:rsid w:val="009D65BF"/>
    <w:pPr>
      <w:keepNext/>
      <w:pBdr>
        <w:bottom w:val="double" w:sz="12" w:space="1" w:color="000080"/>
      </w:pBdr>
      <w:spacing w:before="240" w:after="240"/>
      <w:ind w:left="0" w:right="0"/>
      <w:outlineLvl w:val="1"/>
    </w:pPr>
    <w:rPr>
      <w:rFonts w:ascii="Arial" w:hAnsi="Arial" w:cs="Arial"/>
      <w:b/>
      <w:bCs/>
      <w:i/>
      <w:iCs/>
      <w:color w:val="0000FF"/>
      <w:sz w:val="28"/>
      <w:szCs w:val="28"/>
    </w:rPr>
  </w:style>
  <w:style w:type="paragraph" w:styleId="Titre3">
    <w:name w:val="heading 3"/>
    <w:basedOn w:val="Normal"/>
    <w:next w:val="Normal"/>
    <w:rsid w:val="009D65BF"/>
    <w:pPr>
      <w:keepNext/>
      <w:spacing w:before="240" w:after="120"/>
      <w:ind w:left="0" w:right="-1"/>
      <w:outlineLvl w:val="2"/>
    </w:pPr>
    <w:rPr>
      <w:rFonts w:ascii="Arial" w:hAnsi="Arial" w:cs="Arial"/>
      <w:b/>
      <w:bCs/>
      <w:color w:val="0000FF"/>
      <w:sz w:val="26"/>
      <w:szCs w:val="26"/>
      <w:u w:val="single" w:color="000080"/>
    </w:rPr>
  </w:style>
  <w:style w:type="paragraph" w:styleId="Titre4">
    <w:name w:val="heading 4"/>
    <w:basedOn w:val="Normal"/>
    <w:next w:val="Normal"/>
    <w:rsid w:val="009D65BF"/>
    <w:pPr>
      <w:keepNext/>
      <w:spacing w:before="120" w:after="120"/>
      <w:ind w:left="0"/>
      <w:outlineLvl w:val="3"/>
    </w:pPr>
    <w:rPr>
      <w:b/>
      <w:bCs/>
      <w:color w:val="0000FF"/>
      <w:u w:val="single" w:color="000080"/>
    </w:rPr>
  </w:style>
  <w:style w:type="paragraph" w:styleId="Titre5">
    <w:name w:val="heading 5"/>
    <w:basedOn w:val="Normal"/>
    <w:next w:val="Normal"/>
    <w:rsid w:val="009D65BF"/>
    <w:pPr>
      <w:keepNext/>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D65BF"/>
    <w:pPr>
      <w:tabs>
        <w:tab w:val="center" w:pos="4536"/>
        <w:tab w:val="right" w:pos="9072"/>
      </w:tabs>
      <w:overflowPunct w:val="0"/>
      <w:autoSpaceDE w:val="0"/>
      <w:jc w:val="left"/>
    </w:pPr>
    <w:rPr>
      <w:sz w:val="20"/>
      <w:szCs w:val="20"/>
    </w:rPr>
  </w:style>
  <w:style w:type="paragraph" w:styleId="Pieddepage">
    <w:name w:val="footer"/>
    <w:basedOn w:val="Normal"/>
    <w:rsid w:val="009D65BF"/>
    <w:pPr>
      <w:tabs>
        <w:tab w:val="center" w:pos="4536"/>
        <w:tab w:val="right" w:pos="9072"/>
      </w:tabs>
    </w:pPr>
  </w:style>
  <w:style w:type="character" w:styleId="Lienhypertexte">
    <w:name w:val="Hyperlink"/>
    <w:rsid w:val="009D65BF"/>
    <w:rPr>
      <w:color w:val="0000FF"/>
      <w:u w:val="single"/>
    </w:rPr>
  </w:style>
  <w:style w:type="paragraph" w:customStyle="1" w:styleId="txt">
    <w:name w:val="txt"/>
    <w:basedOn w:val="Normal"/>
    <w:rsid w:val="009D65BF"/>
    <w:pPr>
      <w:spacing w:before="100" w:after="100"/>
      <w:jc w:val="left"/>
    </w:pPr>
    <w:rPr>
      <w:rFonts w:ascii="Arial" w:hAnsi="Arial" w:cs="Arial"/>
      <w:color w:val="003366"/>
      <w:sz w:val="15"/>
      <w:szCs w:val="15"/>
    </w:rPr>
  </w:style>
  <w:style w:type="paragraph" w:customStyle="1" w:styleId="ref">
    <w:name w:val="ref"/>
    <w:basedOn w:val="Normal"/>
    <w:rsid w:val="009D65BF"/>
    <w:pPr>
      <w:spacing w:before="100" w:after="100"/>
      <w:jc w:val="left"/>
    </w:pPr>
    <w:rPr>
      <w:rFonts w:ascii="Verdana" w:hAnsi="Verdana"/>
      <w:color w:val="003366"/>
      <w:sz w:val="16"/>
      <w:szCs w:val="16"/>
    </w:rPr>
  </w:style>
  <w:style w:type="character" w:styleId="Lienhypertextesuivivisit">
    <w:name w:val="FollowedHyperlink"/>
    <w:rsid w:val="009D65BF"/>
    <w:rPr>
      <w:color w:val="800080"/>
      <w:u w:val="single"/>
    </w:rPr>
  </w:style>
  <w:style w:type="paragraph" w:styleId="Normalcentr">
    <w:name w:val="Block Text"/>
    <w:basedOn w:val="Normal"/>
    <w:rsid w:val="009D65BF"/>
  </w:style>
  <w:style w:type="paragraph" w:styleId="Notedebasdepage">
    <w:name w:val="footnote text"/>
    <w:basedOn w:val="Normal"/>
    <w:link w:val="NotedebasdepageCar"/>
    <w:uiPriority w:val="99"/>
    <w:rsid w:val="009D65BF"/>
    <w:rPr>
      <w:szCs w:val="20"/>
    </w:rPr>
  </w:style>
  <w:style w:type="character" w:styleId="Numrodepage">
    <w:name w:val="page number"/>
    <w:basedOn w:val="Policepardfaut"/>
    <w:rsid w:val="009D65BF"/>
  </w:style>
  <w:style w:type="paragraph" w:styleId="TM1">
    <w:name w:val="toc 1"/>
    <w:basedOn w:val="Normal"/>
    <w:next w:val="Normal"/>
    <w:autoRedefine/>
    <w:rsid w:val="009D65BF"/>
    <w:pPr>
      <w:spacing w:before="120" w:after="60"/>
      <w:ind w:left="0"/>
      <w:jc w:val="left"/>
    </w:pPr>
    <w:rPr>
      <w:b/>
      <w:bCs/>
      <w:color w:val="0000FF"/>
      <w:u w:val="single"/>
    </w:rPr>
  </w:style>
  <w:style w:type="paragraph" w:styleId="TM2">
    <w:name w:val="toc 2"/>
    <w:basedOn w:val="Normal"/>
    <w:next w:val="Normal"/>
    <w:autoRedefine/>
    <w:rsid w:val="009D65BF"/>
    <w:pPr>
      <w:spacing w:before="60" w:after="60"/>
      <w:jc w:val="left"/>
    </w:pPr>
    <w:rPr>
      <w:b/>
      <w:iCs/>
      <w:color w:val="0000FF"/>
    </w:rPr>
  </w:style>
  <w:style w:type="paragraph" w:styleId="TM3">
    <w:name w:val="toc 3"/>
    <w:basedOn w:val="Normal"/>
    <w:next w:val="Normal"/>
    <w:autoRedefine/>
    <w:rsid w:val="009D65BF"/>
    <w:pPr>
      <w:spacing w:before="60"/>
      <w:ind w:left="397"/>
      <w:jc w:val="left"/>
    </w:pPr>
    <w:rPr>
      <w:color w:val="0000FF"/>
    </w:rPr>
  </w:style>
  <w:style w:type="paragraph" w:styleId="TM4">
    <w:name w:val="toc 4"/>
    <w:basedOn w:val="Normal"/>
    <w:next w:val="Normal"/>
    <w:autoRedefine/>
    <w:rsid w:val="009D65BF"/>
    <w:pPr>
      <w:ind w:left="600"/>
      <w:jc w:val="left"/>
    </w:pPr>
    <w:rPr>
      <w:i/>
      <w:color w:val="0000FF"/>
    </w:rPr>
  </w:style>
  <w:style w:type="paragraph" w:styleId="TM5">
    <w:name w:val="toc 5"/>
    <w:basedOn w:val="Normal"/>
    <w:next w:val="Normal"/>
    <w:autoRedefine/>
    <w:rsid w:val="009D65BF"/>
    <w:pPr>
      <w:ind w:left="800"/>
      <w:jc w:val="left"/>
    </w:pPr>
  </w:style>
  <w:style w:type="paragraph" w:styleId="TM6">
    <w:name w:val="toc 6"/>
    <w:basedOn w:val="Normal"/>
    <w:next w:val="Normal"/>
    <w:autoRedefine/>
    <w:rsid w:val="009D65BF"/>
    <w:pPr>
      <w:ind w:left="1000"/>
      <w:jc w:val="left"/>
    </w:pPr>
    <w:rPr>
      <w:rFonts w:ascii="Times New Roman" w:hAnsi="Times New Roman"/>
    </w:rPr>
  </w:style>
  <w:style w:type="paragraph" w:styleId="TM7">
    <w:name w:val="toc 7"/>
    <w:basedOn w:val="Normal"/>
    <w:next w:val="Normal"/>
    <w:autoRedefine/>
    <w:rsid w:val="009D65BF"/>
    <w:pPr>
      <w:ind w:left="1200"/>
      <w:jc w:val="left"/>
    </w:pPr>
    <w:rPr>
      <w:rFonts w:ascii="Times New Roman" w:hAnsi="Times New Roman"/>
    </w:rPr>
  </w:style>
  <w:style w:type="paragraph" w:styleId="Paragraphedeliste">
    <w:name w:val="List Paragraph"/>
    <w:basedOn w:val="Normal"/>
    <w:uiPriority w:val="34"/>
    <w:qFormat/>
    <w:rsid w:val="00852283"/>
    <w:pPr>
      <w:suppressAutoHyphens w:val="0"/>
      <w:autoSpaceDN/>
      <w:spacing w:after="200" w:line="276" w:lineRule="auto"/>
      <w:ind w:left="720" w:right="0"/>
      <w:contextualSpacing/>
      <w:jc w:val="left"/>
      <w:textAlignment w:val="auto"/>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A51FF7"/>
    <w:rPr>
      <w:rFonts w:ascii="Tahoma" w:hAnsi="Tahoma" w:cs="Tahoma"/>
      <w:sz w:val="16"/>
      <w:szCs w:val="16"/>
    </w:rPr>
  </w:style>
  <w:style w:type="character" w:customStyle="1" w:styleId="TextedebullesCar">
    <w:name w:val="Texte de bulles Car"/>
    <w:basedOn w:val="Policepardfaut"/>
    <w:link w:val="Textedebulles"/>
    <w:uiPriority w:val="99"/>
    <w:semiHidden/>
    <w:rsid w:val="00A51FF7"/>
    <w:rPr>
      <w:rFonts w:ascii="Tahoma" w:hAnsi="Tahoma" w:cs="Tahoma"/>
      <w:sz w:val="16"/>
      <w:szCs w:val="16"/>
    </w:rPr>
  </w:style>
  <w:style w:type="character" w:customStyle="1" w:styleId="NotedebasdepageCar">
    <w:name w:val="Note de bas de page Car"/>
    <w:basedOn w:val="Policepardfaut"/>
    <w:link w:val="Notedebasdepage"/>
    <w:uiPriority w:val="99"/>
    <w:rsid w:val="006143C6"/>
    <w:rPr>
      <w:rFonts w:ascii="Book Antiqua" w:hAnsi="Book Antiqua"/>
      <w:sz w:val="24"/>
    </w:rPr>
  </w:style>
  <w:style w:type="character" w:styleId="Appelnotedebasdep">
    <w:name w:val="footnote reference"/>
    <w:basedOn w:val="Policepardfaut"/>
    <w:uiPriority w:val="99"/>
    <w:semiHidden/>
    <w:unhideWhenUsed/>
    <w:rsid w:val="006143C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G\AppData\Local\Temp\FichePedaCrc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FichePedaCrcf</Template>
  <TotalTime>1</TotalTime>
  <Pages>3</Pages>
  <Words>851</Words>
  <Characters>4685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PROFEG</dc:creator>
  <cp:lastModifiedBy>CP</cp:lastModifiedBy>
  <cp:revision>2</cp:revision>
  <dcterms:created xsi:type="dcterms:W3CDTF">2016-02-21T20:13:00Z</dcterms:created>
  <dcterms:modified xsi:type="dcterms:W3CDTF">2016-02-21T20:13:00Z</dcterms:modified>
</cp:coreProperties>
</file>