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CC6B96">
        <w:trPr>
          <w:trHeight w:val="1620"/>
        </w:trPr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87984" w:rsidP="00724D64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AD9D81" wp14:editId="2F803229">
                  <wp:simplePos x="0" y="0"/>
                  <wp:positionH relativeFrom="column">
                    <wp:posOffset>4171950</wp:posOffset>
                  </wp:positionH>
                  <wp:positionV relativeFrom="page">
                    <wp:posOffset>142875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333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4111B18" wp14:editId="7F495D8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724D64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COTTAGE DE LYON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A772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ACADEMIE DE LYON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87984" w:rsidP="00887984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</w:t>
            </w:r>
            <w:r w:rsidR="003069FA"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A7724">
            <w:pPr>
              <w:ind w:left="0" w:right="0"/>
              <w:jc w:val="left"/>
            </w:pPr>
            <w:r>
              <w:rPr>
                <w:szCs w:val="20"/>
              </w:rPr>
              <w:t xml:space="preserve">MINIER Jean-Philippe – Lycée Carriat – Bourg-en-Bresse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B14277" w:rsidP="00BE20CF">
            <w:pPr>
              <w:ind w:left="0" w:right="0"/>
              <w:jc w:val="left"/>
            </w:pPr>
            <w:r>
              <w:rPr>
                <w:szCs w:val="20"/>
              </w:rPr>
              <w:t>Ecritures inventaire, créances douteuses, bilan, contrôle, affectation du résultat</w:t>
            </w:r>
          </w:p>
        </w:tc>
      </w:tr>
      <w:tr w:rsidR="001665DB" w:rsidRPr="00A56DCF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724" w:rsidRDefault="00B14277" w:rsidP="00A56DCF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>
              <w:rPr>
                <w:rFonts w:cs="Arial"/>
                <w:bCs/>
                <w:color w:val="000000"/>
                <w:sz w:val="22"/>
                <w:szCs w:val="21"/>
              </w:rPr>
              <w:t>« Cottage de Lyon » a pour activité la vente de meubles anglais. Le cabinet d’expertise comptable qui a tenu sa comptabilité lui rend ses dossiers avec toutes les opérations courantes enregistrées car la dirigeante a choisi de ré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>a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 xml:space="preserve">liser le bilan. </w:t>
            </w:r>
          </w:p>
          <w:p w:rsidR="00B14277" w:rsidRDefault="00B14277" w:rsidP="00A56DCF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DB4AC5">
              <w:rPr>
                <w:rFonts w:cs="Arial"/>
                <w:bCs/>
                <w:color w:val="000000"/>
                <w:sz w:val="22"/>
                <w:szCs w:val="21"/>
                <w:u w:val="single"/>
              </w:rPr>
              <w:t>Mission 1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 xml:space="preserve"> : </w:t>
            </w:r>
            <w:r w:rsidR="00DB4AC5">
              <w:rPr>
                <w:rFonts w:cs="Arial"/>
                <w:b/>
                <w:bCs/>
                <w:color w:val="000000"/>
                <w:sz w:val="22"/>
                <w:szCs w:val="21"/>
              </w:rPr>
              <w:t xml:space="preserve">travail sur </w:t>
            </w:r>
            <w:r w:rsidRPr="00DB4AC5">
              <w:rPr>
                <w:rFonts w:cs="Arial"/>
                <w:b/>
                <w:bCs/>
                <w:color w:val="000000"/>
                <w:sz w:val="22"/>
                <w:szCs w:val="21"/>
              </w:rPr>
              <w:t>les écritures d’inventaire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>, notamment régularisation des immobilisations (acquisition, cession, mise au rebus…), la réalisation d’un tableau de créances douteuses et divers écritures (devises…). Un calcul d’IS est à réaliser (avec planification des acomptes)</w:t>
            </w:r>
          </w:p>
          <w:p w:rsidR="00B14277" w:rsidRDefault="00B14277" w:rsidP="00A56DCF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DB4AC5">
              <w:rPr>
                <w:rFonts w:cs="Arial"/>
                <w:bCs/>
                <w:color w:val="000000"/>
                <w:sz w:val="22"/>
                <w:szCs w:val="21"/>
                <w:u w:val="single"/>
              </w:rPr>
              <w:t>Mission 2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> :</w:t>
            </w:r>
            <w:r w:rsidR="00DB4AC5">
              <w:rPr>
                <w:rFonts w:cs="Arial"/>
                <w:bCs/>
                <w:color w:val="000000"/>
                <w:sz w:val="22"/>
                <w:szCs w:val="21"/>
              </w:rPr>
              <w:t xml:space="preserve"> </w:t>
            </w:r>
            <w:r w:rsidR="00DB4AC5" w:rsidRPr="00DB4AC5">
              <w:rPr>
                <w:rFonts w:cs="Arial"/>
                <w:b/>
                <w:bCs/>
                <w:color w:val="000000"/>
                <w:sz w:val="22"/>
                <w:szCs w:val="21"/>
              </w:rPr>
              <w:t>contrôle du bilan fiscal édité par le</w:t>
            </w:r>
            <w:r w:rsidR="00DB4AC5">
              <w:rPr>
                <w:rFonts w:cs="Arial"/>
                <w:bCs/>
                <w:color w:val="000000"/>
                <w:sz w:val="22"/>
                <w:szCs w:val="21"/>
              </w:rPr>
              <w:t xml:space="preserve"> </w:t>
            </w:r>
            <w:r w:rsidR="00DB4AC5" w:rsidRPr="00DB4AC5">
              <w:rPr>
                <w:rFonts w:cs="Arial"/>
                <w:b/>
                <w:bCs/>
                <w:color w:val="000000"/>
                <w:sz w:val="22"/>
                <w:szCs w:val="21"/>
              </w:rPr>
              <w:t>PGI </w:t>
            </w:r>
            <w:r w:rsidR="00DB4AC5">
              <w:rPr>
                <w:rFonts w:cs="Arial"/>
                <w:bCs/>
                <w:color w:val="000000"/>
                <w:sz w:val="22"/>
                <w:szCs w:val="21"/>
              </w:rPr>
              <w:t>: rapprochement du bilan avec les tableaux d’analyse et données fournies</w:t>
            </w:r>
          </w:p>
          <w:p w:rsidR="00DB4AC5" w:rsidRPr="00DB4AC5" w:rsidRDefault="00DB4AC5" w:rsidP="00A56DCF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1"/>
              </w:rPr>
            </w:pPr>
            <w:r w:rsidRPr="00DB4AC5">
              <w:rPr>
                <w:rFonts w:cs="Arial"/>
                <w:bCs/>
                <w:color w:val="000000"/>
                <w:sz w:val="22"/>
                <w:szCs w:val="21"/>
                <w:u w:val="single"/>
              </w:rPr>
              <w:t>Mission 3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 xml:space="preserve"> : </w:t>
            </w:r>
            <w:r w:rsidRPr="00DB4AC5">
              <w:rPr>
                <w:rFonts w:cs="Arial"/>
                <w:b/>
                <w:bCs/>
                <w:color w:val="000000"/>
                <w:sz w:val="22"/>
                <w:szCs w:val="21"/>
              </w:rPr>
              <w:t>affectation du résultat.</w:t>
            </w:r>
            <w:r>
              <w:rPr>
                <w:rFonts w:cs="Arial"/>
                <w:bCs/>
                <w:color w:val="000000"/>
                <w:sz w:val="22"/>
                <w:szCs w:val="21"/>
              </w:rPr>
              <w:t xml:space="preserve"> Affectation et comptabilisation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887984" w:rsidRDefault="001A0923" w:rsidP="00A56DCF">
            <w:pPr>
              <w:ind w:left="0" w:right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H</w:t>
            </w:r>
          </w:p>
        </w:tc>
      </w:tr>
      <w:tr w:rsidR="001665DB" w:rsidTr="00887984">
        <w:trPr>
          <w:trHeight w:val="283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887984">
            <w:pPr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887984"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87984" w:rsidRDefault="00003333" w:rsidP="00A56DCF">
            <w:pPr>
              <w:ind w:left="0" w:right="0"/>
              <w:jc w:val="left"/>
              <w:rPr>
                <w:sz w:val="22"/>
              </w:rPr>
            </w:pPr>
            <w:r w:rsidRPr="00887984">
              <w:rPr>
                <w:sz w:val="22"/>
                <w:szCs w:val="20"/>
              </w:rPr>
              <w:t xml:space="preserve">Etudiants de </w:t>
            </w:r>
            <w:r w:rsidR="00A56DCF">
              <w:rPr>
                <w:sz w:val="22"/>
                <w:szCs w:val="20"/>
              </w:rPr>
              <w:t>2</w:t>
            </w:r>
            <w:r w:rsidR="00A56DCF" w:rsidRPr="00A56DCF">
              <w:rPr>
                <w:sz w:val="22"/>
                <w:szCs w:val="20"/>
                <w:vertAlign w:val="superscript"/>
              </w:rPr>
              <w:t>ème</w:t>
            </w:r>
            <w:r w:rsidR="00A56DCF">
              <w:rPr>
                <w:sz w:val="22"/>
                <w:szCs w:val="20"/>
              </w:rPr>
              <w:t xml:space="preserve"> </w:t>
            </w:r>
            <w:r w:rsidRPr="00887984">
              <w:rPr>
                <w:sz w:val="22"/>
                <w:szCs w:val="20"/>
              </w:rPr>
              <w:t>de BTS CG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887984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0923" w:rsidRP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1.3. Enregistrement et suivi des opérations comptables relatives aux clients  </w:t>
            </w:r>
          </w:p>
          <w:p w:rsidR="001A0923" w:rsidRP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1.4. Production de l’information relative au risque client </w:t>
            </w:r>
          </w:p>
          <w:p w:rsidR="001A0923" w:rsidRP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1.5. Enregistrement et suivi des opérations relatives aux fournisseurs  </w:t>
            </w:r>
          </w:p>
          <w:p w:rsidR="001A0923" w:rsidRP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2.1. Conduite d’une veille réglementaire nécessaire à l’établissement des comptes   </w:t>
            </w:r>
          </w:p>
          <w:p w:rsidR="00840085" w:rsidRP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>2.3. Réalisation des opérations d’inventaire</w:t>
            </w:r>
          </w:p>
          <w:p w:rsid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0"/>
                <w:szCs w:val="17"/>
              </w:rPr>
              <w:t xml:space="preserve">2.4. Production des comptes annuels et des situations intermédiaires  </w:t>
            </w:r>
          </w:p>
          <w:p w:rsid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0"/>
                <w:szCs w:val="17"/>
              </w:rPr>
              <w:t>2.5. Suivi comptable des travaux relatifs à l’affectation des résultats</w:t>
            </w:r>
          </w:p>
          <w:p w:rsidR="001A0923" w:rsidRP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293" w:right="0" w:hanging="142"/>
              <w:jc w:val="left"/>
              <w:textAlignment w:val="auto"/>
              <w:rPr>
                <w:rFonts w:cs="Arial"/>
                <w:color w:val="000000"/>
                <w:sz w:val="20"/>
                <w:szCs w:val="17"/>
              </w:rPr>
            </w:pPr>
            <w:r w:rsidRPr="001A0923">
              <w:rPr>
                <w:rFonts w:cs="Arial"/>
                <w:color w:val="000000"/>
                <w:sz w:val="20"/>
                <w:szCs w:val="17"/>
              </w:rPr>
              <w:t>7.2. Gérer les informations de l’organisation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887984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87984" w:rsidRDefault="001665DB" w:rsidP="00BE20CF">
            <w:pPr>
              <w:ind w:left="0" w:right="0"/>
              <w:jc w:val="left"/>
              <w:rPr>
                <w:sz w:val="22"/>
              </w:rPr>
            </w:pPr>
          </w:p>
        </w:tc>
      </w:tr>
      <w:tr w:rsidR="001665DB" w:rsidRPr="00A56DCF" w:rsidTr="00887984">
        <w:trPr>
          <w:trHeight w:val="623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887984">
            <w:pPr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4AC5" w:rsidRPr="00724D64" w:rsidRDefault="00DB4AC5" w:rsidP="00887984">
            <w:pPr>
              <w:ind w:left="0" w:right="0"/>
              <w:jc w:val="left"/>
              <w:rPr>
                <w:sz w:val="22"/>
                <w:szCs w:val="20"/>
              </w:rPr>
            </w:pPr>
            <w:r w:rsidRPr="00724D64">
              <w:rPr>
                <w:sz w:val="22"/>
                <w:szCs w:val="20"/>
              </w:rPr>
              <w:t>EBP Comptabilité mais adaptable à d’autres PGI</w:t>
            </w:r>
          </w:p>
          <w:p w:rsidR="001665DB" w:rsidRPr="00A56DCF" w:rsidRDefault="00003333" w:rsidP="00887984">
            <w:pPr>
              <w:ind w:left="0" w:right="0"/>
              <w:jc w:val="left"/>
              <w:rPr>
                <w:sz w:val="22"/>
                <w:lang w:val="en-US"/>
              </w:rPr>
            </w:pPr>
            <w:r w:rsidRPr="00A56DCF">
              <w:rPr>
                <w:sz w:val="22"/>
                <w:szCs w:val="20"/>
                <w:lang w:val="en-US"/>
              </w:rPr>
              <w:t>EXCEL - WORD</w:t>
            </w:r>
            <w:r w:rsidR="003069FA" w:rsidRPr="00A56DCF">
              <w:rPr>
                <w:sz w:val="22"/>
                <w:szCs w:val="20"/>
                <w:lang w:val="en-US"/>
              </w:rPr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3333" w:rsidRPr="00887984" w:rsidRDefault="00003333" w:rsidP="00064412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cs="Arial"/>
                <w:color w:val="000000"/>
                <w:sz w:val="22"/>
                <w:szCs w:val="17"/>
              </w:rPr>
            </w:pPr>
            <w:r w:rsidRPr="00887984">
              <w:rPr>
                <w:rFonts w:cs="Arial"/>
                <w:color w:val="000000"/>
                <w:sz w:val="22"/>
                <w:szCs w:val="17"/>
              </w:rPr>
              <w:t xml:space="preserve">Réalisation </w:t>
            </w:r>
          </w:p>
          <w:p w:rsidR="001A0923" w:rsidRDefault="001A0923" w:rsidP="001A0923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17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5 séances </w:t>
            </w:r>
            <w:r w:rsidR="00BC19DB">
              <w:rPr>
                <w:rFonts w:cs="Arial"/>
                <w:color w:val="000000"/>
                <w:sz w:val="22"/>
                <w:szCs w:val="17"/>
              </w:rPr>
              <w:t xml:space="preserve">d’AP </w:t>
            </w:r>
            <w:r w:rsidRPr="001A0923">
              <w:rPr>
                <w:rFonts w:cs="Arial"/>
                <w:color w:val="000000"/>
                <w:sz w:val="22"/>
                <w:szCs w:val="17"/>
              </w:rPr>
              <w:t>de 4H (tout compris)</w:t>
            </w:r>
          </w:p>
          <w:p w:rsidR="00BC19DB" w:rsidRPr="00BC19DB" w:rsidRDefault="00BC19DB" w:rsidP="00BC19DB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483" w:right="0"/>
              <w:jc w:val="left"/>
              <w:textAlignment w:val="auto"/>
              <w:rPr>
                <w:sz w:val="28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La partie inventaire </w:t>
            </w:r>
            <w:r>
              <w:rPr>
                <w:rFonts w:cs="Arial"/>
                <w:color w:val="000000"/>
                <w:sz w:val="22"/>
                <w:szCs w:val="17"/>
              </w:rPr>
              <w:t>peut être traitée en TD dans le cadre de l’enseignement du P2 puis réalisé en AP</w:t>
            </w:r>
          </w:p>
          <w:p w:rsidR="001665DB" w:rsidRPr="00887984" w:rsidRDefault="00064412" w:rsidP="00064412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cs="Arial"/>
                <w:color w:val="000000"/>
                <w:sz w:val="22"/>
                <w:szCs w:val="17"/>
              </w:rPr>
            </w:pPr>
            <w:bookmarkStart w:id="0" w:name="_GoBack"/>
            <w:bookmarkEnd w:id="0"/>
            <w:r w:rsidRPr="00887984">
              <w:rPr>
                <w:rFonts w:cs="Arial"/>
                <w:color w:val="000000"/>
                <w:sz w:val="22"/>
                <w:szCs w:val="17"/>
              </w:rPr>
              <w:t>Organisation</w:t>
            </w:r>
          </w:p>
          <w:p w:rsidR="00064412" w:rsidRPr="001A0923" w:rsidRDefault="00BE20CF" w:rsidP="00BE20CF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483" w:right="0"/>
              <w:jc w:val="left"/>
              <w:textAlignment w:val="auto"/>
              <w:rPr>
                <w:sz w:val="28"/>
              </w:rPr>
            </w:pPr>
            <w:r>
              <w:rPr>
                <w:rFonts w:cs="Arial"/>
                <w:color w:val="000000"/>
                <w:sz w:val="22"/>
                <w:szCs w:val="17"/>
              </w:rPr>
              <w:t>Travail par groupe de deux</w:t>
            </w:r>
            <w:r w:rsidR="00064412" w:rsidRPr="00BE20CF">
              <w:rPr>
                <w:rFonts w:cs="Arial"/>
                <w:color w:val="000000"/>
                <w:sz w:val="22"/>
                <w:szCs w:val="17"/>
              </w:rPr>
              <w:t xml:space="preserve"> </w:t>
            </w:r>
          </w:p>
          <w:p w:rsidR="001A0923" w:rsidRPr="00BE20CF" w:rsidRDefault="001A0923" w:rsidP="00BE20CF">
            <w:pPr>
              <w:numPr>
                <w:ilvl w:val="0"/>
                <w:numId w:val="1"/>
              </w:numPr>
              <w:tabs>
                <w:tab w:val="clear" w:pos="720"/>
                <w:tab w:val="num" w:pos="483"/>
              </w:tabs>
              <w:suppressAutoHyphens w:val="0"/>
              <w:autoSpaceDN/>
              <w:ind w:left="483" w:right="0"/>
              <w:jc w:val="left"/>
              <w:textAlignment w:val="auto"/>
              <w:rPr>
                <w:sz w:val="28"/>
              </w:rPr>
            </w:pPr>
            <w:r w:rsidRPr="001A0923">
              <w:rPr>
                <w:rFonts w:cs="Arial"/>
                <w:color w:val="000000"/>
                <w:sz w:val="22"/>
                <w:szCs w:val="17"/>
              </w:rPr>
              <w:t xml:space="preserve">La partie inventaire et bilan peuvent être réalisés </w:t>
            </w:r>
            <w:r w:rsidR="00FD65CE">
              <w:rPr>
                <w:rFonts w:cs="Arial"/>
                <w:color w:val="000000"/>
                <w:sz w:val="22"/>
                <w:szCs w:val="17"/>
              </w:rPr>
              <w:t>au premier semestre (octobre - décembre) et l’affectation du résultat au second semestre (s</w:t>
            </w:r>
            <w:r w:rsidR="00FD65CE">
              <w:rPr>
                <w:rFonts w:cs="Arial"/>
                <w:color w:val="000000"/>
                <w:sz w:val="22"/>
                <w:szCs w:val="17"/>
              </w:rPr>
              <w:t>e</w:t>
            </w:r>
            <w:r w:rsidR="00FD65CE">
              <w:rPr>
                <w:rFonts w:cs="Arial"/>
                <w:color w:val="000000"/>
                <w:sz w:val="22"/>
                <w:szCs w:val="17"/>
              </w:rPr>
              <w:t>lon progression)</w:t>
            </w:r>
          </w:p>
        </w:tc>
      </w:tr>
      <w:tr w:rsidR="001665DB" w:rsidTr="00887984">
        <w:trPr>
          <w:trHeight w:val="703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0C3A" w:rsidRDefault="00E77244" w:rsidP="00BE20CF">
            <w:pPr>
              <w:ind w:left="0" w:right="0"/>
              <w:jc w:val="left"/>
            </w:pPr>
            <w:r w:rsidRPr="000D1650">
              <w:rPr>
                <w:sz w:val="22"/>
                <w:szCs w:val="22"/>
              </w:rPr>
              <w:t xml:space="preserve">Les fichiers sont disponibles sur le site de d’académie de </w:t>
            </w:r>
            <w:r>
              <w:rPr>
                <w:sz w:val="22"/>
                <w:szCs w:val="22"/>
              </w:rPr>
              <w:t>L</w:t>
            </w:r>
            <w:r w:rsidRPr="000D1650">
              <w:rPr>
                <w:sz w:val="22"/>
                <w:szCs w:val="22"/>
              </w:rPr>
              <w:t>yon</w:t>
            </w:r>
            <w:r w:rsidRPr="000D1650">
              <w:rPr>
                <w:rFonts w:cs="Calibri"/>
                <w:color w:val="0F243E"/>
              </w:rPr>
              <w:t>, dans la rubrique Ressources Pédagogiques/BTS/BTS CG/Mallette pédagogique/Situation professionnelles (</w:t>
            </w:r>
            <w:hyperlink r:id="rId11" w:history="1">
              <w:r w:rsidRPr="000D1650">
                <w:rPr>
                  <w:rStyle w:val="Lienhypertexte"/>
                  <w:rFonts w:cs="Calibri"/>
                </w:rPr>
                <w:t>accès direct au site</w:t>
              </w:r>
            </w:hyperlink>
            <w:r w:rsidRPr="000D1650">
              <w:rPr>
                <w:rFonts w:cs="Calibri"/>
                <w:color w:val="0F243E"/>
              </w:rPr>
              <w:t>)  </w:t>
            </w:r>
          </w:p>
        </w:tc>
      </w:tr>
      <w:tr w:rsidR="001665DB" w:rsidTr="00887984">
        <w:trPr>
          <w:trHeight w:val="164"/>
        </w:trPr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lastRenderedPageBreak/>
              <w:t>Observations</w:t>
            </w:r>
            <w:r>
              <w:rPr>
                <w:szCs w:val="20"/>
              </w:rPr>
              <w:t xml:space="preserve"> :</w:t>
            </w:r>
            <w:r w:rsidR="006D1B9B">
              <w:rPr>
                <w:szCs w:val="20"/>
              </w:rPr>
              <w:t xml:space="preserve"> </w:t>
            </w:r>
            <w:r w:rsidR="00E77244" w:rsidRPr="00EA6430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Contact : </w:t>
            </w:r>
            <w:hyperlink r:id="rId12" w:history="1">
              <w:r w:rsidR="00E77244" w:rsidRPr="00EA6430">
                <w:rPr>
                  <w:rStyle w:val="Lienhypertexte"/>
                  <w:rFonts w:cs="Arial"/>
                  <w:sz w:val="22"/>
                  <w:szCs w:val="22"/>
                </w:rPr>
                <w:t>jean-philippe.minier@ac-lyon</w:t>
              </w:r>
            </w:hyperlink>
          </w:p>
        </w:tc>
      </w:tr>
    </w:tbl>
    <w:p w:rsidR="00A56DCF" w:rsidRDefault="00A56DCF" w:rsidP="001E4E07">
      <w:pPr>
        <w:ind w:left="0"/>
      </w:pPr>
    </w:p>
    <w:sectPr w:rsidR="00A56DCF" w:rsidSect="00E77244">
      <w:pgSz w:w="11906" w:h="16838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4" w:rsidRDefault="008A7724">
      <w:r>
        <w:separator/>
      </w:r>
    </w:p>
  </w:endnote>
  <w:endnote w:type="continuationSeparator" w:id="0">
    <w:p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4" w:rsidRDefault="008A7724">
      <w:r>
        <w:rPr>
          <w:color w:val="000000"/>
        </w:rPr>
        <w:separator/>
      </w:r>
    </w:p>
  </w:footnote>
  <w:footnote w:type="continuationSeparator" w:id="0">
    <w:p w:rsidR="008A7724" w:rsidRDefault="008A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4"/>
    <w:rsid w:val="00003333"/>
    <w:rsid w:val="00064412"/>
    <w:rsid w:val="00120C3A"/>
    <w:rsid w:val="001665DB"/>
    <w:rsid w:val="001A0923"/>
    <w:rsid w:val="001E48A1"/>
    <w:rsid w:val="001E4E07"/>
    <w:rsid w:val="00200376"/>
    <w:rsid w:val="00257B82"/>
    <w:rsid w:val="002751B0"/>
    <w:rsid w:val="003069FA"/>
    <w:rsid w:val="003453D2"/>
    <w:rsid w:val="004737A1"/>
    <w:rsid w:val="006D1B9B"/>
    <w:rsid w:val="00724D64"/>
    <w:rsid w:val="00840085"/>
    <w:rsid w:val="00887984"/>
    <w:rsid w:val="008A7724"/>
    <w:rsid w:val="00921F3E"/>
    <w:rsid w:val="00A56DCF"/>
    <w:rsid w:val="00AB79CE"/>
    <w:rsid w:val="00B14277"/>
    <w:rsid w:val="00BC19DB"/>
    <w:rsid w:val="00BE20CF"/>
    <w:rsid w:val="00CB2857"/>
    <w:rsid w:val="00CC6B96"/>
    <w:rsid w:val="00D431CC"/>
    <w:rsid w:val="00DB4AC5"/>
    <w:rsid w:val="00E52F82"/>
    <w:rsid w:val="00E77244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an-philippe.minier@ac-ly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gestion-legt.enseigne.ac-lyon.fr/spip/spip.php?rubrique396&amp;lang=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587A-40FD-415A-A7E2-6CF229DE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487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8</cp:revision>
  <dcterms:created xsi:type="dcterms:W3CDTF">2018-08-03T08:03:00Z</dcterms:created>
  <dcterms:modified xsi:type="dcterms:W3CDTF">2018-10-08T08:54:00Z</dcterms:modified>
</cp:coreProperties>
</file>