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A9A" w:rsidRPr="00454A9A" w:rsidRDefault="00454A9A" w:rsidP="009E39AA">
      <w:pPr>
        <w:spacing w:after="0"/>
        <w:rPr>
          <w:rFonts w:asciiTheme="majorHAnsi" w:hAnsiTheme="majorHAnsi"/>
          <w:b/>
          <w:sz w:val="28"/>
          <w:szCs w:val="28"/>
        </w:rPr>
      </w:pPr>
      <w:r w:rsidRPr="00454A9A">
        <w:rPr>
          <w:rFonts w:asciiTheme="majorHAnsi" w:hAnsiTheme="majorHAnsi"/>
          <w:b/>
          <w:sz w:val="28"/>
          <w:szCs w:val="28"/>
        </w:rPr>
        <w:t>RESSOURCE 9 – INVESTISSEMENTS PREVUS DANS L’ENTREPRISE CITRUS</w:t>
      </w:r>
    </w:p>
    <w:p w:rsidR="00454A9A" w:rsidRPr="007212EE" w:rsidRDefault="00454A9A" w:rsidP="00454A9A">
      <w:pPr>
        <w:spacing w:after="0" w:line="240" w:lineRule="auto"/>
        <w:rPr>
          <w:rFonts w:asciiTheme="majorHAnsi" w:hAnsiTheme="majorHAnsi"/>
          <w:b/>
          <w:u w:val="single"/>
        </w:rPr>
      </w:pPr>
    </w:p>
    <w:p w:rsidR="00454A9A" w:rsidRPr="00C152E5" w:rsidRDefault="00454A9A" w:rsidP="00454A9A">
      <w:pPr>
        <w:spacing w:after="0" w:line="240" w:lineRule="auto"/>
        <w:rPr>
          <w:rFonts w:asciiTheme="majorHAnsi" w:hAnsiTheme="majorHAnsi"/>
          <w:b/>
        </w:rPr>
      </w:pPr>
      <w:r w:rsidRPr="00C152E5">
        <w:rPr>
          <w:rFonts w:asciiTheme="majorHAnsi" w:hAnsiTheme="majorHAnsi"/>
          <w:b/>
        </w:rPr>
        <w:t>Le 1</w:t>
      </w:r>
      <w:r w:rsidRPr="00C152E5">
        <w:rPr>
          <w:rFonts w:asciiTheme="majorHAnsi" w:hAnsiTheme="majorHAnsi"/>
          <w:b/>
          <w:vertAlign w:val="superscript"/>
        </w:rPr>
        <w:t>er</w:t>
      </w:r>
      <w:r w:rsidRPr="00C152E5">
        <w:rPr>
          <w:rFonts w:asciiTheme="majorHAnsi" w:hAnsiTheme="majorHAnsi"/>
          <w:b/>
        </w:rPr>
        <w:t xml:space="preserve"> janvier 2018 </w:t>
      </w:r>
    </w:p>
    <w:p w:rsidR="00454A9A" w:rsidRDefault="00454A9A" w:rsidP="00454A9A">
      <w:pPr>
        <w:spacing w:after="0" w:line="240" w:lineRule="auto"/>
        <w:jc w:val="both"/>
        <w:rPr>
          <w:rFonts w:asciiTheme="majorHAnsi" w:hAnsiTheme="majorHAnsi"/>
          <w:b/>
        </w:rPr>
      </w:pPr>
    </w:p>
    <w:p w:rsidR="00454A9A" w:rsidRPr="007212EE" w:rsidRDefault="00454A9A" w:rsidP="00454A9A">
      <w:pPr>
        <w:spacing w:after="0" w:line="240" w:lineRule="auto"/>
        <w:jc w:val="both"/>
        <w:rPr>
          <w:rFonts w:asciiTheme="majorHAnsi" w:hAnsiTheme="majorHAnsi"/>
          <w:b/>
        </w:rPr>
      </w:pPr>
      <w:r w:rsidRPr="007212EE">
        <w:rPr>
          <w:rFonts w:asciiTheme="majorHAnsi" w:hAnsiTheme="majorHAnsi"/>
          <w:b/>
        </w:rPr>
        <w:t>Rachat de l’entreprise CITRUS pour un montant de 15 millions d’euros.</w:t>
      </w:r>
    </w:p>
    <w:p w:rsidR="00454A9A" w:rsidRPr="007212EE" w:rsidRDefault="00454A9A" w:rsidP="00454A9A">
      <w:pPr>
        <w:spacing w:after="0"/>
        <w:jc w:val="both"/>
        <w:rPr>
          <w:rFonts w:asciiTheme="majorHAnsi" w:hAnsiTheme="majorHAnsi"/>
        </w:rPr>
      </w:pPr>
      <w:r w:rsidRPr="007212EE">
        <w:rPr>
          <w:rFonts w:asciiTheme="majorHAnsi" w:hAnsiTheme="majorHAnsi"/>
        </w:rPr>
        <w:t>Le financement se fera par apport de ULS pour 85 %, des dirigeants de CITRUS pour 15 %. Les dirigeants de CITRUS utilisent un montage financier d’holdings pour pouvoir emprunter une partie de la somme nécessaire à leur apport.</w:t>
      </w:r>
    </w:p>
    <w:p w:rsidR="00454A9A" w:rsidRPr="007212EE" w:rsidRDefault="00454A9A" w:rsidP="00454A9A">
      <w:pPr>
        <w:spacing w:after="0"/>
        <w:jc w:val="both"/>
        <w:rPr>
          <w:rFonts w:asciiTheme="majorHAnsi" w:hAnsiTheme="majorHAnsi"/>
        </w:rPr>
      </w:pPr>
      <w:r w:rsidRPr="007212EE">
        <w:rPr>
          <w:rFonts w:asciiTheme="majorHAnsi" w:hAnsiTheme="majorHAnsi"/>
        </w:rPr>
        <w:t>La société CITRUS versera des dividendes à partir de 2019 fixés à un million d’euros par an. Les dirigeants de CITRUS disposent de dividendes préciputaires qui leur donnent une garantie de stabilité dans le temps en cas de non réalisation des objectifs de résultat.</w:t>
      </w:r>
    </w:p>
    <w:p w:rsidR="00454A9A" w:rsidRDefault="00454A9A" w:rsidP="00454A9A">
      <w:pPr>
        <w:spacing w:after="0"/>
        <w:jc w:val="both"/>
        <w:rPr>
          <w:rFonts w:asciiTheme="majorHAnsi" w:hAnsiTheme="majorHAnsi"/>
        </w:rPr>
      </w:pPr>
      <w:r w:rsidRPr="007212EE">
        <w:rPr>
          <w:rFonts w:asciiTheme="majorHAnsi" w:hAnsiTheme="majorHAnsi"/>
        </w:rPr>
        <w:t>ULS envisage une stabilité sur l’activité segment traditionnel de CITRUS entre 2018 et 2020. Les flux futurs annuels de trésorerie dégagés par le rachat se basent sur des prévisions établies à partir de la profitabilité passée de CITRUS. On vous fournit les principaux éléments d’analyse des comptes de résultats (moyennes des années 2015, 2016, 2017).</w:t>
      </w:r>
    </w:p>
    <w:p w:rsidR="00454A9A" w:rsidRPr="007212EE" w:rsidRDefault="00454A9A" w:rsidP="00454A9A">
      <w:pPr>
        <w:spacing w:after="0"/>
        <w:jc w:val="both"/>
        <w:rPr>
          <w:rFonts w:asciiTheme="majorHAnsi" w:hAnsiTheme="majorHAnsi"/>
        </w:rPr>
      </w:pPr>
    </w:p>
    <w:p w:rsidR="00454A9A" w:rsidRPr="007212EE" w:rsidRDefault="00454A9A" w:rsidP="00454A9A">
      <w:pPr>
        <w:spacing w:after="0"/>
        <w:jc w:val="both"/>
        <w:rPr>
          <w:rFonts w:asciiTheme="majorHAnsi" w:hAnsiTheme="majorHAnsi"/>
        </w:rPr>
      </w:pPr>
      <w:r w:rsidRPr="007212EE">
        <w:rPr>
          <w:rFonts w:asciiTheme="majorHAnsi" w:hAnsiTheme="majorHAnsi"/>
        </w:rPr>
        <w:t>En milliers d’euros :</w:t>
      </w:r>
    </w:p>
    <w:tbl>
      <w:tblPr>
        <w:tblW w:w="7030" w:type="dxa"/>
        <w:jc w:val="center"/>
        <w:tblCellMar>
          <w:left w:w="70" w:type="dxa"/>
          <w:right w:w="70" w:type="dxa"/>
        </w:tblCellMar>
        <w:tblLook w:val="04A0"/>
      </w:tblPr>
      <w:tblGrid>
        <w:gridCol w:w="5443"/>
        <w:gridCol w:w="1587"/>
      </w:tblGrid>
      <w:tr w:rsidR="00454A9A" w:rsidRPr="007212EE" w:rsidTr="00DB79F8">
        <w:trPr>
          <w:trHeight w:val="20"/>
          <w:jc w:val="center"/>
        </w:trPr>
        <w:tc>
          <w:tcPr>
            <w:tcW w:w="5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Chiffre d'affaires</w:t>
            </w:r>
          </w:p>
        </w:tc>
        <w:tc>
          <w:tcPr>
            <w:tcW w:w="1587" w:type="dxa"/>
            <w:tcBorders>
              <w:top w:val="single" w:sz="4" w:space="0" w:color="auto"/>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50 000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Production de l'exercice</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50 200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Valeur ajoutée</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10 000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Excédent brut d'exploitation (EBE)</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3 000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 Dotations aux amortissements, provisions et dépréciations</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-1 000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Résultat d'exploitation</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2 000</w:t>
            </w:r>
          </w:p>
        </w:tc>
      </w:tr>
      <w:tr w:rsidR="00454A9A" w:rsidRPr="007212EE" w:rsidTr="00DB79F8">
        <w:trPr>
          <w:trHeight w:val="20"/>
          <w:jc w:val="center"/>
        </w:trPr>
        <w:tc>
          <w:tcPr>
            <w:tcW w:w="5443" w:type="dxa"/>
            <w:tcBorders>
              <w:top w:val="nil"/>
              <w:left w:val="single" w:sz="4" w:space="0" w:color="auto"/>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rPr>
                <w:rFonts w:asciiTheme="majorHAnsi" w:eastAsia="Times New Roman" w:hAnsiTheme="majorHAnsi"/>
                <w:lang w:eastAsia="fr-FR"/>
              </w:rPr>
            </w:pPr>
            <w:r w:rsidRPr="007212EE">
              <w:rPr>
                <w:rFonts w:asciiTheme="majorHAnsi" w:eastAsia="Times New Roman" w:hAnsiTheme="majorHAnsi"/>
                <w:lang w:eastAsia="fr-FR"/>
              </w:rPr>
              <w:t>Résultat net comptable</w:t>
            </w:r>
          </w:p>
        </w:tc>
        <w:tc>
          <w:tcPr>
            <w:tcW w:w="1587" w:type="dxa"/>
            <w:tcBorders>
              <w:top w:val="nil"/>
              <w:left w:val="nil"/>
              <w:bottom w:val="single" w:sz="4" w:space="0" w:color="auto"/>
              <w:right w:val="single" w:sz="4" w:space="0" w:color="auto"/>
            </w:tcBorders>
            <w:shd w:val="clear" w:color="auto" w:fill="auto"/>
            <w:noWrap/>
            <w:vAlign w:val="bottom"/>
            <w:hideMark/>
          </w:tcPr>
          <w:p w:rsidR="00454A9A" w:rsidRPr="007212EE" w:rsidRDefault="00454A9A" w:rsidP="00DB79F8">
            <w:pPr>
              <w:spacing w:after="0" w:line="240" w:lineRule="auto"/>
              <w:ind w:right="-140"/>
              <w:jc w:val="center"/>
              <w:rPr>
                <w:rFonts w:asciiTheme="majorHAnsi" w:eastAsia="Times New Roman" w:hAnsiTheme="majorHAnsi"/>
                <w:lang w:eastAsia="fr-FR"/>
              </w:rPr>
            </w:pPr>
            <w:r w:rsidRPr="007212EE">
              <w:rPr>
                <w:rFonts w:asciiTheme="majorHAnsi" w:eastAsia="Times New Roman" w:hAnsiTheme="majorHAnsi"/>
                <w:lang w:eastAsia="fr-FR"/>
              </w:rPr>
              <w:t>1 500</w:t>
            </w:r>
          </w:p>
        </w:tc>
      </w:tr>
    </w:tbl>
    <w:p w:rsidR="00454A9A" w:rsidRPr="007212EE" w:rsidRDefault="00454A9A" w:rsidP="00454A9A">
      <w:pPr>
        <w:spacing w:after="0" w:line="240" w:lineRule="auto"/>
        <w:rPr>
          <w:rFonts w:asciiTheme="majorHAnsi" w:hAnsiTheme="majorHAnsi"/>
        </w:rPr>
      </w:pPr>
    </w:p>
    <w:p w:rsidR="00454A9A" w:rsidRPr="007212EE" w:rsidRDefault="00454A9A" w:rsidP="00454A9A">
      <w:pPr>
        <w:spacing w:after="0"/>
        <w:jc w:val="both"/>
        <w:rPr>
          <w:rFonts w:asciiTheme="majorHAnsi" w:hAnsiTheme="majorHAnsi"/>
        </w:rPr>
      </w:pPr>
      <w:r w:rsidRPr="007212EE">
        <w:rPr>
          <w:rFonts w:asciiTheme="majorHAnsi" w:hAnsiTheme="majorHAnsi"/>
        </w:rPr>
        <w:t>Le besoin en fonds de roulement de l’activité traditionnelle est évalué à 12 % du CA HT, il restera stable jusqu’à la mise en service de l’entrepôt de stockage en 2021. L’entreprise CITRUS possède une trésorerie d’un million d’euros au 31 décembre 2017.</w:t>
      </w:r>
    </w:p>
    <w:p w:rsidR="00454A9A" w:rsidRPr="007212EE" w:rsidRDefault="00454A9A" w:rsidP="00454A9A">
      <w:pPr>
        <w:spacing w:after="0" w:line="240" w:lineRule="auto"/>
        <w:jc w:val="both"/>
        <w:rPr>
          <w:rFonts w:asciiTheme="majorHAnsi" w:hAnsiTheme="majorHAnsi"/>
        </w:rPr>
      </w:pPr>
    </w:p>
    <w:p w:rsidR="00454A9A" w:rsidRPr="007212EE" w:rsidRDefault="00454A9A" w:rsidP="00454A9A">
      <w:pPr>
        <w:spacing w:after="0" w:line="240" w:lineRule="auto"/>
        <w:jc w:val="both"/>
        <w:rPr>
          <w:rFonts w:asciiTheme="majorHAnsi" w:hAnsiTheme="majorHAnsi"/>
          <w:b/>
        </w:rPr>
      </w:pPr>
      <w:r w:rsidRPr="00BB11E7">
        <w:rPr>
          <w:rFonts w:asciiTheme="majorHAnsi" w:hAnsiTheme="majorHAnsi"/>
          <w:b/>
        </w:rPr>
        <w:t>Le 1</w:t>
      </w:r>
      <w:r w:rsidRPr="00BB11E7">
        <w:rPr>
          <w:rFonts w:asciiTheme="majorHAnsi" w:hAnsiTheme="majorHAnsi"/>
          <w:b/>
          <w:vertAlign w:val="superscript"/>
        </w:rPr>
        <w:t>er</w:t>
      </w:r>
      <w:r w:rsidRPr="00BB11E7">
        <w:rPr>
          <w:rFonts w:asciiTheme="majorHAnsi" w:hAnsiTheme="majorHAnsi"/>
          <w:b/>
        </w:rPr>
        <w:t xml:space="preserve"> janvier 2019</w:t>
      </w:r>
      <w:r>
        <w:rPr>
          <w:rFonts w:asciiTheme="majorHAnsi" w:hAnsiTheme="majorHAnsi"/>
          <w:b/>
        </w:rPr>
        <w:t xml:space="preserve"> : </w:t>
      </w:r>
      <w:r w:rsidRPr="007212EE">
        <w:rPr>
          <w:rFonts w:asciiTheme="majorHAnsi" w:hAnsiTheme="majorHAnsi"/>
          <w:b/>
        </w:rPr>
        <w:t>Création d’une nouvelle ligne « PET aseptique », déploiement du procédé d’asepsie sèche et de pasteurisation.</w:t>
      </w:r>
    </w:p>
    <w:p w:rsidR="00454A9A" w:rsidRPr="007212EE" w:rsidRDefault="00454A9A" w:rsidP="00454A9A">
      <w:pPr>
        <w:spacing w:after="0" w:line="240" w:lineRule="auto"/>
        <w:jc w:val="both"/>
        <w:rPr>
          <w:rFonts w:asciiTheme="majorHAnsi" w:hAnsiTheme="majorHAnsi"/>
        </w:rPr>
      </w:pPr>
    </w:p>
    <w:p w:rsidR="00454A9A" w:rsidRPr="007212EE" w:rsidRDefault="00454A9A" w:rsidP="00454A9A">
      <w:pPr>
        <w:spacing w:after="0"/>
        <w:jc w:val="both"/>
        <w:rPr>
          <w:rFonts w:asciiTheme="majorHAnsi" w:hAnsiTheme="majorHAnsi"/>
        </w:rPr>
      </w:pPr>
      <w:r w:rsidRPr="007212EE">
        <w:rPr>
          <w:rFonts w:asciiTheme="majorHAnsi" w:hAnsiTheme="majorHAnsi"/>
        </w:rPr>
        <w:t>La ligne au nom de code « ASEP16 », montée sur l’année 2018, sera opérationnelle au 31 décembre 2018. Les travaux seront payés au fur et à mesure de leur avancement, mais par simplification, on supposera que les sommes seront décaissées en fin de travaux au 31 décembre 2018.</w:t>
      </w:r>
    </w:p>
    <w:p w:rsidR="00454A9A" w:rsidRPr="007212EE" w:rsidRDefault="00454A9A" w:rsidP="00454A9A">
      <w:pPr>
        <w:spacing w:after="0"/>
        <w:jc w:val="both"/>
        <w:rPr>
          <w:rFonts w:asciiTheme="majorHAnsi" w:hAnsiTheme="majorHAnsi"/>
        </w:rPr>
      </w:pPr>
      <w:r w:rsidRPr="007212EE">
        <w:rPr>
          <w:rFonts w:asciiTheme="majorHAnsi" w:hAnsiTheme="majorHAnsi"/>
        </w:rPr>
        <w:t xml:space="preserve">Le coût de l’opération est de 12 millions d’euros. L’augmentation du chiffre d’affaires de l’ordre </w:t>
      </w:r>
      <w:r w:rsidR="009E39AA">
        <w:rPr>
          <w:rFonts w:asciiTheme="majorHAnsi" w:hAnsiTheme="majorHAnsi"/>
        </w:rPr>
        <w:br/>
        <w:t>1</w:t>
      </w:r>
      <w:r w:rsidRPr="007212EE">
        <w:rPr>
          <w:rFonts w:asciiTheme="majorHAnsi" w:hAnsiTheme="majorHAnsi"/>
        </w:rPr>
        <w:t>6</w:t>
      </w:r>
      <w:r w:rsidR="009E39AA">
        <w:rPr>
          <w:rFonts w:asciiTheme="majorHAnsi" w:hAnsiTheme="majorHAnsi"/>
        </w:rPr>
        <w:t xml:space="preserve"> </w:t>
      </w:r>
      <w:r w:rsidRPr="007212EE">
        <w:rPr>
          <w:rFonts w:asciiTheme="majorHAnsi" w:hAnsiTheme="majorHAnsi"/>
        </w:rPr>
        <w:t>50</w:t>
      </w:r>
      <w:r w:rsidR="009E39AA">
        <w:rPr>
          <w:rFonts w:asciiTheme="majorHAnsi" w:hAnsiTheme="majorHAnsi"/>
        </w:rPr>
        <w:t>0</w:t>
      </w:r>
      <w:r w:rsidRPr="007212EE">
        <w:rPr>
          <w:rFonts w:asciiTheme="majorHAnsi" w:hAnsiTheme="majorHAnsi"/>
        </w:rPr>
        <w:t xml:space="preserve"> K€.</w:t>
      </w:r>
    </w:p>
    <w:p w:rsidR="00454A9A" w:rsidRPr="007212EE" w:rsidRDefault="00454A9A" w:rsidP="00454A9A">
      <w:pPr>
        <w:spacing w:after="0"/>
        <w:jc w:val="both"/>
        <w:rPr>
          <w:rFonts w:asciiTheme="majorHAnsi" w:hAnsiTheme="majorHAnsi"/>
        </w:rPr>
      </w:pPr>
      <w:r w:rsidRPr="007212EE">
        <w:rPr>
          <w:rFonts w:asciiTheme="majorHAnsi" w:hAnsiTheme="majorHAnsi"/>
        </w:rPr>
        <w:t>La marge opérationnelle annuelle additionnelle (avant impôt et avant financement, mais après amortissement) générée par la production de la nouvelle ligne de conditionnement est arrondie à 2 700 K€. On rappelle que l’amortissement de l’investissement se fait en mode linéaire sur 15 ans.</w:t>
      </w:r>
    </w:p>
    <w:p w:rsidR="00454A9A" w:rsidRPr="007212EE" w:rsidRDefault="00454A9A" w:rsidP="00454A9A">
      <w:pPr>
        <w:spacing w:after="0"/>
        <w:jc w:val="both"/>
        <w:rPr>
          <w:rFonts w:asciiTheme="majorHAnsi" w:hAnsiTheme="majorHAnsi"/>
        </w:rPr>
      </w:pPr>
      <w:r w:rsidRPr="007212EE">
        <w:rPr>
          <w:rFonts w:asciiTheme="majorHAnsi" w:hAnsiTheme="majorHAnsi"/>
        </w:rPr>
        <w:t>Le besoin en fonds de roulement représente 10 % du chiffre d’affaires hors taxe additionnel. Par prudence, il sera à prendre en compte dès le 31 décembre 2018.</w:t>
      </w:r>
    </w:p>
    <w:p w:rsidR="00454A9A" w:rsidRDefault="00454A9A" w:rsidP="00454A9A">
      <w:pPr>
        <w:spacing w:after="0" w:line="240" w:lineRule="auto"/>
        <w:jc w:val="both"/>
        <w:rPr>
          <w:rFonts w:asciiTheme="majorHAnsi" w:hAnsiTheme="majorHAnsi"/>
        </w:rPr>
      </w:pPr>
    </w:p>
    <w:p w:rsidR="00BB3C98" w:rsidRDefault="00BB3C98" w:rsidP="00454A9A">
      <w:pPr>
        <w:spacing w:after="0" w:line="240" w:lineRule="auto"/>
        <w:jc w:val="both"/>
        <w:rPr>
          <w:rFonts w:asciiTheme="majorHAnsi" w:hAnsiTheme="majorHAnsi"/>
        </w:rPr>
      </w:pPr>
    </w:p>
    <w:p w:rsidR="00BB3C98" w:rsidRPr="007212EE" w:rsidRDefault="00BB3C98" w:rsidP="00454A9A">
      <w:pPr>
        <w:spacing w:after="0" w:line="240" w:lineRule="auto"/>
        <w:jc w:val="both"/>
        <w:rPr>
          <w:rFonts w:asciiTheme="majorHAnsi" w:hAnsiTheme="majorHAnsi"/>
        </w:rPr>
      </w:pPr>
    </w:p>
    <w:p w:rsidR="00454A9A" w:rsidRPr="007212EE" w:rsidRDefault="00454A9A" w:rsidP="00454A9A">
      <w:pPr>
        <w:spacing w:after="0" w:line="240" w:lineRule="auto"/>
        <w:jc w:val="both"/>
        <w:rPr>
          <w:rFonts w:asciiTheme="majorHAnsi" w:hAnsiTheme="majorHAnsi"/>
          <w:b/>
        </w:rPr>
      </w:pPr>
      <w:r w:rsidRPr="00BB11E7">
        <w:rPr>
          <w:rFonts w:asciiTheme="majorHAnsi" w:hAnsiTheme="majorHAnsi"/>
          <w:b/>
        </w:rPr>
        <w:lastRenderedPageBreak/>
        <w:t>Le 1</w:t>
      </w:r>
      <w:r w:rsidRPr="00BB11E7">
        <w:rPr>
          <w:rFonts w:asciiTheme="majorHAnsi" w:hAnsiTheme="majorHAnsi"/>
          <w:b/>
          <w:vertAlign w:val="superscript"/>
        </w:rPr>
        <w:t>er</w:t>
      </w:r>
      <w:r w:rsidRPr="00BB11E7">
        <w:rPr>
          <w:rFonts w:asciiTheme="majorHAnsi" w:hAnsiTheme="majorHAnsi"/>
          <w:b/>
        </w:rPr>
        <w:t xml:space="preserve"> janvier 2021</w:t>
      </w:r>
      <w:r>
        <w:rPr>
          <w:rFonts w:asciiTheme="majorHAnsi" w:hAnsiTheme="majorHAnsi"/>
          <w:b/>
        </w:rPr>
        <w:t xml:space="preserve"> : </w:t>
      </w:r>
      <w:r w:rsidRPr="007212EE">
        <w:rPr>
          <w:rFonts w:asciiTheme="majorHAnsi" w:hAnsiTheme="majorHAnsi"/>
          <w:b/>
        </w:rPr>
        <w:t>Transformation de la chaîne logistique avec construction d’un entrepôt équipé d’un transstockeur</w:t>
      </w:r>
    </w:p>
    <w:p w:rsidR="00454A9A" w:rsidRPr="007212EE" w:rsidRDefault="00454A9A" w:rsidP="00454A9A">
      <w:pPr>
        <w:spacing w:after="0" w:line="240" w:lineRule="auto"/>
        <w:jc w:val="both"/>
        <w:rPr>
          <w:rFonts w:asciiTheme="majorHAnsi" w:hAnsiTheme="majorHAnsi"/>
        </w:rPr>
      </w:pPr>
    </w:p>
    <w:p w:rsidR="00454A9A" w:rsidRPr="007212EE" w:rsidRDefault="00454A9A" w:rsidP="00454A9A">
      <w:pPr>
        <w:spacing w:after="0"/>
        <w:jc w:val="both"/>
        <w:rPr>
          <w:rFonts w:asciiTheme="majorHAnsi" w:hAnsiTheme="majorHAnsi"/>
        </w:rPr>
      </w:pPr>
      <w:r w:rsidRPr="007212EE">
        <w:rPr>
          <w:rFonts w:asciiTheme="majorHAnsi" w:hAnsiTheme="majorHAnsi"/>
        </w:rPr>
        <w:t>Le projet porte le nom de « TK18 ».  L’agrandissement des nouveaux locaux nécessite une autorisation de la ville d’Issoudun. Les principales échéances sont :</w:t>
      </w:r>
    </w:p>
    <w:p w:rsidR="00454A9A" w:rsidRPr="007212EE" w:rsidRDefault="00454A9A" w:rsidP="00454A9A">
      <w:pPr>
        <w:pStyle w:val="Paragraphedeliste"/>
        <w:numPr>
          <w:ilvl w:val="0"/>
          <w:numId w:val="3"/>
        </w:numPr>
        <w:spacing w:after="0"/>
        <w:jc w:val="both"/>
        <w:rPr>
          <w:rFonts w:asciiTheme="majorHAnsi" w:hAnsiTheme="majorHAnsi"/>
        </w:rPr>
      </w:pPr>
      <w:r w:rsidRPr="007212EE">
        <w:rPr>
          <w:rFonts w:asciiTheme="majorHAnsi" w:hAnsiTheme="majorHAnsi"/>
        </w:rPr>
        <w:t>Obtention du permis de construire en décembre 2019 ;</w:t>
      </w:r>
    </w:p>
    <w:p w:rsidR="00454A9A" w:rsidRPr="007212EE" w:rsidRDefault="00454A9A" w:rsidP="00454A9A">
      <w:pPr>
        <w:pStyle w:val="Paragraphedeliste"/>
        <w:numPr>
          <w:ilvl w:val="0"/>
          <w:numId w:val="3"/>
        </w:numPr>
        <w:spacing w:after="0"/>
        <w:jc w:val="both"/>
        <w:rPr>
          <w:rFonts w:asciiTheme="majorHAnsi" w:hAnsiTheme="majorHAnsi"/>
        </w:rPr>
      </w:pPr>
      <w:r w:rsidRPr="007212EE">
        <w:rPr>
          <w:rFonts w:asciiTheme="majorHAnsi" w:hAnsiTheme="majorHAnsi"/>
        </w:rPr>
        <w:t xml:space="preserve">Début des travaux prévu au premier janvier 2020 ; </w:t>
      </w:r>
    </w:p>
    <w:p w:rsidR="00454A9A" w:rsidRPr="007212EE" w:rsidRDefault="00454A9A" w:rsidP="00454A9A">
      <w:pPr>
        <w:pStyle w:val="Paragraphedeliste"/>
        <w:numPr>
          <w:ilvl w:val="0"/>
          <w:numId w:val="3"/>
        </w:numPr>
        <w:spacing w:after="0"/>
        <w:jc w:val="both"/>
        <w:rPr>
          <w:rFonts w:asciiTheme="majorHAnsi" w:hAnsiTheme="majorHAnsi"/>
        </w:rPr>
      </w:pPr>
      <w:r w:rsidRPr="007212EE">
        <w:rPr>
          <w:rFonts w:asciiTheme="majorHAnsi" w:hAnsiTheme="majorHAnsi"/>
        </w:rPr>
        <w:t>Nouvelle chaîne logistique opérationnelle au 31 décembre 2020.</w:t>
      </w:r>
    </w:p>
    <w:p w:rsidR="00454A9A" w:rsidRPr="007212EE" w:rsidRDefault="00454A9A" w:rsidP="00454A9A">
      <w:pPr>
        <w:spacing w:after="0"/>
        <w:jc w:val="both"/>
        <w:rPr>
          <w:rFonts w:asciiTheme="majorHAnsi" w:hAnsiTheme="majorHAnsi"/>
        </w:rPr>
      </w:pPr>
      <w:r w:rsidRPr="007212EE">
        <w:rPr>
          <w:rFonts w:asciiTheme="majorHAnsi" w:hAnsiTheme="majorHAnsi"/>
        </w:rPr>
        <w:t>Les 15 millions d’euros HT d</w:t>
      </w:r>
      <w:r>
        <w:rPr>
          <w:rFonts w:asciiTheme="majorHAnsi" w:hAnsiTheme="majorHAnsi"/>
        </w:rPr>
        <w:t>’investissement seront décaissé</w:t>
      </w:r>
      <w:r w:rsidRPr="007212EE">
        <w:rPr>
          <w:rFonts w:asciiTheme="majorHAnsi" w:hAnsiTheme="majorHAnsi"/>
        </w:rPr>
        <w:t>s pour 20 % en début de travaux et 80 % en fin de travaux. On rappelle que l’amortissement linéaire du nouvel ensemble logistique s’effectue sur 15 ans.</w:t>
      </w:r>
    </w:p>
    <w:p w:rsidR="00454A9A" w:rsidRPr="007212EE" w:rsidRDefault="00454A9A" w:rsidP="00454A9A">
      <w:pPr>
        <w:spacing w:after="0"/>
        <w:jc w:val="both"/>
        <w:rPr>
          <w:rFonts w:asciiTheme="majorHAnsi" w:hAnsiTheme="majorHAnsi"/>
        </w:rPr>
      </w:pPr>
      <w:r w:rsidRPr="007212EE">
        <w:rPr>
          <w:rFonts w:asciiTheme="majorHAnsi" w:hAnsiTheme="majorHAnsi"/>
        </w:rPr>
        <w:t>La rentabilité de l’investissement est basée sur les économies réalisées sur les charges de stockage et de distribution pour un montant annuel hors taxe arrondi à 2 200 K€ (avant impôt et avant amortissement), mais aussi sur une baisse du besoin en fonds de roulement qui se situera, après l’opération, à 8 % du chiffre d’affaires global hors taxe. Par prudence, les économies de besoin en fonds de roulement seront constatées en fin d’année.</w:t>
      </w:r>
    </w:p>
    <w:p w:rsidR="00454A9A" w:rsidRPr="007212EE" w:rsidRDefault="00454A9A" w:rsidP="00454A9A">
      <w:pPr>
        <w:spacing w:after="0"/>
        <w:jc w:val="both"/>
        <w:rPr>
          <w:rFonts w:asciiTheme="majorHAnsi" w:hAnsiTheme="majorHAnsi"/>
        </w:rPr>
      </w:pPr>
    </w:p>
    <w:sectPr w:rsidR="00454A9A" w:rsidRPr="007212EE" w:rsidSect="00D313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A9A" w:rsidRDefault="00454A9A" w:rsidP="00454A9A">
      <w:pPr>
        <w:spacing w:after="0" w:line="240" w:lineRule="auto"/>
      </w:pPr>
      <w:r>
        <w:separator/>
      </w:r>
    </w:p>
  </w:endnote>
  <w:endnote w:type="continuationSeparator" w:id="0">
    <w:p w:rsidR="00454A9A" w:rsidRDefault="00454A9A" w:rsidP="00454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A9A" w:rsidRDefault="00454A9A" w:rsidP="00454A9A">
      <w:pPr>
        <w:spacing w:after="0" w:line="240" w:lineRule="auto"/>
      </w:pPr>
      <w:r>
        <w:separator/>
      </w:r>
    </w:p>
  </w:footnote>
  <w:footnote w:type="continuationSeparator" w:id="0">
    <w:p w:rsidR="00454A9A" w:rsidRDefault="00454A9A" w:rsidP="00454A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B2960"/>
    <w:multiLevelType w:val="hybridMultilevel"/>
    <w:tmpl w:val="255ED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8AA23A6"/>
    <w:multiLevelType w:val="hybridMultilevel"/>
    <w:tmpl w:val="7FCE8ADA"/>
    <w:lvl w:ilvl="0" w:tplc="C1767C4A">
      <w:start w:val="15"/>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27D039F"/>
    <w:multiLevelType w:val="hybridMultilevel"/>
    <w:tmpl w:val="24461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1"/>
    <w:footnote w:id="0"/>
  </w:footnotePr>
  <w:endnotePr>
    <w:endnote w:id="-1"/>
    <w:endnote w:id="0"/>
  </w:endnotePr>
  <w:compat/>
  <w:rsids>
    <w:rsidRoot w:val="00454A9A"/>
    <w:rsid w:val="003E327C"/>
    <w:rsid w:val="00454A9A"/>
    <w:rsid w:val="009E39AA"/>
    <w:rsid w:val="00BB3C98"/>
    <w:rsid w:val="00D3132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9A"/>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54A9A"/>
    <w:pPr>
      <w:ind w:left="720"/>
      <w:contextualSpacing/>
    </w:pPr>
  </w:style>
  <w:style w:type="character" w:styleId="lev">
    <w:name w:val="Strong"/>
    <w:basedOn w:val="Policepardfaut"/>
    <w:uiPriority w:val="22"/>
    <w:qFormat/>
    <w:rsid w:val="00454A9A"/>
    <w:rPr>
      <w:b/>
      <w:bCs/>
    </w:rPr>
  </w:style>
  <w:style w:type="paragraph" w:styleId="Notedebasdepage">
    <w:name w:val="footnote text"/>
    <w:basedOn w:val="Normal"/>
    <w:link w:val="NotedebasdepageCar"/>
    <w:uiPriority w:val="99"/>
    <w:semiHidden/>
    <w:unhideWhenUsed/>
    <w:rsid w:val="00454A9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54A9A"/>
    <w:rPr>
      <w:rFonts w:ascii="Calibri" w:eastAsia="Calibri" w:hAnsi="Calibri" w:cs="Times New Roman"/>
      <w:sz w:val="20"/>
      <w:szCs w:val="20"/>
    </w:rPr>
  </w:style>
  <w:style w:type="character" w:styleId="Appelnotedebasdep">
    <w:name w:val="footnote reference"/>
    <w:basedOn w:val="Policepardfaut"/>
    <w:uiPriority w:val="99"/>
    <w:semiHidden/>
    <w:unhideWhenUsed/>
    <w:rsid w:val="00454A9A"/>
    <w:rPr>
      <w:vertAlign w:val="superscript"/>
    </w:rPr>
  </w:style>
  <w:style w:type="paragraph" w:styleId="Sansinterligne">
    <w:name w:val="No Spacing"/>
    <w:uiPriority w:val="1"/>
    <w:qFormat/>
    <w:rsid w:val="00454A9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3052</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bessiere.stephane</cp:lastModifiedBy>
  <cp:revision>3</cp:revision>
  <dcterms:created xsi:type="dcterms:W3CDTF">2016-11-03T10:18:00Z</dcterms:created>
  <dcterms:modified xsi:type="dcterms:W3CDTF">2016-11-16T09:53:00Z</dcterms:modified>
</cp:coreProperties>
</file>