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DB" w:rsidRDefault="001665DB"/>
    <w:tbl>
      <w:tblPr>
        <w:tblW w:w="0" w:type="auto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5"/>
        <w:gridCol w:w="7875"/>
      </w:tblGrid>
      <w:tr w:rsidR="001665DB" w:rsidTr="00FE2AAE">
        <w:tc>
          <w:tcPr>
            <w:tcW w:w="0" w:type="auto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Pr="00FE2AAE" w:rsidRDefault="009F3422" w:rsidP="00A3155A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left"/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3D3512" wp14:editId="1429BCF9">
                  <wp:simplePos x="0" y="0"/>
                  <wp:positionH relativeFrom="column">
                    <wp:posOffset>5532755</wp:posOffset>
                  </wp:positionH>
                  <wp:positionV relativeFrom="page">
                    <wp:posOffset>28575</wp:posOffset>
                  </wp:positionV>
                  <wp:extent cx="552450" cy="592455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AAE">
              <w:rPr>
                <w:noProof/>
              </w:rPr>
              <w:drawing>
                <wp:inline distT="0" distB="0" distL="0" distR="0" wp14:anchorId="5E1322CD" wp14:editId="1F2AEE56">
                  <wp:extent cx="1189355" cy="1189355"/>
                  <wp:effectExtent l="0" t="0" r="0" b="0"/>
                  <wp:docPr id="4" name="il_fi" descr="http://jonctionordsud.com/wp-content/uploads/2014/11/logo-academie-ami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onctionordsud.com/wp-content/uploads/2014/11/logo-academie-amie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AAE" w:rsidRPr="00FE2AAE">
              <w:rPr>
                <w:rFonts w:cs="Arial"/>
                <w:b/>
                <w:bCs/>
                <w:iCs/>
                <w:sz w:val="36"/>
                <w:szCs w:val="26"/>
              </w:rPr>
              <w:t xml:space="preserve">                         </w:t>
            </w:r>
            <w:r w:rsidR="00FE2AAE">
              <w:rPr>
                <w:rFonts w:cs="Arial"/>
                <w:b/>
                <w:bCs/>
                <w:iCs/>
                <w:sz w:val="36"/>
                <w:szCs w:val="26"/>
              </w:rPr>
              <w:t>S</w:t>
            </w:r>
            <w:r w:rsidR="00FE2AAE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ARL </w:t>
            </w:r>
            <w:r w:rsidR="00A3155A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EQUI’LIBRE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AMIENS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2AAE" w:rsidRDefault="00A3155A" w:rsidP="00FE2AAE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Christi</w:t>
            </w:r>
            <w:r w:rsidR="000A370C">
              <w:rPr>
                <w:szCs w:val="20"/>
              </w:rPr>
              <w:t>n</w:t>
            </w:r>
            <w:r>
              <w:rPr>
                <w:szCs w:val="20"/>
              </w:rPr>
              <w:t xml:space="preserve">e </w:t>
            </w:r>
            <w:proofErr w:type="spellStart"/>
            <w:r>
              <w:rPr>
                <w:szCs w:val="20"/>
              </w:rPr>
              <w:t>Broigniez</w:t>
            </w:r>
            <w:proofErr w:type="spellEnd"/>
            <w:r>
              <w:rPr>
                <w:szCs w:val="20"/>
              </w:rPr>
              <w:t xml:space="preserve">, Pascal </w:t>
            </w:r>
            <w:proofErr w:type="spellStart"/>
            <w:r>
              <w:rPr>
                <w:szCs w:val="20"/>
              </w:rPr>
              <w:t>Humetz</w:t>
            </w:r>
            <w:proofErr w:type="spellEnd"/>
            <w:r>
              <w:rPr>
                <w:szCs w:val="20"/>
              </w:rPr>
              <w:t xml:space="preserve">, Aurélien Maine, </w:t>
            </w:r>
            <w:r w:rsidR="00FE2AAE">
              <w:rPr>
                <w:szCs w:val="20"/>
              </w:rPr>
              <w:t xml:space="preserve">Martin Philippe, </w:t>
            </w:r>
            <w:proofErr w:type="spellStart"/>
            <w:r>
              <w:rPr>
                <w:szCs w:val="20"/>
              </w:rPr>
              <w:t>Brianne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Velter</w:t>
            </w:r>
            <w:proofErr w:type="spellEnd"/>
            <w:r>
              <w:rPr>
                <w:szCs w:val="20"/>
              </w:rPr>
              <w:t xml:space="preserve"> </w:t>
            </w:r>
            <w:r w:rsidR="00FE2AAE">
              <w:rPr>
                <w:szCs w:val="20"/>
              </w:rPr>
              <w:t>lycée Gérard de Nerval Soissons (02)</w:t>
            </w:r>
            <w:r w:rsidR="003069FA">
              <w:rPr>
                <w:szCs w:val="20"/>
              </w:rPr>
              <w:t xml:space="preserve"> auteurs </w:t>
            </w:r>
          </w:p>
          <w:p w:rsidR="001665DB" w:rsidRDefault="000A370C" w:rsidP="000A370C">
            <w:pPr>
              <w:ind w:left="0" w:right="0"/>
              <w:jc w:val="left"/>
            </w:pPr>
            <w:r>
              <w:t xml:space="preserve">Relecteur : M. </w:t>
            </w:r>
            <w:proofErr w:type="spellStart"/>
            <w:r>
              <w:t>Lefevre</w:t>
            </w:r>
            <w:proofErr w:type="spellEnd"/>
            <w:r>
              <w:t xml:space="preserve"> IPR académie d’Amiens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474A30">
            <w:pPr>
              <w:ind w:left="0" w:right="0"/>
              <w:jc w:val="left"/>
            </w:pPr>
            <w:r>
              <w:rPr>
                <w:szCs w:val="20"/>
              </w:rPr>
              <w:t> </w:t>
            </w:r>
            <w:r w:rsidR="00FE2AAE">
              <w:rPr>
                <w:szCs w:val="20"/>
              </w:rPr>
              <w:t xml:space="preserve">Atelier, processus,  achats, ventes, banque, opérations courantes, </w:t>
            </w:r>
            <w:r w:rsidR="00A3155A">
              <w:rPr>
                <w:szCs w:val="20"/>
              </w:rPr>
              <w:t xml:space="preserve">Etat de rapprochement, </w:t>
            </w:r>
            <w:r w:rsidR="00474A30">
              <w:rPr>
                <w:szCs w:val="20"/>
              </w:rPr>
              <w:t>déclaration TVA, contrat apprentissage, embauche, contrat de travail, DPAE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A3155A" w:rsidP="009F3422">
            <w:pPr>
              <w:suppressAutoHyphens w:val="0"/>
              <w:overflowPunct w:val="0"/>
              <w:autoSpaceDE w:val="0"/>
              <w:adjustRightInd w:val="0"/>
              <w:ind w:left="0" w:right="0"/>
            </w:pPr>
            <w:r w:rsidRPr="00112BF9">
              <w:rPr>
                <w:rFonts w:ascii="Times New Roman" w:hAnsi="Times New Roman"/>
              </w:rPr>
              <w:t>La SARL EQUI’LIBRE est implantée dans la région soissonnaise. Elle a comme activité le commerce en gros et au détail de matériel pour le cavalier et les ch</w:t>
            </w:r>
            <w:r w:rsidRPr="00112BF9">
              <w:rPr>
                <w:rFonts w:ascii="Times New Roman" w:hAnsi="Times New Roman"/>
              </w:rPr>
              <w:t>e</w:t>
            </w:r>
            <w:r w:rsidRPr="00112BF9">
              <w:rPr>
                <w:rFonts w:ascii="Times New Roman" w:hAnsi="Times New Roman"/>
              </w:rPr>
              <w:t>vaux. Ses clients  sont des magasins de détails, des haras, des centres équestres et des particuliers qui achètent au magasin situé à côté de l’entrepôt de stockage. Elle réalise aussi des prestations de réparation de selles et de location de véh</w:t>
            </w:r>
            <w:r w:rsidRPr="00112BF9">
              <w:rPr>
                <w:rFonts w:ascii="Times New Roman" w:hAnsi="Times New Roman"/>
              </w:rPr>
              <w:t>i</w:t>
            </w:r>
            <w:r w:rsidRPr="00112BF9">
              <w:rPr>
                <w:rFonts w:ascii="Times New Roman" w:hAnsi="Times New Roman"/>
              </w:rPr>
              <w:t>cules de transport de chevaux.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FE2AAE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4 séances de 3 heures en atelier professionnel</w:t>
            </w:r>
          </w:p>
          <w:p w:rsidR="00FE2AAE" w:rsidRDefault="00474A30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Fin</w:t>
            </w:r>
            <w:r w:rsidR="00FE2AAE">
              <w:rPr>
                <w:szCs w:val="20"/>
              </w:rPr>
              <w:t xml:space="preserve"> de première année de BTS CG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 w:rsidR="00FE2AAE">
              <w:t xml:space="preserve"> :</w:t>
            </w:r>
            <w:r w:rsidR="00FE2AAE">
              <w:br/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FE2AAE">
            <w:pPr>
              <w:ind w:left="0" w:right="0"/>
              <w:jc w:val="left"/>
            </w:pPr>
            <w:r>
              <w:rPr>
                <w:szCs w:val="20"/>
              </w:rPr>
              <w:t>Etudiants de BTS CG1, en groupe, avec répartition possible des missions à l’intérieur du groupe.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3422" w:rsidRPr="009F3422" w:rsidRDefault="009F3422" w:rsidP="00ED3ED8">
            <w:pPr>
              <w:ind w:left="0" w:right="0"/>
              <w:jc w:val="left"/>
              <w:rPr>
                <w:u w:val="single"/>
              </w:rPr>
            </w:pPr>
            <w:r>
              <w:rPr>
                <w:u w:val="single"/>
              </w:rPr>
              <w:t>A</w:t>
            </w:r>
            <w:r w:rsidRPr="009F3422">
              <w:rPr>
                <w:u w:val="single"/>
              </w:rPr>
              <w:t>ctivités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1.2.1. Etablir des documents commerciaux (doit et avoir) et calculer et appliquer des réductions commerciales et financières, avances et acomptes, frais acce</w:t>
            </w:r>
            <w:r w:rsidRPr="00A3155A">
              <w:rPr>
                <w:rFonts w:ascii="Times New Roman" w:eastAsia="Calibri" w:hAnsi="Times New Roman"/>
                <w:lang w:eastAsia="en-US"/>
              </w:rPr>
              <w:t>s</w:t>
            </w:r>
            <w:r w:rsidRPr="00A3155A">
              <w:rPr>
                <w:rFonts w:ascii="Times New Roman" w:eastAsia="Calibri" w:hAnsi="Times New Roman"/>
                <w:lang w:eastAsia="en-US"/>
              </w:rPr>
              <w:t>soires dans le respect des procédures et de la réglementation.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1.2.3. Mettre à jour les données clients / fournisseurs (PGI, papier et num</w:t>
            </w:r>
            <w:r w:rsidRPr="00A3155A">
              <w:rPr>
                <w:rFonts w:ascii="Times New Roman" w:eastAsia="Calibri" w:hAnsi="Times New Roman"/>
                <w:lang w:eastAsia="en-US"/>
              </w:rPr>
              <w:t>é</w:t>
            </w:r>
            <w:r w:rsidRPr="00A3155A">
              <w:rPr>
                <w:rFonts w:ascii="Times New Roman" w:eastAsia="Calibri" w:hAnsi="Times New Roman"/>
                <w:lang w:eastAsia="en-US"/>
              </w:rPr>
              <w:t>rique), effectuer les opérations de contrôle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1.3.1. Enregistrer les opérations relatives aux ventes, aux prestations de services, aux frais accessoires (transport, emballages), aux créances en devises, au règl</w:t>
            </w:r>
            <w:r w:rsidRPr="00A3155A">
              <w:rPr>
                <w:rFonts w:ascii="Times New Roman" w:eastAsia="Calibri" w:hAnsi="Times New Roman"/>
                <w:lang w:eastAsia="en-US"/>
              </w:rPr>
              <w:t>e</w:t>
            </w:r>
            <w:r w:rsidRPr="00A3155A">
              <w:rPr>
                <w:rFonts w:ascii="Times New Roman" w:eastAsia="Calibri" w:hAnsi="Times New Roman"/>
                <w:lang w:eastAsia="en-US"/>
              </w:rPr>
              <w:t>ment au comptant et à crédit et contrôler leur cohérence.</w:t>
            </w:r>
          </w:p>
          <w:p w:rsidR="009F3422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1.3.2. Lettrer, contrôler et corriger les erreurs éventuelles (y compris en utilisant les outils intégrés dans le PGI).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1.5.4. Réaliser et valider les enregistrements relatifs aux achats de biens, de se</w:t>
            </w:r>
            <w:r w:rsidRPr="00A3155A">
              <w:rPr>
                <w:rFonts w:ascii="Times New Roman" w:eastAsia="Calibri" w:hAnsi="Times New Roman"/>
                <w:lang w:eastAsia="en-US"/>
              </w:rPr>
              <w:t>r</w:t>
            </w:r>
            <w:r w:rsidRPr="00A3155A">
              <w:rPr>
                <w:rFonts w:ascii="Times New Roman" w:eastAsia="Calibri" w:hAnsi="Times New Roman"/>
                <w:lang w:eastAsia="en-US"/>
              </w:rPr>
              <w:t>vices et aux acquisitions d’immobilisation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1.6.1. Repérer et analyser les écarts entre le relevé bancaire et les comptes « banque ».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1.6.2. Effectuer un état de rapprochement et traiter les écarts analysés afin de préparer les enregistrements adéquats</w:t>
            </w:r>
          </w:p>
          <w:p w:rsidR="00A3155A" w:rsidRPr="00A3155A" w:rsidRDefault="00A3155A" w:rsidP="00A315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A3155A">
              <w:rPr>
                <w:rFonts w:ascii="Times New Roman" w:eastAsia="Calibri" w:hAnsi="Times New Roman"/>
                <w:lang w:eastAsia="en-US"/>
              </w:rPr>
              <w:t>1.6.3 Enregistrer les écritures de régularisation nécessaires suite au rapproch</w:t>
            </w:r>
            <w:r w:rsidRPr="00A3155A">
              <w:rPr>
                <w:rFonts w:ascii="Times New Roman" w:eastAsia="Calibri" w:hAnsi="Times New Roman"/>
                <w:lang w:eastAsia="en-US"/>
              </w:rPr>
              <w:t>e</w:t>
            </w:r>
            <w:r w:rsidRPr="00A3155A">
              <w:rPr>
                <w:rFonts w:ascii="Times New Roman" w:eastAsia="Calibri" w:hAnsi="Times New Roman"/>
                <w:lang w:eastAsia="en-US"/>
              </w:rPr>
              <w:t>ment bancaire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3.1.2 Identification des obligations fiscales de l’organisation,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3.2.1. Préparation de la déclaration de TVA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lastRenderedPageBreak/>
              <w:t>3.2.3. Enregistrements comptables de la déclaration de TVA,</w:t>
            </w:r>
          </w:p>
          <w:p w:rsidR="00A3155A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3.2.5. Détecter les anomalies éventuelles et les communiquer à son sup</w:t>
            </w:r>
            <w:r>
              <w:t>é</w:t>
            </w:r>
            <w:r>
              <w:t>rieur et proposer des améliorations dans les procédures de traitement de la TVA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4.1.1. Mettre à jour la documentation sociale interne après avoir identifié les évolutions juridiques ayant des conséquences pour l’organisation et ses salariés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4.2.1. Produire et transmettre les documents sociaux obligatoires pour l’embauche et le départ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7.1.1. Caractérisation du SI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7.1.2. Evaluation des besoins d’information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7.1.4. Réalisation d’une veille informationnelle</w:t>
            </w:r>
          </w:p>
          <w:p w:rsidR="00474A30" w:rsidRDefault="00474A30" w:rsidP="00474A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 w:val="0"/>
              <w:autoSpaceDN/>
              <w:ind w:left="0" w:right="0"/>
              <w:textAlignment w:val="auto"/>
            </w:pPr>
            <w:r>
              <w:t>7.3.1 Optimisation du traitement de l’information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lastRenderedPageBreak/>
              <w:t xml:space="preserve">Type de ressource :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 w:rsidP="009F3422">
            <w:pPr>
              <w:ind w:left="0" w:right="0"/>
              <w:jc w:val="left"/>
            </w:pPr>
            <w:r>
              <w:t>Atelier professionnel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F3422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PGI, tableur, texteur</w:t>
            </w:r>
          </w:p>
          <w:p w:rsidR="001665DB" w:rsidRDefault="009F3422">
            <w:pPr>
              <w:ind w:left="0" w:right="0"/>
              <w:jc w:val="left"/>
            </w:pPr>
            <w:r>
              <w:rPr>
                <w:szCs w:val="20"/>
              </w:rPr>
              <w:t xml:space="preserve">Internet ou source documentaire fiscale </w:t>
            </w:r>
            <w:r w:rsidR="00474A30">
              <w:rPr>
                <w:szCs w:val="20"/>
              </w:rPr>
              <w:t xml:space="preserve">et sociale </w:t>
            </w:r>
            <w:r>
              <w:rPr>
                <w:szCs w:val="20"/>
              </w:rPr>
              <w:t>papier</w:t>
            </w:r>
            <w:r w:rsidR="003069FA">
              <w:rPr>
                <w:szCs w:val="20"/>
              </w:rPr>
              <w:br/>
              <w:t> 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Atelier professionnel par groupe de 4 étudiant</w:t>
            </w:r>
            <w:proofErr w:type="gramStart"/>
            <w:r>
              <w:rPr>
                <w:szCs w:val="20"/>
              </w:rPr>
              <w:t>( e</w:t>
            </w:r>
            <w:proofErr w:type="gramEnd"/>
            <w:r>
              <w:rPr>
                <w:szCs w:val="20"/>
              </w:rPr>
              <w:t xml:space="preserve">)s pendant 4 périodes de 3 heures en </w:t>
            </w:r>
            <w:r w:rsidR="00474A30">
              <w:rPr>
                <w:szCs w:val="20"/>
              </w:rPr>
              <w:t>fin</w:t>
            </w:r>
            <w:r>
              <w:rPr>
                <w:szCs w:val="20"/>
              </w:rPr>
              <w:t xml:space="preserve"> de première année. Il s’agit de réaliser</w:t>
            </w:r>
            <w:r w:rsidR="00E73211">
              <w:rPr>
                <w:szCs w:val="20"/>
              </w:rPr>
              <w:t xml:space="preserve">  </w:t>
            </w:r>
            <w:r>
              <w:rPr>
                <w:szCs w:val="20"/>
              </w:rPr>
              <w:t>missions :</w:t>
            </w:r>
          </w:p>
          <w:p w:rsidR="00E73211" w:rsidRDefault="00E73211">
            <w:pPr>
              <w:ind w:left="0" w:right="0"/>
              <w:jc w:val="left"/>
              <w:rPr>
                <w:szCs w:val="20"/>
              </w:rPr>
            </w:pPr>
            <w:r w:rsidRPr="00E73211">
              <w:rPr>
                <w:szCs w:val="20"/>
              </w:rPr>
              <w:t xml:space="preserve">MISSION 1 : OPÉRATIONS D’ACHATS ET DE VENTES </w:t>
            </w:r>
          </w:p>
          <w:p w:rsidR="00E73211" w:rsidRPr="00E73211" w:rsidRDefault="00E73211" w:rsidP="00E73211">
            <w:pPr>
              <w:suppressAutoHyphens w:val="0"/>
              <w:autoSpaceDN/>
              <w:ind w:left="0" w:right="0"/>
              <w:jc w:val="left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E73211">
              <w:rPr>
                <w:rFonts w:ascii="Times New Roman" w:eastAsia="Calibri" w:hAnsi="Times New Roman"/>
                <w:lang w:eastAsia="en-US"/>
              </w:rPr>
              <w:t xml:space="preserve">MISSION 2 : OPÉRATIONS COURANTES </w:t>
            </w:r>
          </w:p>
          <w:p w:rsidR="00474A30" w:rsidRDefault="00E73211" w:rsidP="00E73211">
            <w:pPr>
              <w:suppressAutoHyphens w:val="0"/>
              <w:autoSpaceDN/>
              <w:ind w:left="0" w:right="0"/>
              <w:jc w:val="left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E73211">
              <w:rPr>
                <w:rFonts w:ascii="Times New Roman" w:eastAsia="Calibri" w:hAnsi="Times New Roman"/>
                <w:lang w:eastAsia="en-US"/>
              </w:rPr>
              <w:t>MISSION 3 : OPÉRATIONS DE TRESORERIE</w:t>
            </w:r>
          </w:p>
          <w:p w:rsidR="00E73211" w:rsidRDefault="00E73211" w:rsidP="00E73211">
            <w:pPr>
              <w:suppressAutoHyphens w:val="0"/>
              <w:autoSpaceDN/>
              <w:ind w:left="0" w:right="0"/>
              <w:jc w:val="left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E73211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474A30" w:rsidRPr="00474A30">
              <w:rPr>
                <w:rFonts w:ascii="Times New Roman" w:eastAsia="Calibri" w:hAnsi="Times New Roman"/>
                <w:lang w:eastAsia="en-US"/>
              </w:rPr>
              <w:t>MISSION 4 : OPÉRATIONS DE MODÉLISATIONS DE PROCESSUS</w:t>
            </w:r>
          </w:p>
          <w:p w:rsidR="00474A30" w:rsidRDefault="00474A30" w:rsidP="00E73211">
            <w:pPr>
              <w:suppressAutoHyphens w:val="0"/>
              <w:autoSpaceDN/>
              <w:ind w:left="0" w:right="0"/>
              <w:jc w:val="left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474A30">
              <w:rPr>
                <w:rFonts w:ascii="Times New Roman" w:eastAsia="Calibri" w:hAnsi="Times New Roman"/>
                <w:lang w:eastAsia="en-US"/>
              </w:rPr>
              <w:t>MISSION 5 : TRAVAUX FISCAUX</w:t>
            </w:r>
          </w:p>
          <w:p w:rsidR="00474A30" w:rsidRDefault="00474A30" w:rsidP="00E73211">
            <w:pPr>
              <w:suppressAutoHyphens w:val="0"/>
              <w:autoSpaceDN/>
              <w:ind w:left="0" w:right="0"/>
              <w:jc w:val="left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474A30">
              <w:rPr>
                <w:rFonts w:ascii="Times New Roman" w:eastAsia="Calibri" w:hAnsi="Times New Roman"/>
                <w:lang w:eastAsia="en-US"/>
              </w:rPr>
              <w:t>MISSION 6 : VEILLE SOCIALE</w:t>
            </w:r>
          </w:p>
          <w:p w:rsidR="009F3422" w:rsidRPr="00474A30" w:rsidRDefault="00474A30" w:rsidP="00474A30">
            <w:pPr>
              <w:suppressAutoHyphens w:val="0"/>
              <w:autoSpaceDN/>
              <w:ind w:left="0" w:right="0"/>
              <w:jc w:val="left"/>
              <w:textAlignment w:val="auto"/>
              <w:rPr>
                <w:rFonts w:ascii="Times New Roman" w:eastAsia="Calibri" w:hAnsi="Times New Roman"/>
                <w:lang w:eastAsia="en-US"/>
              </w:rPr>
            </w:pPr>
            <w:r w:rsidRPr="00474A30">
              <w:rPr>
                <w:rFonts w:ascii="Times New Roman" w:eastAsia="Calibri" w:hAnsi="Times New Roman"/>
                <w:lang w:eastAsia="en-US"/>
              </w:rPr>
              <w:t>MISSION 7 : RECRUTEMENT D’UN VENDEUR DÉBUTANT</w:t>
            </w:r>
          </w:p>
        </w:tc>
      </w:tr>
      <w:tr w:rsidR="003D3B64" w:rsidTr="00FE2AAE"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0" w:type="auto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474A30" w:rsidP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Document élève </w:t>
            </w:r>
            <w:r w:rsidR="00BB66EF">
              <w:rPr>
                <w:szCs w:val="20"/>
              </w:rPr>
              <w:t xml:space="preserve">« cas </w:t>
            </w:r>
            <w:proofErr w:type="spellStart"/>
            <w:r w:rsidR="00BB66EF">
              <w:rPr>
                <w:szCs w:val="20"/>
              </w:rPr>
              <w:t>equilibre</w:t>
            </w:r>
            <w:proofErr w:type="spellEnd"/>
            <w:r w:rsidR="00BB66EF">
              <w:rPr>
                <w:szCs w:val="20"/>
              </w:rPr>
              <w:t xml:space="preserve"> ressource.doc »</w:t>
            </w:r>
            <w:r w:rsidR="00E73211">
              <w:rPr>
                <w:szCs w:val="20"/>
              </w:rPr>
              <w:t xml:space="preserve"> contenant un fichier avec les ressources et </w:t>
            </w:r>
            <w:r w:rsidR="00BB66EF">
              <w:rPr>
                <w:szCs w:val="20"/>
              </w:rPr>
              <w:t xml:space="preserve">« cas </w:t>
            </w:r>
            <w:proofErr w:type="spellStart"/>
            <w:r w:rsidR="00BB66EF">
              <w:rPr>
                <w:szCs w:val="20"/>
              </w:rPr>
              <w:t>equilibre</w:t>
            </w:r>
            <w:proofErr w:type="spellEnd"/>
            <w:r w:rsidR="00BB66EF">
              <w:rPr>
                <w:szCs w:val="20"/>
              </w:rPr>
              <w:t xml:space="preserve"> version 2016.doc » </w:t>
            </w:r>
            <w:r w:rsidR="00E73211">
              <w:rPr>
                <w:szCs w:val="20"/>
              </w:rPr>
              <w:t>un fichier avec les missions et annexes.</w:t>
            </w:r>
          </w:p>
          <w:p w:rsidR="009F3422" w:rsidRDefault="009F3422" w:rsidP="00BB66EF">
            <w:pPr>
              <w:ind w:left="0" w:right="0"/>
              <w:jc w:val="left"/>
            </w:pPr>
            <w:r>
              <w:rPr>
                <w:szCs w:val="20"/>
              </w:rPr>
              <w:t xml:space="preserve">Document professeur : </w:t>
            </w:r>
            <w:r w:rsidR="00BB66EF">
              <w:rPr>
                <w:szCs w:val="20"/>
              </w:rPr>
              <w:t>« </w:t>
            </w:r>
            <w:proofErr w:type="spellStart"/>
            <w:r w:rsidR="00BB66EF">
              <w:rPr>
                <w:szCs w:val="20"/>
              </w:rPr>
              <w:t>equilibre</w:t>
            </w:r>
            <w:proofErr w:type="spellEnd"/>
            <w:r w:rsidR="00BB66EF">
              <w:rPr>
                <w:szCs w:val="20"/>
              </w:rPr>
              <w:t xml:space="preserve"> </w:t>
            </w:r>
            <w:proofErr w:type="spellStart"/>
            <w:r w:rsidR="00BB66EF">
              <w:rPr>
                <w:szCs w:val="20"/>
              </w:rPr>
              <w:t>complement</w:t>
            </w:r>
            <w:proofErr w:type="spellEnd"/>
            <w:r w:rsidR="00BB66EF">
              <w:rPr>
                <w:szCs w:val="20"/>
              </w:rPr>
              <w:t xml:space="preserve"> pedagoqique.doc »</w:t>
            </w:r>
            <w:bookmarkStart w:id="0" w:name="_GoBack"/>
            <w:bookmarkEnd w:id="0"/>
          </w:p>
        </w:tc>
      </w:tr>
      <w:tr w:rsidR="001665DB" w:rsidTr="00FE2AAE">
        <w:tc>
          <w:tcPr>
            <w:tcW w:w="0" w:type="auto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>
            <w:pPr>
              <w:ind w:left="0" w:right="0"/>
              <w:rPr>
                <w:szCs w:val="20"/>
              </w:rPr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9F3422">
              <w:rPr>
                <w:szCs w:val="20"/>
              </w:rPr>
              <w:t xml:space="preserve"> </w:t>
            </w:r>
            <w:r w:rsidR="0067738E">
              <w:rPr>
                <w:szCs w:val="20"/>
              </w:rPr>
              <w:t xml:space="preserve">fichiers sous licence </w:t>
            </w:r>
            <w:proofErr w:type="spellStart"/>
            <w:r w:rsidR="0067738E">
              <w:rPr>
                <w:szCs w:val="20"/>
              </w:rPr>
              <w:t>commons</w:t>
            </w:r>
            <w:proofErr w:type="spellEnd"/>
          </w:p>
          <w:p w:rsidR="00BB66EF" w:rsidRDefault="00BB66EF">
            <w:pPr>
              <w:ind w:left="0" w:right="0"/>
            </w:pPr>
            <w:r>
              <w:rPr>
                <w:szCs w:val="20"/>
              </w:rPr>
              <w:t>Les concepteurs ne fournissent pas de bases sur PGI, ni de corrigé officiel</w:t>
            </w:r>
          </w:p>
        </w:tc>
      </w:tr>
    </w:tbl>
    <w:p w:rsidR="001665DB" w:rsidRDefault="001665DB"/>
    <w:p w:rsidR="001665DB" w:rsidRDefault="001665DB"/>
    <w:sectPr w:rsidR="001665DB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A6" w:rsidRDefault="006912A6">
      <w:r>
        <w:separator/>
      </w:r>
    </w:p>
  </w:endnote>
  <w:endnote w:type="continuationSeparator" w:id="0">
    <w:p w:rsidR="006912A6" w:rsidRDefault="0069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A6" w:rsidRDefault="006912A6">
      <w:r>
        <w:rPr>
          <w:color w:val="000000"/>
        </w:rPr>
        <w:separator/>
      </w:r>
    </w:p>
  </w:footnote>
  <w:footnote w:type="continuationSeparator" w:id="0">
    <w:p w:rsidR="006912A6" w:rsidRDefault="0069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7A84"/>
    <w:multiLevelType w:val="hybridMultilevel"/>
    <w:tmpl w:val="54E09D7C"/>
    <w:lvl w:ilvl="0" w:tplc="832CBC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D7"/>
    <w:rsid w:val="00014DD7"/>
    <w:rsid w:val="000A370C"/>
    <w:rsid w:val="001665DB"/>
    <w:rsid w:val="002330A9"/>
    <w:rsid w:val="00240D67"/>
    <w:rsid w:val="00257B82"/>
    <w:rsid w:val="003069FA"/>
    <w:rsid w:val="003D3B64"/>
    <w:rsid w:val="00474A30"/>
    <w:rsid w:val="005C5A1F"/>
    <w:rsid w:val="0067738E"/>
    <w:rsid w:val="006912A6"/>
    <w:rsid w:val="00840085"/>
    <w:rsid w:val="008F075C"/>
    <w:rsid w:val="00921F3E"/>
    <w:rsid w:val="009F3422"/>
    <w:rsid w:val="00A3155A"/>
    <w:rsid w:val="00BB66EF"/>
    <w:rsid w:val="00D431CC"/>
    <w:rsid w:val="00E73211"/>
    <w:rsid w:val="00ED3ED8"/>
    <w:rsid w:val="00FE2AAE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A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A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34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A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A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Temp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</Template>
  <TotalTime>0</TotalTime>
  <Pages>2</Pages>
  <Words>618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prof.martin@laposte.net</dc:creator>
  <cp:lastModifiedBy>PHM</cp:lastModifiedBy>
  <cp:revision>2</cp:revision>
  <dcterms:created xsi:type="dcterms:W3CDTF">2016-09-16T12:55:00Z</dcterms:created>
  <dcterms:modified xsi:type="dcterms:W3CDTF">2016-09-16T12:55:00Z</dcterms:modified>
</cp:coreProperties>
</file>