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DB" w:rsidRDefault="001665DB"/>
    <w:tbl>
      <w:tblPr>
        <w:tblW w:w="0" w:type="auto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7848"/>
      </w:tblGrid>
      <w:tr w:rsidR="001665DB" w:rsidTr="00FE2AAE">
        <w:tc>
          <w:tcPr>
            <w:tcW w:w="0" w:type="auto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A10562" w:rsidRDefault="009F3422" w:rsidP="00A10562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left"/>
              <w:rPr>
                <w:rFonts w:cs="Arial"/>
                <w:b/>
                <w:bCs/>
                <w:iCs/>
                <w:color w:val="00B050"/>
                <w:sz w:val="3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5532755</wp:posOffset>
                  </wp:positionH>
                  <wp:positionV relativeFrom="page">
                    <wp:posOffset>28575</wp:posOffset>
                  </wp:positionV>
                  <wp:extent cx="552450" cy="592455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AAE">
              <w:rPr>
                <w:noProof/>
              </w:rPr>
              <w:drawing>
                <wp:inline distT="0" distB="0" distL="0" distR="0">
                  <wp:extent cx="1189355" cy="1189355"/>
                  <wp:effectExtent l="0" t="0" r="0" b="0"/>
                  <wp:docPr id="4" name="il_fi" descr="http://jonctionordsud.com/wp-content/uploads/2014/11/logo-academie-ami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onctionordsud.com/wp-content/uploads/2014/11/logo-academie-amie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2C7E">
              <w:rPr>
                <w:rFonts w:cs="Arial"/>
                <w:b/>
                <w:bCs/>
                <w:iCs/>
                <w:sz w:val="36"/>
                <w:szCs w:val="26"/>
              </w:rPr>
              <w:t xml:space="preserve">                          </w:t>
            </w:r>
            <w:r w:rsidR="00FE2AAE" w:rsidRPr="00F17494">
              <w:rPr>
                <w:rFonts w:cs="Arial"/>
                <w:b/>
                <w:bCs/>
                <w:iCs/>
                <w:color w:val="00B050"/>
                <w:sz w:val="36"/>
                <w:szCs w:val="26"/>
                <w:u w:val="single"/>
              </w:rPr>
              <w:t xml:space="preserve">SARL </w:t>
            </w:r>
            <w:proofErr w:type="spellStart"/>
            <w:r w:rsidR="00DB2C7E" w:rsidRPr="00F17494">
              <w:rPr>
                <w:rFonts w:cs="Arial"/>
                <w:b/>
                <w:bCs/>
                <w:iCs/>
                <w:color w:val="00B050"/>
                <w:sz w:val="36"/>
                <w:szCs w:val="26"/>
                <w:u w:val="single"/>
              </w:rPr>
              <w:t>B</w:t>
            </w:r>
            <w:r w:rsidR="00A10562">
              <w:rPr>
                <w:rFonts w:cs="Arial"/>
                <w:b/>
                <w:bCs/>
                <w:iCs/>
                <w:color w:val="00B050"/>
                <w:sz w:val="36"/>
                <w:szCs w:val="26"/>
                <w:u w:val="single"/>
              </w:rPr>
              <w:t>â</w:t>
            </w:r>
            <w:r w:rsidR="00DB2C7E" w:rsidRPr="00F17494">
              <w:rPr>
                <w:rFonts w:cs="Arial"/>
                <w:b/>
                <w:bCs/>
                <w:iCs/>
                <w:color w:val="00B050"/>
                <w:sz w:val="36"/>
                <w:szCs w:val="26"/>
                <w:u w:val="single"/>
              </w:rPr>
              <w:t>ti’services</w:t>
            </w:r>
            <w:proofErr w:type="spellEnd"/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AMIENS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4D74" w:rsidRDefault="00924D74" w:rsidP="00924D74">
            <w:pPr>
              <w:ind w:left="0" w:right="0"/>
              <w:jc w:val="left"/>
            </w:pPr>
            <w:r>
              <w:t>A. Da Silva/ O. Demortier/ B</w:t>
            </w:r>
            <w:r w:rsidR="00A25F1B">
              <w:t xml:space="preserve">. </w:t>
            </w:r>
            <w:proofErr w:type="spellStart"/>
            <w:r w:rsidR="00A25F1B">
              <w:t>Vachet</w:t>
            </w:r>
            <w:proofErr w:type="spellEnd"/>
            <w:r w:rsidR="00A25F1B">
              <w:t xml:space="preserve"> </w:t>
            </w:r>
            <w:r>
              <w:t xml:space="preserve"> </w:t>
            </w:r>
            <w:r w:rsidR="00A25F1B">
              <w:t>(</w:t>
            </w:r>
            <w:r>
              <w:t>auteurs</w:t>
            </w:r>
            <w:r w:rsidR="00A25F1B">
              <w:t>)</w:t>
            </w:r>
            <w:r>
              <w:t xml:space="preserve">; </w:t>
            </w:r>
          </w:p>
          <w:p w:rsidR="00924D74" w:rsidRDefault="00924D74" w:rsidP="00924D74">
            <w:pPr>
              <w:ind w:left="0" w:right="0"/>
              <w:jc w:val="left"/>
            </w:pPr>
            <w:r>
              <w:t>V. Bas (relecteur);</w:t>
            </w:r>
          </w:p>
          <w:p w:rsidR="00924D74" w:rsidRDefault="00924D74" w:rsidP="00924D74">
            <w:pPr>
              <w:ind w:left="0" w:right="0"/>
              <w:jc w:val="left"/>
            </w:pPr>
            <w:r>
              <w:t>Espace Scolaire Condorcet (ESC) Saint -Quentin (02).</w:t>
            </w:r>
          </w:p>
          <w:p w:rsidR="007B78A4" w:rsidRDefault="007B78A4" w:rsidP="00924D74">
            <w:pPr>
              <w:ind w:left="0" w:right="0"/>
              <w:jc w:val="left"/>
            </w:pPr>
            <w:r>
              <w:rPr>
                <w:szCs w:val="20"/>
              </w:rPr>
              <w:t>D. LEFEVRE IPR, P. MARTIN formateur (relecteurs)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17494" w:rsidP="00376D7F">
            <w:pPr>
              <w:ind w:left="0" w:right="0"/>
              <w:jc w:val="left"/>
            </w:pPr>
            <w:r>
              <w:t xml:space="preserve">Contrat de travail, base de données, </w:t>
            </w:r>
            <w:r w:rsidR="003D68CB">
              <w:t xml:space="preserve">algorithme, </w:t>
            </w:r>
            <w:r>
              <w:t>devis,</w:t>
            </w:r>
            <w:r w:rsidR="000D1194">
              <w:t xml:space="preserve"> coûts,</w:t>
            </w:r>
            <w:r>
              <w:t xml:space="preserve"> TVA,</w:t>
            </w:r>
            <w:r w:rsidR="00376D7F">
              <w:t xml:space="preserve"> travaux immobiliers, </w:t>
            </w:r>
            <w:r>
              <w:t>organigramme, IR, recrutement</w:t>
            </w:r>
            <w:r w:rsidR="00376D7F">
              <w:t>, temps partiel.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07538" w:rsidRPr="00507538" w:rsidRDefault="00507538" w:rsidP="00507538">
            <w:pPr>
              <w:ind w:left="0" w:right="0"/>
            </w:pPr>
            <w:r w:rsidRPr="00507538">
              <w:t>Dans le cadre de vos études en 2</w:t>
            </w:r>
            <w:r w:rsidRPr="00507538">
              <w:rPr>
                <w:vertAlign w:val="superscript"/>
              </w:rPr>
              <w:t>ème</w:t>
            </w:r>
            <w:r w:rsidRPr="00507538">
              <w:t xml:space="preserve"> année de BTS Comptabilité et Gestion, vous effectuez un stage de 4 semaines en Novembre 2015, dans l’entreprise SARL </w:t>
            </w:r>
            <w:proofErr w:type="spellStart"/>
            <w:r w:rsidRPr="00507538">
              <w:t>Bâti’Services</w:t>
            </w:r>
            <w:proofErr w:type="spellEnd"/>
            <w:r w:rsidRPr="00507538">
              <w:t xml:space="preserve">. Cette entreprise réalise tout type de travaux immobiliers : constructions neuves, rénovations, extensions,.... </w:t>
            </w:r>
          </w:p>
          <w:p w:rsidR="001665DB" w:rsidRDefault="00507538" w:rsidP="00507538">
            <w:pPr>
              <w:suppressAutoHyphens w:val="0"/>
              <w:overflowPunct w:val="0"/>
              <w:autoSpaceDE w:val="0"/>
              <w:adjustRightInd w:val="0"/>
              <w:ind w:left="0" w:right="0"/>
            </w:pPr>
            <w:r>
              <w:t>Il s'agit de réaliser l'organigramme de l'entreprise, de réaliser différentes recherches fiscales, d'aider à la réalisation d'un devis, et de réaliser les formalités de  recrutement d'un salarié.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FE2AAE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4 séances de 3 heures en atelier professionnel</w:t>
            </w:r>
          </w:p>
          <w:p w:rsidR="00FE2AAE" w:rsidRDefault="00A25F1B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1er semestre de</w:t>
            </w:r>
            <w:r w:rsidR="008234BF">
              <w:rPr>
                <w:szCs w:val="20"/>
              </w:rPr>
              <w:t xml:space="preserve"> </w:t>
            </w:r>
            <w:r w:rsidR="00FE2AAE">
              <w:rPr>
                <w:szCs w:val="20"/>
              </w:rPr>
              <w:t xml:space="preserve"> première année de BTS CG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 w:rsidR="00FE2AAE">
              <w:t xml:space="preserve"> :</w:t>
            </w:r>
            <w:r w:rsidR="00FE2AAE">
              <w:br/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E2AAE">
            <w:pPr>
              <w:ind w:left="0" w:right="0"/>
              <w:jc w:val="left"/>
            </w:pPr>
            <w:r>
              <w:rPr>
                <w:szCs w:val="20"/>
              </w:rPr>
              <w:t>Etudiants de BTS CG1, en groupe, avec répartition possible des missions à l’intérieur du groupe.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34BF" w:rsidRPr="00A25F1B" w:rsidRDefault="009F3422" w:rsidP="00ED3ED8">
            <w:pPr>
              <w:ind w:left="0" w:right="0"/>
              <w:jc w:val="left"/>
              <w:rPr>
                <w:u w:val="single"/>
              </w:rPr>
            </w:pPr>
            <w:r>
              <w:rPr>
                <w:u w:val="single"/>
              </w:rPr>
              <w:t>A</w:t>
            </w:r>
            <w:r w:rsidRPr="009F3422">
              <w:rPr>
                <w:u w:val="single"/>
              </w:rPr>
              <w:t>ctivités</w:t>
            </w:r>
          </w:p>
          <w:p w:rsidR="008234BF" w:rsidRDefault="008234BF" w:rsidP="00ED3ED8">
            <w:pPr>
              <w:ind w:left="0" w:right="0"/>
              <w:jc w:val="left"/>
            </w:pPr>
            <w:r>
              <w:t>1.2.1 Tenue et suivi des dossiers clients : du contrôle du devis au contrôle de l'encaissement</w:t>
            </w:r>
          </w:p>
          <w:p w:rsidR="00A25F1B" w:rsidRDefault="00A25F1B" w:rsidP="00ED3ED8">
            <w:pPr>
              <w:ind w:left="0" w:right="0"/>
              <w:jc w:val="left"/>
            </w:pPr>
            <w:r w:rsidRPr="00A25F1B">
              <w:t>3.1.1. Réalisation de la veille juridique nécessaire à l'application des obligations fiscales</w:t>
            </w:r>
          </w:p>
          <w:p w:rsidR="00A25F1B" w:rsidRPr="00A25F1B" w:rsidRDefault="00A25F1B" w:rsidP="00ED3ED8">
            <w:pPr>
              <w:ind w:left="0" w:right="0"/>
              <w:jc w:val="left"/>
            </w:pPr>
            <w:r w:rsidRPr="00A25F1B">
              <w:rPr>
                <w:rFonts w:cs="Arial"/>
              </w:rPr>
              <w:t>3.1.2. Identification des obligations fiscales de l'organisation</w:t>
            </w:r>
          </w:p>
          <w:p w:rsidR="00A25F1B" w:rsidRPr="00A25F1B" w:rsidRDefault="00A25F1B" w:rsidP="00ED3ED8">
            <w:pPr>
              <w:ind w:left="0" w:right="0"/>
              <w:jc w:val="left"/>
            </w:pPr>
            <w:r w:rsidRPr="00A25F1B">
              <w:rPr>
                <w:rFonts w:cs="Arial"/>
              </w:rPr>
              <w:t>3.2.1. Préparation de la déclaration de TVA</w:t>
            </w:r>
          </w:p>
          <w:p w:rsidR="00A25F1B" w:rsidRPr="00A25F1B" w:rsidRDefault="00A25F1B" w:rsidP="00ED3ED8">
            <w:pPr>
              <w:ind w:left="0" w:right="0"/>
              <w:jc w:val="left"/>
            </w:pPr>
            <w:r w:rsidRPr="00A25F1B">
              <w:rPr>
                <w:rFonts w:cs="Arial"/>
              </w:rPr>
              <w:t>3.2.2. Établissement, contrôle et transmission de la déclaration de TVA</w:t>
            </w:r>
          </w:p>
          <w:p w:rsidR="00A25F1B" w:rsidRPr="00A25F1B" w:rsidRDefault="00A25F1B" w:rsidP="00ED3ED8">
            <w:pPr>
              <w:ind w:left="0" w:right="0"/>
              <w:jc w:val="left"/>
              <w:rPr>
                <w:rFonts w:cs="Arial"/>
              </w:rPr>
            </w:pPr>
            <w:r w:rsidRPr="00A25F1B">
              <w:rPr>
                <w:rFonts w:cs="Arial"/>
              </w:rPr>
              <w:t>3.2.4. Conseil en matière de régime et d'options de TVA</w:t>
            </w:r>
          </w:p>
          <w:p w:rsidR="00A25F1B" w:rsidRPr="00A25F1B" w:rsidRDefault="00A25F1B" w:rsidP="00ED3ED8">
            <w:pPr>
              <w:ind w:left="0" w:right="0"/>
              <w:jc w:val="left"/>
            </w:pPr>
            <w:r w:rsidRPr="00A25F1B">
              <w:rPr>
                <w:rFonts w:cs="Arial"/>
              </w:rPr>
              <w:t>3.3.1 Caractérisation de la situation fiscale de l'entreprise</w:t>
            </w:r>
          </w:p>
          <w:p w:rsidR="00DB2C7E" w:rsidRDefault="00DB2C7E" w:rsidP="00ED3ED8">
            <w:pPr>
              <w:ind w:left="0" w:right="0"/>
              <w:jc w:val="left"/>
            </w:pPr>
            <w:r>
              <w:t>4.1.1 Réalisation d’une veille juridique nécessaire au respect des obligations sociales</w:t>
            </w:r>
          </w:p>
          <w:p w:rsidR="00DB2C7E" w:rsidRDefault="00DB2C7E" w:rsidP="00ED3ED8">
            <w:pPr>
              <w:ind w:left="0" w:right="0"/>
              <w:jc w:val="left"/>
            </w:pPr>
            <w:r>
              <w:t>4.2.1. Etablissement des formalités d’embauche et de départ</w:t>
            </w:r>
          </w:p>
          <w:p w:rsidR="000D1194" w:rsidRPr="00942671" w:rsidRDefault="000D1194" w:rsidP="000D1194">
            <w:pPr>
              <w:ind w:left="0"/>
            </w:pPr>
            <w:r w:rsidRPr="00942671">
              <w:t>5.1.1. Analyse de la décision de gestion</w:t>
            </w:r>
          </w:p>
          <w:p w:rsidR="000D1194" w:rsidRPr="00DB2C7E" w:rsidRDefault="000D1194" w:rsidP="000D1194">
            <w:pPr>
              <w:ind w:left="0"/>
            </w:pPr>
            <w:r w:rsidRPr="00942671">
              <w:t>5.1.2. Recensement des coûts associés à une activité, un produit ou un service de l’organisation</w:t>
            </w:r>
          </w:p>
          <w:p w:rsidR="00ED3ED8" w:rsidRDefault="00ED3ED8" w:rsidP="00ED3ED8">
            <w:pPr>
              <w:ind w:left="0" w:right="0"/>
              <w:jc w:val="left"/>
            </w:pPr>
            <w:r>
              <w:t>7.1.1. Caractérisation du SI</w:t>
            </w:r>
          </w:p>
          <w:p w:rsidR="00DB2C7E" w:rsidRDefault="00DB2C7E" w:rsidP="00ED3ED8">
            <w:pPr>
              <w:ind w:left="0" w:right="0"/>
              <w:jc w:val="left"/>
            </w:pPr>
            <w:r>
              <w:t>7.1.2. Evaluation des besoins d’information</w:t>
            </w:r>
          </w:p>
          <w:p w:rsidR="009F3422" w:rsidRDefault="00ED3ED8" w:rsidP="00DB2C7E">
            <w:pPr>
              <w:ind w:left="0" w:right="0"/>
              <w:jc w:val="left"/>
            </w:pPr>
            <w:r>
              <w:t>7.1.</w:t>
            </w:r>
            <w:r w:rsidR="00DB2C7E">
              <w:t>3</w:t>
            </w:r>
            <w:r>
              <w:t xml:space="preserve">. </w:t>
            </w:r>
            <w:r w:rsidR="00DB2C7E">
              <w:t>Mise en œuvre des méthodes de recherche d’information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lastRenderedPageBreak/>
              <w:t xml:space="preserve">Type de ressource :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 w:rsidP="009F3422">
            <w:pPr>
              <w:ind w:left="0" w:right="0"/>
              <w:jc w:val="left"/>
            </w:pPr>
            <w:r>
              <w:t>Atelier professionnel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3422" w:rsidRDefault="00507538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T</w:t>
            </w:r>
            <w:r w:rsidR="009F3422">
              <w:rPr>
                <w:szCs w:val="20"/>
              </w:rPr>
              <w:t>ableur, texteur</w:t>
            </w:r>
            <w:r w:rsidR="00DB2C7E">
              <w:rPr>
                <w:szCs w:val="20"/>
              </w:rPr>
              <w:t>, base de données</w:t>
            </w:r>
          </w:p>
          <w:p w:rsidR="001665DB" w:rsidRDefault="009F3422">
            <w:pPr>
              <w:ind w:left="0" w:right="0"/>
              <w:jc w:val="left"/>
            </w:pPr>
            <w:r>
              <w:rPr>
                <w:szCs w:val="20"/>
              </w:rPr>
              <w:t>Internet ou source documentaire fiscale papier</w:t>
            </w:r>
            <w:r w:rsidR="003069FA">
              <w:rPr>
                <w:szCs w:val="20"/>
              </w:rPr>
              <w:br/>
              <w:t> 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Atelier professionnel par groupe de </w:t>
            </w:r>
            <w:r w:rsidR="00507538">
              <w:rPr>
                <w:szCs w:val="20"/>
              </w:rPr>
              <w:t>2</w:t>
            </w:r>
            <w:r>
              <w:rPr>
                <w:szCs w:val="20"/>
              </w:rPr>
              <w:t xml:space="preserve"> étudiant</w:t>
            </w:r>
            <w:proofErr w:type="gramStart"/>
            <w:r>
              <w:rPr>
                <w:szCs w:val="20"/>
              </w:rPr>
              <w:t>( e</w:t>
            </w:r>
            <w:proofErr w:type="gramEnd"/>
            <w:r>
              <w:rPr>
                <w:szCs w:val="20"/>
              </w:rPr>
              <w:t xml:space="preserve">)s pendant 4 périodes de 3 heures </w:t>
            </w:r>
            <w:r w:rsidR="00A25F1B">
              <w:rPr>
                <w:szCs w:val="20"/>
              </w:rPr>
              <w:t>au 1er semestre</w:t>
            </w:r>
            <w:r>
              <w:rPr>
                <w:szCs w:val="20"/>
              </w:rPr>
              <w:t xml:space="preserve"> de première année. Il s’agit de réaliser </w:t>
            </w:r>
            <w:r w:rsidR="00F17494">
              <w:rPr>
                <w:szCs w:val="20"/>
              </w:rPr>
              <w:t>4</w:t>
            </w:r>
            <w:r>
              <w:rPr>
                <w:szCs w:val="20"/>
              </w:rPr>
              <w:t xml:space="preserve"> missions :</w:t>
            </w:r>
          </w:p>
          <w:p w:rsidR="00F17494" w:rsidRPr="00F17494" w:rsidRDefault="00F17494" w:rsidP="00F17494">
            <w:pPr>
              <w:widowControl w:val="0"/>
              <w:ind w:right="-4"/>
            </w:pPr>
            <w:r w:rsidRPr="00F17494">
              <w:t>-</w:t>
            </w:r>
            <w:r w:rsidRPr="00F17494">
              <w:rPr>
                <w:b/>
              </w:rPr>
              <w:t>Mission 1</w:t>
            </w:r>
            <w:r w:rsidRPr="00F17494">
              <w:t> : Réalisation de l’organigramme de l’entreprise ;</w:t>
            </w:r>
          </w:p>
          <w:p w:rsidR="00F17494" w:rsidRPr="00F17494" w:rsidRDefault="00F17494" w:rsidP="00F17494">
            <w:pPr>
              <w:widowControl w:val="0"/>
              <w:ind w:right="-4"/>
            </w:pPr>
            <w:r w:rsidRPr="00F17494">
              <w:t>-</w:t>
            </w:r>
            <w:r w:rsidRPr="00F17494">
              <w:rPr>
                <w:b/>
              </w:rPr>
              <w:t>Mission 2</w:t>
            </w:r>
            <w:r w:rsidRPr="00F17494">
              <w:t> : Différents régimes fiscaux ;</w:t>
            </w:r>
          </w:p>
          <w:p w:rsidR="00F17494" w:rsidRPr="00F17494" w:rsidRDefault="00F17494" w:rsidP="00F17494">
            <w:pPr>
              <w:widowControl w:val="0"/>
              <w:ind w:right="-4"/>
            </w:pPr>
            <w:r w:rsidRPr="00F17494">
              <w:t>-</w:t>
            </w:r>
            <w:r w:rsidRPr="00F17494">
              <w:rPr>
                <w:b/>
              </w:rPr>
              <w:t>Mission 3</w:t>
            </w:r>
            <w:r w:rsidRPr="00F17494">
              <w:t> : Gestion des devis ;</w:t>
            </w:r>
          </w:p>
          <w:p w:rsidR="009F3422" w:rsidRDefault="00F17494" w:rsidP="00F17494">
            <w:pPr>
              <w:widowControl w:val="0"/>
              <w:ind w:right="-4"/>
            </w:pPr>
            <w:r w:rsidRPr="00F17494">
              <w:t>-</w:t>
            </w:r>
            <w:r w:rsidRPr="00F17494">
              <w:rPr>
                <w:b/>
              </w:rPr>
              <w:t>Mission 4</w:t>
            </w:r>
            <w:r w:rsidRPr="00F17494">
              <w:t> : Gestion sociale.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F17494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Fichier</w:t>
            </w:r>
            <w:r w:rsidR="00F1749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à télécharger: 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 w:rsidP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Document élève </w:t>
            </w:r>
            <w:r w:rsidR="00E84B24">
              <w:rPr>
                <w:szCs w:val="20"/>
              </w:rPr>
              <w:t>: BTS-CG-Cas</w:t>
            </w:r>
            <w:r w:rsidR="000011D5">
              <w:rPr>
                <w:szCs w:val="20"/>
              </w:rPr>
              <w:t xml:space="preserve"> </w:t>
            </w:r>
            <w:proofErr w:type="spellStart"/>
            <w:r w:rsidR="00A25F1B">
              <w:rPr>
                <w:szCs w:val="20"/>
              </w:rPr>
              <w:t>B</w:t>
            </w:r>
            <w:r w:rsidR="003F2C47">
              <w:rPr>
                <w:szCs w:val="20"/>
              </w:rPr>
              <w:t>a</w:t>
            </w:r>
            <w:r w:rsidR="000011D5">
              <w:rPr>
                <w:szCs w:val="20"/>
              </w:rPr>
              <w:t>ti</w:t>
            </w:r>
            <w:proofErr w:type="spellEnd"/>
            <w:r w:rsidR="000011D5">
              <w:rPr>
                <w:szCs w:val="20"/>
              </w:rPr>
              <w:t xml:space="preserve"> </w:t>
            </w:r>
            <w:r w:rsidR="007B78A4">
              <w:rPr>
                <w:szCs w:val="20"/>
              </w:rPr>
              <w:t>services enonce</w:t>
            </w:r>
            <w:r w:rsidR="00A25F1B">
              <w:rPr>
                <w:szCs w:val="20"/>
              </w:rPr>
              <w:t>.zip</w:t>
            </w:r>
          </w:p>
          <w:p w:rsidR="009F3422" w:rsidRDefault="007B78A4" w:rsidP="007B78A4">
            <w:pPr>
              <w:ind w:left="0" w:right="0"/>
              <w:jc w:val="left"/>
            </w:pPr>
            <w:r>
              <w:rPr>
                <w:szCs w:val="20"/>
              </w:rPr>
              <w:t>BTS-CG-</w:t>
            </w:r>
            <w:r w:rsidR="000011D5">
              <w:rPr>
                <w:szCs w:val="20"/>
              </w:rPr>
              <w:t xml:space="preserve"> </w:t>
            </w:r>
            <w:r>
              <w:rPr>
                <w:szCs w:val="20"/>
              </w:rPr>
              <w:t>Cas</w:t>
            </w:r>
            <w:r w:rsidR="000011D5">
              <w:rPr>
                <w:szCs w:val="20"/>
              </w:rPr>
              <w:t xml:space="preserve"> </w:t>
            </w:r>
            <w:proofErr w:type="spellStart"/>
            <w:r w:rsidR="000011D5">
              <w:rPr>
                <w:szCs w:val="20"/>
              </w:rPr>
              <w:t>Bati</w:t>
            </w:r>
            <w:proofErr w:type="spellEnd"/>
            <w:r w:rsidR="000011D5">
              <w:rPr>
                <w:szCs w:val="20"/>
              </w:rPr>
              <w:t xml:space="preserve"> </w:t>
            </w:r>
            <w:r>
              <w:rPr>
                <w:szCs w:val="20"/>
              </w:rPr>
              <w:t>services ressouces.zip</w:t>
            </w:r>
            <w:r>
              <w:t xml:space="preserve"> </w:t>
            </w:r>
          </w:p>
        </w:tc>
      </w:tr>
      <w:tr w:rsidR="001665DB" w:rsidTr="00FE2AAE">
        <w:tc>
          <w:tcPr>
            <w:tcW w:w="0" w:type="auto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9F3422">
              <w:rPr>
                <w:szCs w:val="20"/>
              </w:rPr>
              <w:t xml:space="preserve"> </w:t>
            </w:r>
            <w:r w:rsidR="0067738E">
              <w:rPr>
                <w:szCs w:val="20"/>
              </w:rPr>
              <w:t xml:space="preserve">fichiers sous licence </w:t>
            </w:r>
            <w:proofErr w:type="spellStart"/>
            <w:r w:rsidR="0067738E">
              <w:rPr>
                <w:szCs w:val="20"/>
              </w:rPr>
              <w:t>commons</w:t>
            </w:r>
            <w:proofErr w:type="spellEnd"/>
          </w:p>
        </w:tc>
      </w:tr>
    </w:tbl>
    <w:p w:rsidR="001665DB" w:rsidRDefault="001665DB"/>
    <w:p w:rsidR="001665DB" w:rsidRDefault="001665DB">
      <w:bookmarkStart w:id="0" w:name="_GoBack"/>
      <w:bookmarkEnd w:id="0"/>
    </w:p>
    <w:sectPr w:rsidR="001665DB" w:rsidSect="007E508D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42" w:rsidRDefault="009D5342">
      <w:r>
        <w:separator/>
      </w:r>
    </w:p>
  </w:endnote>
  <w:endnote w:type="continuationSeparator" w:id="0">
    <w:p w:rsidR="009D5342" w:rsidRDefault="009D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42" w:rsidRDefault="009D5342">
      <w:r>
        <w:rPr>
          <w:color w:val="000000"/>
        </w:rPr>
        <w:separator/>
      </w:r>
    </w:p>
  </w:footnote>
  <w:footnote w:type="continuationSeparator" w:id="0">
    <w:p w:rsidR="009D5342" w:rsidRDefault="009D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7A84"/>
    <w:multiLevelType w:val="hybridMultilevel"/>
    <w:tmpl w:val="54E09D7C"/>
    <w:lvl w:ilvl="0" w:tplc="832CBC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D7"/>
    <w:rsid w:val="000011D5"/>
    <w:rsid w:val="00014DD7"/>
    <w:rsid w:val="000D1194"/>
    <w:rsid w:val="00146534"/>
    <w:rsid w:val="001665DB"/>
    <w:rsid w:val="00195F97"/>
    <w:rsid w:val="002330A9"/>
    <w:rsid w:val="00240D67"/>
    <w:rsid w:val="00257B82"/>
    <w:rsid w:val="002E1E23"/>
    <w:rsid w:val="003069FA"/>
    <w:rsid w:val="0035067B"/>
    <w:rsid w:val="00353AF9"/>
    <w:rsid w:val="003648A0"/>
    <w:rsid w:val="00376D7F"/>
    <w:rsid w:val="003D3B64"/>
    <w:rsid w:val="003D68CB"/>
    <w:rsid w:val="003F1154"/>
    <w:rsid w:val="003F2C47"/>
    <w:rsid w:val="00440810"/>
    <w:rsid w:val="00507538"/>
    <w:rsid w:val="00512550"/>
    <w:rsid w:val="006042F4"/>
    <w:rsid w:val="00650CB8"/>
    <w:rsid w:val="0067738E"/>
    <w:rsid w:val="007B78A4"/>
    <w:rsid w:val="007E508D"/>
    <w:rsid w:val="008234BF"/>
    <w:rsid w:val="00840085"/>
    <w:rsid w:val="008F075C"/>
    <w:rsid w:val="00921F3E"/>
    <w:rsid w:val="00924D74"/>
    <w:rsid w:val="00945D42"/>
    <w:rsid w:val="009D5342"/>
    <w:rsid w:val="009F3422"/>
    <w:rsid w:val="00A10562"/>
    <w:rsid w:val="00A25F1B"/>
    <w:rsid w:val="00A57C77"/>
    <w:rsid w:val="00A67F10"/>
    <w:rsid w:val="00AB1DC6"/>
    <w:rsid w:val="00B07060"/>
    <w:rsid w:val="00D431CC"/>
    <w:rsid w:val="00D74D81"/>
    <w:rsid w:val="00DB2C7E"/>
    <w:rsid w:val="00E126F8"/>
    <w:rsid w:val="00E75F02"/>
    <w:rsid w:val="00E84B24"/>
    <w:rsid w:val="00E87359"/>
    <w:rsid w:val="00ED3ED8"/>
    <w:rsid w:val="00F10C2D"/>
    <w:rsid w:val="00F17494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5F02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E75F02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E75F02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E75F02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E75F02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E75F02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75F02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E75F02"/>
    <w:pPr>
      <w:tabs>
        <w:tab w:val="center" w:pos="4536"/>
        <w:tab w:val="right" w:pos="9072"/>
      </w:tabs>
    </w:pPr>
  </w:style>
  <w:style w:type="character" w:styleId="Lienhypertexte">
    <w:name w:val="Hyperlink"/>
    <w:rsid w:val="00E75F02"/>
    <w:rPr>
      <w:color w:val="0000FF"/>
      <w:u w:val="single"/>
    </w:rPr>
  </w:style>
  <w:style w:type="paragraph" w:customStyle="1" w:styleId="txt">
    <w:name w:val="txt"/>
    <w:basedOn w:val="Normal"/>
    <w:rsid w:val="00E75F02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E75F02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E75F02"/>
    <w:rPr>
      <w:color w:val="800080"/>
      <w:u w:val="single"/>
    </w:rPr>
  </w:style>
  <w:style w:type="paragraph" w:styleId="Normalcentr">
    <w:name w:val="Block Text"/>
    <w:basedOn w:val="Normal"/>
    <w:rsid w:val="00E75F02"/>
  </w:style>
  <w:style w:type="paragraph" w:styleId="Notedebasdepage">
    <w:name w:val="footnote text"/>
    <w:basedOn w:val="Normal"/>
    <w:rsid w:val="00E75F02"/>
    <w:rPr>
      <w:szCs w:val="20"/>
    </w:rPr>
  </w:style>
  <w:style w:type="character" w:styleId="Numrodepage">
    <w:name w:val="page number"/>
    <w:basedOn w:val="Policepardfaut"/>
    <w:rsid w:val="00E75F02"/>
  </w:style>
  <w:style w:type="paragraph" w:styleId="TM1">
    <w:name w:val="toc 1"/>
    <w:basedOn w:val="Normal"/>
    <w:next w:val="Normal"/>
    <w:autoRedefine/>
    <w:rsid w:val="00E75F02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E75F02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E75F02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E75F02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E75F02"/>
    <w:pPr>
      <w:ind w:left="800"/>
      <w:jc w:val="left"/>
    </w:pPr>
  </w:style>
  <w:style w:type="paragraph" w:styleId="TM6">
    <w:name w:val="toc 6"/>
    <w:basedOn w:val="Normal"/>
    <w:next w:val="Normal"/>
    <w:autoRedefine/>
    <w:rsid w:val="00E75F02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E75F02"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A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A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3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Temp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</Template>
  <TotalTime>31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prof.martin@laposte.net</dc:creator>
  <cp:lastModifiedBy>PHM</cp:lastModifiedBy>
  <cp:revision>15</cp:revision>
  <dcterms:created xsi:type="dcterms:W3CDTF">2015-10-14T15:32:00Z</dcterms:created>
  <dcterms:modified xsi:type="dcterms:W3CDTF">2015-11-19T21:29:00Z</dcterms:modified>
</cp:coreProperties>
</file>