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6ED" w:rsidRDefault="000606ED" w:rsidP="000606ED">
      <w:pPr>
        <w:shd w:val="clear" w:color="auto" w:fill="FFFFFF"/>
        <w:jc w:val="center"/>
        <w:rPr>
          <w:b/>
          <w:bCs/>
          <w:sz w:val="22"/>
          <w:szCs w:val="22"/>
        </w:rPr>
      </w:pPr>
      <w:r>
        <w:rPr>
          <w:b/>
          <w:bCs/>
          <w:sz w:val="22"/>
          <w:szCs w:val="22"/>
        </w:rPr>
        <w:t>La RSE</w:t>
      </w:r>
    </w:p>
    <w:p w:rsidR="000606ED" w:rsidRPr="00EF48EE" w:rsidRDefault="000606ED" w:rsidP="009C7CE7">
      <w:pPr>
        <w:shd w:val="clear" w:color="auto" w:fill="FFFFFF"/>
        <w:rPr>
          <w:b/>
          <w:bCs/>
          <w:sz w:val="22"/>
          <w:szCs w:val="22"/>
        </w:rPr>
      </w:pPr>
    </w:p>
    <w:p w:rsidR="009C7CE7" w:rsidRPr="00EF48EE" w:rsidRDefault="009C7CE7" w:rsidP="009C7CE7">
      <w:pPr>
        <w:shd w:val="clear" w:color="auto" w:fill="FFFFFF"/>
        <w:rPr>
          <w:b/>
          <w:sz w:val="22"/>
          <w:szCs w:val="22"/>
        </w:rPr>
      </w:pPr>
      <w:r w:rsidRPr="00EF48EE">
        <w:rPr>
          <w:b/>
          <w:sz w:val="22"/>
          <w:szCs w:val="22"/>
        </w:rPr>
        <w:t>1 – Après avoir étudié le texte ci-dessous, préciser le rôle concret que peut avoir un consultant spécialisé comme Vigéo dans la RSE d’une entreprise.</w:t>
      </w:r>
    </w:p>
    <w:p w:rsidR="009C7CE7" w:rsidRPr="00EF48EE" w:rsidRDefault="009C7CE7" w:rsidP="009C7CE7">
      <w:pPr>
        <w:shd w:val="clear" w:color="auto" w:fill="FFFFFF"/>
        <w:rPr>
          <w:b/>
          <w:bCs/>
          <w:sz w:val="22"/>
          <w:szCs w:val="22"/>
        </w:rPr>
      </w:pPr>
      <w:r w:rsidRPr="00EF48EE">
        <w:rPr>
          <w:b/>
          <w:sz w:val="22"/>
          <w:szCs w:val="22"/>
        </w:rPr>
        <w:t>2 – Analyser l’application des principes évoqués aux administrations.</w:t>
      </w:r>
    </w:p>
    <w:p w:rsidR="009C7CE7" w:rsidRPr="00EF48EE" w:rsidRDefault="009C7CE7" w:rsidP="009C7CE7">
      <w:pPr>
        <w:shd w:val="clear" w:color="auto" w:fill="FFFFFF"/>
        <w:jc w:val="center"/>
        <w:rPr>
          <w:rFonts w:ascii="Century Gothic" w:hAnsi="Century Gothic"/>
          <w:b/>
          <w:bCs/>
          <w:sz w:val="16"/>
          <w:szCs w:val="16"/>
        </w:rPr>
      </w:pPr>
    </w:p>
    <w:p w:rsidR="009C7CE7" w:rsidRPr="00A55A62" w:rsidRDefault="009C7CE7" w:rsidP="009C7CE7">
      <w:pPr>
        <w:shd w:val="clear" w:color="auto" w:fill="FFFFFF"/>
        <w:jc w:val="center"/>
        <w:rPr>
          <w:rFonts w:ascii="Century Gothic" w:hAnsi="Century Gothic"/>
          <w:b/>
          <w:bCs/>
          <w:color w:val="000000"/>
          <w:sz w:val="20"/>
          <w:szCs w:val="20"/>
        </w:rPr>
      </w:pPr>
      <w:r w:rsidRPr="00A55A62">
        <w:rPr>
          <w:rFonts w:ascii="Century Gothic" w:hAnsi="Century Gothic"/>
          <w:b/>
          <w:bCs/>
          <w:color w:val="000000"/>
          <w:sz w:val="20"/>
          <w:szCs w:val="20"/>
        </w:rPr>
        <w:t xml:space="preserve">Le développement durable et </w:t>
      </w:r>
      <w:smartTag w:uri="urn:schemas-microsoft-com:office:smarttags" w:element="PersonName">
        <w:smartTagPr>
          <w:attr w:name="ProductID" w:val="la RSE"/>
        </w:smartTagPr>
        <w:r w:rsidRPr="00A55A62">
          <w:rPr>
            <w:rFonts w:ascii="Century Gothic" w:hAnsi="Century Gothic"/>
            <w:b/>
            <w:bCs/>
            <w:color w:val="000000"/>
            <w:sz w:val="20"/>
            <w:szCs w:val="20"/>
          </w:rPr>
          <w:t>la RSE</w:t>
        </w:r>
      </w:smartTag>
      <w:r w:rsidRPr="00A55A62">
        <w:rPr>
          <w:rFonts w:ascii="Century Gothic" w:hAnsi="Century Gothic"/>
          <w:b/>
          <w:bCs/>
          <w:color w:val="000000"/>
          <w:sz w:val="20"/>
          <w:szCs w:val="20"/>
        </w:rPr>
        <w:t xml:space="preserve"> </w:t>
      </w:r>
    </w:p>
    <w:p w:rsidR="009C7CE7" w:rsidRDefault="009C7CE7" w:rsidP="009C7CE7">
      <w:pPr>
        <w:shd w:val="clear" w:color="auto" w:fill="FFFFFF"/>
        <w:jc w:val="center"/>
        <w:rPr>
          <w:rFonts w:ascii="Century Gothic" w:hAnsi="Century Gothic"/>
          <w:color w:val="000000"/>
          <w:sz w:val="18"/>
          <w:szCs w:val="18"/>
        </w:rPr>
      </w:pPr>
      <w:r w:rsidRPr="00DD1FB5">
        <w:rPr>
          <w:rFonts w:ascii="Century Gothic" w:hAnsi="Century Gothic"/>
          <w:color w:val="000000"/>
          <w:sz w:val="18"/>
          <w:szCs w:val="18"/>
        </w:rPr>
        <w:t xml:space="preserve">Extrait du site </w:t>
      </w:r>
      <w:hyperlink r:id="rId7" w:history="1">
        <w:r w:rsidRPr="00DD1FB5">
          <w:rPr>
            <w:rStyle w:val="Lienhypertexte"/>
            <w:rFonts w:ascii="Century Gothic" w:hAnsi="Century Gothic"/>
            <w:sz w:val="18"/>
            <w:szCs w:val="18"/>
          </w:rPr>
          <w:t>www.vigeo.com</w:t>
        </w:r>
      </w:hyperlink>
      <w:r w:rsidRPr="00DD1FB5">
        <w:rPr>
          <w:rFonts w:ascii="Century Gothic" w:hAnsi="Century Gothic"/>
          <w:color w:val="000000"/>
          <w:sz w:val="18"/>
          <w:szCs w:val="18"/>
        </w:rPr>
        <w:t xml:space="preserve"> (</w:t>
      </w:r>
      <w:hyperlink r:id="rId8" w:history="1">
        <w:r w:rsidRPr="00F24965">
          <w:rPr>
            <w:rStyle w:val="Lienhypertexte"/>
            <w:rFonts w:ascii="Century Gothic" w:hAnsi="Century Gothic"/>
            <w:sz w:val="18"/>
            <w:szCs w:val="18"/>
          </w:rPr>
          <w:t>http://www.vigeo.com/csr-rating-agency/fr/methodologie/criteres-de-recherche/37-criteres-d-analyse.html</w:t>
        </w:r>
      </w:hyperlink>
      <w:r w:rsidRPr="00DD1FB5">
        <w:rPr>
          <w:rFonts w:ascii="Century Gothic" w:hAnsi="Century Gothic"/>
          <w:color w:val="000000"/>
          <w:sz w:val="18"/>
          <w:szCs w:val="18"/>
        </w:rPr>
        <w:t>)</w:t>
      </w:r>
    </w:p>
    <w:p w:rsidR="009C7CE7" w:rsidRPr="007326A6" w:rsidRDefault="009C7CE7" w:rsidP="009C7CE7">
      <w:pPr>
        <w:shd w:val="clear" w:color="auto" w:fill="FFFFFF"/>
        <w:jc w:val="center"/>
        <w:rPr>
          <w:rFonts w:ascii="Century Gothic" w:hAnsi="Century Gothic"/>
          <w:color w:val="000000"/>
          <w:sz w:val="16"/>
          <w:szCs w:val="16"/>
        </w:rPr>
      </w:pPr>
    </w:p>
    <w:p w:rsidR="009C7CE7" w:rsidRPr="00A55A62" w:rsidRDefault="009C7CE7" w:rsidP="009C7CE7">
      <w:pPr>
        <w:shd w:val="clear" w:color="auto" w:fill="FFFFFF"/>
        <w:rPr>
          <w:rFonts w:ascii="Verdana" w:hAnsi="Verdana"/>
          <w:color w:val="000000"/>
          <w:sz w:val="16"/>
          <w:szCs w:val="16"/>
        </w:rPr>
      </w:pPr>
      <w:r w:rsidRPr="00A55A62">
        <w:rPr>
          <w:rFonts w:ascii="Century Gothic" w:hAnsi="Century Gothic"/>
          <w:b/>
          <w:bCs/>
          <w:color w:val="000000"/>
          <w:sz w:val="18"/>
          <w:szCs w:val="18"/>
        </w:rPr>
        <w:t xml:space="preserve">Référentiel d’évaluation des entreprises </w:t>
      </w:r>
      <w:r w:rsidRPr="00A55A62">
        <w:rPr>
          <w:rFonts w:ascii="Century Gothic" w:hAnsi="Century Gothic"/>
          <w:color w:val="000000"/>
          <w:sz w:val="18"/>
          <w:szCs w:val="18"/>
        </w:rPr>
        <w:t>par le groupe Vigéo (l</w:t>
      </w:r>
      <w:r w:rsidRPr="00A55A62">
        <w:rPr>
          <w:rStyle w:val="lev"/>
          <w:rFonts w:ascii="Century Gothic" w:hAnsi="Century Gothic"/>
          <w:b w:val="0"/>
          <w:bCs w:val="0"/>
          <w:color w:val="000000"/>
          <w:sz w:val="18"/>
          <w:szCs w:val="18"/>
        </w:rPr>
        <w:t xml:space="preserve">e groupe mesure les performances et le niveau de maîtrise des risques de responsabilité sociale des entreprises et des organisations - site </w:t>
      </w:r>
      <w:hyperlink r:id="rId9" w:history="1">
        <w:r w:rsidRPr="00A55A62">
          <w:rPr>
            <w:rStyle w:val="Lienhypertexte"/>
            <w:rFonts w:ascii="Century Gothic" w:hAnsi="Century Gothic"/>
            <w:color w:val="000000"/>
            <w:sz w:val="18"/>
            <w:szCs w:val="18"/>
          </w:rPr>
          <w:t>www.vigeo.com</w:t>
        </w:r>
      </w:hyperlink>
      <w:r w:rsidRPr="00A55A62">
        <w:rPr>
          <w:rStyle w:val="lev"/>
          <w:rFonts w:ascii="Century Gothic" w:hAnsi="Century Gothic"/>
          <w:b w:val="0"/>
          <w:bCs w:val="0"/>
          <w:color w:val="000000"/>
          <w:sz w:val="18"/>
          <w:szCs w:val="18"/>
        </w:rPr>
        <w:t>).</w:t>
      </w:r>
      <w:r w:rsidRPr="00A55A62">
        <w:rPr>
          <w:rFonts w:ascii="Verdana" w:hAnsi="Verdana"/>
          <w:color w:val="000000"/>
          <w:sz w:val="16"/>
          <w:szCs w:val="16"/>
        </w:rPr>
        <w:t xml:space="preserve">   </w:t>
      </w:r>
    </w:p>
    <w:p w:rsidR="009C7CE7" w:rsidRPr="00A55A62" w:rsidRDefault="009C7CE7" w:rsidP="009C7CE7">
      <w:pPr>
        <w:jc w:val="center"/>
        <w:rPr>
          <w:rFonts w:ascii="Verdana" w:hAnsi="Verdana"/>
          <w:color w:val="000000"/>
          <w:sz w:val="16"/>
          <w:szCs w:val="16"/>
        </w:rPr>
      </w:pPr>
      <w:r>
        <w:rPr>
          <w:rFonts w:ascii="Verdana" w:hAnsi="Verdana"/>
          <w:noProof/>
          <w:color w:val="000000"/>
          <w:sz w:val="16"/>
          <w:szCs w:val="16"/>
          <w:lang w:eastAsia="fr-FR"/>
        </w:rPr>
        <w:drawing>
          <wp:inline distT="0" distB="0" distL="0" distR="0">
            <wp:extent cx="4922520" cy="3147060"/>
            <wp:effectExtent l="0" t="0" r="0" b="0"/>
            <wp:docPr id="1" name="Image 1" descr="Les 6 domaines de la R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s 6 domaines de la RS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2520" cy="3147060"/>
                    </a:xfrm>
                    <a:prstGeom prst="rect">
                      <a:avLst/>
                    </a:prstGeom>
                    <a:noFill/>
                    <a:ln>
                      <a:noFill/>
                    </a:ln>
                  </pic:spPr>
                </pic:pic>
              </a:graphicData>
            </a:graphic>
          </wp:inline>
        </w:drawing>
      </w:r>
    </w:p>
    <w:p w:rsidR="009C7CE7" w:rsidRPr="00A55A62" w:rsidRDefault="009C7CE7" w:rsidP="009C7CE7">
      <w:pPr>
        <w:jc w:val="both"/>
        <w:rPr>
          <w:rFonts w:ascii="Verdana" w:hAnsi="Verdana"/>
          <w:color w:val="000000"/>
          <w:sz w:val="16"/>
          <w:szCs w:val="16"/>
        </w:rPr>
      </w:pPr>
      <w:r w:rsidRPr="00A55A62">
        <w:rPr>
          <w:rStyle w:val="lev"/>
          <w:rFonts w:ascii="Verdana" w:hAnsi="Verdana"/>
          <w:color w:val="000000"/>
          <w:sz w:val="16"/>
          <w:szCs w:val="16"/>
        </w:rPr>
        <w:t>1. Ressources Humaines</w:t>
      </w:r>
      <w:r w:rsidRPr="00A55A62">
        <w:rPr>
          <w:rFonts w:ascii="Verdana" w:hAnsi="Verdana"/>
          <w:color w:val="000000"/>
          <w:sz w:val="16"/>
          <w:szCs w:val="16"/>
        </w:rPr>
        <w:t xml:space="preserve"> : </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Amélioration continue des relations professionnelles, des relations d’emploi et des conditions de travail.</w:t>
      </w:r>
      <w:r w:rsidRPr="00A55A62">
        <w:rPr>
          <w:rFonts w:ascii="Verdana" w:hAnsi="Verdana"/>
          <w:color w:val="000000"/>
          <w:sz w:val="16"/>
          <w:szCs w:val="16"/>
        </w:rPr>
        <w:br/>
      </w:r>
      <w:r w:rsidRPr="00A55A62">
        <w:rPr>
          <w:rFonts w:ascii="Verdana" w:hAnsi="Verdana"/>
          <w:color w:val="000000"/>
          <w:sz w:val="16"/>
          <w:szCs w:val="16"/>
        </w:rPr>
        <w:br/>
      </w:r>
      <w:r w:rsidRPr="00A55A62">
        <w:rPr>
          <w:rStyle w:val="lev"/>
          <w:rFonts w:ascii="Verdana" w:hAnsi="Verdana"/>
          <w:color w:val="000000"/>
          <w:sz w:val="16"/>
          <w:szCs w:val="16"/>
        </w:rPr>
        <w:t>2. Droits humains</w:t>
      </w:r>
      <w:r w:rsidRPr="00A55A62">
        <w:rPr>
          <w:rFonts w:ascii="Verdana" w:hAnsi="Verdana"/>
          <w:color w:val="000000"/>
          <w:sz w:val="16"/>
          <w:szCs w:val="16"/>
        </w:rPr>
        <w:t xml:space="preserve"> sur les lieux de travail : </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Respect de la liberté syndicale et promotion de la négociation collective, non discrimination et promotion de l’égalité, élimination des formes de travail proscrites (enfants, travail forcé), prévention des traitements inhumains ou dégradants de type harcèlements sexuels, protection de la vie privée et des données personnelles.</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br/>
      </w:r>
      <w:r w:rsidRPr="00A55A62">
        <w:rPr>
          <w:rStyle w:val="lev"/>
          <w:rFonts w:ascii="Verdana" w:hAnsi="Verdana"/>
          <w:color w:val="000000"/>
          <w:sz w:val="16"/>
          <w:szCs w:val="16"/>
        </w:rPr>
        <w:t xml:space="preserve">3. Environnement </w:t>
      </w:r>
      <w:r w:rsidRPr="00A55A62">
        <w:rPr>
          <w:rFonts w:ascii="Verdana" w:hAnsi="Verdana"/>
          <w:color w:val="000000"/>
          <w:sz w:val="16"/>
          <w:szCs w:val="16"/>
        </w:rPr>
        <w:t xml:space="preserve">: </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Protection, sauvegarde, prévention des atteintes à l'environnement, mise en place d’une stratégie managériale appropriée, éco conception, protection de la biodiversité et maîtrise rationnelle des impacts environnementaux sur l’ensemble du cycle de vie des produits ou services.</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 </w:t>
      </w:r>
    </w:p>
    <w:p w:rsidR="009C7CE7" w:rsidRPr="00A55A62" w:rsidRDefault="009C7CE7" w:rsidP="009C7CE7">
      <w:pPr>
        <w:jc w:val="both"/>
        <w:rPr>
          <w:rFonts w:ascii="Verdana" w:hAnsi="Verdana"/>
          <w:color w:val="000000"/>
          <w:sz w:val="16"/>
          <w:szCs w:val="16"/>
        </w:rPr>
      </w:pPr>
      <w:r w:rsidRPr="00A55A62">
        <w:rPr>
          <w:rStyle w:val="lev"/>
          <w:rFonts w:ascii="Verdana" w:hAnsi="Verdana"/>
          <w:color w:val="000000"/>
          <w:sz w:val="16"/>
          <w:szCs w:val="16"/>
        </w:rPr>
        <w:t>4. Comportements sur les marchés</w:t>
      </w:r>
      <w:r w:rsidRPr="00A55A62">
        <w:rPr>
          <w:rFonts w:ascii="Verdana" w:hAnsi="Verdana"/>
          <w:color w:val="000000"/>
          <w:sz w:val="16"/>
          <w:szCs w:val="16"/>
        </w:rPr>
        <w:t xml:space="preserve"> : </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Prise en compte des droits et intérêts des clients, intégration de standards sociaux et environnementaux dans la sélection des fournisseurs et sur l’ensemble de la chaîne d’approvisionnement, prévention effective de la corruption, respect des règles concurrentielles.</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 </w:t>
      </w:r>
    </w:p>
    <w:p w:rsidR="009C7CE7" w:rsidRPr="00A55A62" w:rsidRDefault="009C7CE7" w:rsidP="009C7CE7">
      <w:pPr>
        <w:jc w:val="both"/>
        <w:rPr>
          <w:rFonts w:ascii="Verdana" w:hAnsi="Verdana"/>
          <w:color w:val="000000"/>
          <w:sz w:val="16"/>
          <w:szCs w:val="16"/>
        </w:rPr>
      </w:pPr>
      <w:r w:rsidRPr="00A55A62">
        <w:rPr>
          <w:rStyle w:val="lev"/>
          <w:rFonts w:ascii="Verdana" w:hAnsi="Verdana"/>
          <w:color w:val="000000"/>
          <w:sz w:val="16"/>
          <w:szCs w:val="16"/>
        </w:rPr>
        <w:t>5. Gouvernement d’entreprise</w:t>
      </w:r>
      <w:r w:rsidRPr="00A55A62">
        <w:rPr>
          <w:rFonts w:ascii="Verdana" w:hAnsi="Verdana"/>
          <w:color w:val="000000"/>
          <w:sz w:val="16"/>
          <w:szCs w:val="16"/>
        </w:rPr>
        <w:t xml:space="preserve"> : </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 xml:space="preserve">Efficience et probité, assurance de l’indépendance et de l’efficacité du Conseil d’administration, effectivité et efficience des mécanismes d’audit et de contrôle et notamment inclusion des risques de responsabilité sociale, respect des droits des actionnaires et notamment des minoritaires, transparence et rationalité de la rémunération des dirigeants. </w:t>
      </w:r>
    </w:p>
    <w:p w:rsidR="009C7CE7" w:rsidRPr="00A55A62" w:rsidRDefault="009C7CE7" w:rsidP="009C7CE7">
      <w:pPr>
        <w:jc w:val="both"/>
        <w:rPr>
          <w:rFonts w:ascii="Verdana" w:hAnsi="Verdana"/>
          <w:color w:val="000000"/>
          <w:sz w:val="16"/>
          <w:szCs w:val="16"/>
        </w:rPr>
      </w:pPr>
      <w:r w:rsidRPr="00A55A62">
        <w:rPr>
          <w:rFonts w:ascii="Verdana" w:hAnsi="Verdana"/>
          <w:color w:val="000000"/>
          <w:sz w:val="16"/>
          <w:szCs w:val="16"/>
        </w:rPr>
        <w:t> </w:t>
      </w:r>
    </w:p>
    <w:p w:rsidR="009C7CE7" w:rsidRPr="00A55A62" w:rsidRDefault="009C7CE7" w:rsidP="009C7CE7">
      <w:pPr>
        <w:jc w:val="both"/>
        <w:rPr>
          <w:rFonts w:ascii="Verdana" w:hAnsi="Verdana"/>
          <w:color w:val="000000"/>
          <w:sz w:val="16"/>
          <w:szCs w:val="16"/>
        </w:rPr>
      </w:pPr>
      <w:r w:rsidRPr="00A55A62">
        <w:rPr>
          <w:rStyle w:val="lev"/>
          <w:rFonts w:ascii="Verdana" w:hAnsi="Verdana"/>
          <w:color w:val="000000"/>
          <w:sz w:val="16"/>
          <w:szCs w:val="16"/>
        </w:rPr>
        <w:t>6. Engagement sociétal</w:t>
      </w:r>
      <w:r w:rsidRPr="00A55A62">
        <w:rPr>
          <w:rFonts w:ascii="Verdana" w:hAnsi="Verdana"/>
          <w:color w:val="000000"/>
          <w:sz w:val="16"/>
          <w:szCs w:val="16"/>
        </w:rPr>
        <w:t xml:space="preserve"> : </w:t>
      </w:r>
    </w:p>
    <w:p w:rsidR="009C7CE7" w:rsidRDefault="009C7CE7" w:rsidP="009C7CE7">
      <w:pPr>
        <w:rPr>
          <w:rFonts w:ascii="Verdana" w:hAnsi="Verdana"/>
          <w:color w:val="000000"/>
          <w:sz w:val="16"/>
          <w:szCs w:val="16"/>
        </w:rPr>
      </w:pPr>
      <w:r w:rsidRPr="00A55A62">
        <w:rPr>
          <w:rFonts w:ascii="Verdana" w:hAnsi="Verdana"/>
          <w:color w:val="000000"/>
          <w:sz w:val="16"/>
          <w:szCs w:val="16"/>
        </w:rPr>
        <w:t>Effectivité, intégration managériale de l’engagement, contribution au développement économique et social des territoires d’implantation et de leurs communautés humaines, engagements concrets en faveur de la maîtrise des impacts sociétaux des produits et des services, contribution transparente et participative à des causes d’intérêt général.</w:t>
      </w:r>
    </w:p>
    <w:p w:rsidR="009C7CE7" w:rsidRDefault="009C7CE7" w:rsidP="009C7CE7">
      <w:pPr>
        <w:outlineLvl w:val="2"/>
        <w:rPr>
          <w:rFonts w:ascii="Verdana" w:hAnsi="Verdana"/>
          <w:color w:val="000000"/>
          <w:sz w:val="16"/>
          <w:szCs w:val="16"/>
        </w:rPr>
      </w:pPr>
    </w:p>
    <w:p w:rsidR="000606ED" w:rsidRPr="000606ED" w:rsidRDefault="009C7CE7" w:rsidP="000606ED">
      <w:pPr>
        <w:shd w:val="clear" w:color="auto" w:fill="FFFFFF"/>
        <w:jc w:val="center"/>
        <w:rPr>
          <w:rFonts w:eastAsia="Times New Roman"/>
          <w:b/>
          <w:bCs/>
          <w:lang w:eastAsia="en-US"/>
        </w:rPr>
      </w:pPr>
      <w:r w:rsidRPr="000606ED">
        <w:rPr>
          <w:rFonts w:eastAsia="Times New Roman"/>
          <w:b/>
          <w:bCs/>
          <w:lang w:eastAsia="en-US"/>
        </w:rPr>
        <w:lastRenderedPageBreak/>
        <w:t>E</w:t>
      </w:r>
      <w:r w:rsidR="000606ED" w:rsidRPr="000606ED">
        <w:rPr>
          <w:rFonts w:eastAsia="Times New Roman"/>
          <w:b/>
          <w:bCs/>
          <w:lang w:eastAsia="en-US"/>
        </w:rPr>
        <w:t>léments de corrigé</w:t>
      </w:r>
    </w:p>
    <w:p w:rsidR="000606ED" w:rsidRDefault="000606ED" w:rsidP="009C7CE7">
      <w:pPr>
        <w:shd w:val="clear" w:color="auto" w:fill="FFFFFF"/>
        <w:rPr>
          <w:rFonts w:ascii="Century Gothic" w:eastAsia="Times New Roman" w:hAnsi="Century Gothic"/>
          <w:b/>
          <w:bCs/>
          <w:sz w:val="20"/>
          <w:szCs w:val="20"/>
          <w:lang w:eastAsia="en-US"/>
        </w:rPr>
      </w:pPr>
    </w:p>
    <w:p w:rsidR="009C7CE7" w:rsidRPr="009C7CE7" w:rsidRDefault="009C7CE7" w:rsidP="009C7CE7">
      <w:pPr>
        <w:shd w:val="clear" w:color="auto" w:fill="FFFFFF"/>
        <w:jc w:val="center"/>
        <w:rPr>
          <w:rFonts w:ascii="Century Gothic" w:eastAsia="Times New Roman" w:hAnsi="Century Gothic"/>
          <w:b/>
          <w:bCs/>
          <w:sz w:val="20"/>
          <w:szCs w:val="20"/>
          <w:lang w:eastAsia="en-US"/>
        </w:rPr>
      </w:pPr>
    </w:p>
    <w:p w:rsidR="009C7CE7" w:rsidRPr="000606ED" w:rsidRDefault="009C7CE7" w:rsidP="009C7CE7">
      <w:pPr>
        <w:shd w:val="clear" w:color="auto" w:fill="FFFFFF"/>
        <w:rPr>
          <w:rFonts w:eastAsia="Times New Roman"/>
          <w:lang w:eastAsia="en-US"/>
        </w:rPr>
      </w:pPr>
      <w:r w:rsidRPr="000606ED">
        <w:rPr>
          <w:rFonts w:eastAsia="Times New Roman"/>
          <w:lang w:eastAsia="en-US"/>
        </w:rPr>
        <w:t>1 – Apport d’une compétence, d’une expertise, d’un savoir-faire permettant des préconisations réalistes et adaptées à l’entreprise.</w:t>
      </w:r>
    </w:p>
    <w:p w:rsidR="009C7CE7" w:rsidRPr="000606ED" w:rsidRDefault="009C7CE7" w:rsidP="009C7CE7">
      <w:pPr>
        <w:shd w:val="clear" w:color="auto" w:fill="FFFFFF"/>
        <w:rPr>
          <w:rFonts w:eastAsia="Times New Roman"/>
          <w:lang w:eastAsia="en-US"/>
        </w:rPr>
      </w:pPr>
      <w:r w:rsidRPr="000606ED">
        <w:rPr>
          <w:rFonts w:eastAsia="Times New Roman"/>
          <w:lang w:eastAsia="en-US"/>
        </w:rPr>
        <w:t>Initialisation d’une démarche RSE, œil neuf, apport d’idées et d’exemples de référence.</w:t>
      </w:r>
    </w:p>
    <w:p w:rsidR="009C7CE7" w:rsidRPr="000606ED" w:rsidRDefault="009C7CE7" w:rsidP="009C7CE7">
      <w:pPr>
        <w:shd w:val="clear" w:color="auto" w:fill="FFFFFF"/>
        <w:rPr>
          <w:rFonts w:eastAsia="Times New Roman"/>
          <w:lang w:eastAsia="en-US"/>
        </w:rPr>
      </w:pPr>
      <w:r w:rsidRPr="000606ED">
        <w:rPr>
          <w:rFonts w:eastAsia="Times New Roman"/>
          <w:lang w:eastAsia="en-US"/>
        </w:rPr>
        <w:t>Formation interne.</w:t>
      </w:r>
    </w:p>
    <w:p w:rsidR="009C7CE7" w:rsidRPr="000606ED" w:rsidRDefault="009C7CE7" w:rsidP="009C7CE7">
      <w:pPr>
        <w:shd w:val="clear" w:color="auto" w:fill="FFFFFF"/>
        <w:rPr>
          <w:rFonts w:eastAsia="Times New Roman"/>
          <w:lang w:eastAsia="en-US"/>
        </w:rPr>
      </w:pPr>
    </w:p>
    <w:p w:rsidR="009C7CE7" w:rsidRPr="000606ED" w:rsidRDefault="009C7CE7" w:rsidP="009C7CE7">
      <w:pPr>
        <w:shd w:val="clear" w:color="auto" w:fill="FFFFFF"/>
        <w:rPr>
          <w:rFonts w:eastAsia="Times New Roman"/>
          <w:lang w:eastAsia="en-US"/>
        </w:rPr>
      </w:pPr>
      <w:r w:rsidRPr="000606ED">
        <w:rPr>
          <w:rFonts w:eastAsia="Times New Roman"/>
          <w:lang w:eastAsia="en-US"/>
        </w:rPr>
        <w:t>2 – Applicable dans le principe aux administrations. Mais des freins idéologiques, politiques ou budgétaires peuvent survenir.</w:t>
      </w:r>
    </w:p>
    <w:p w:rsidR="00D614CF" w:rsidRDefault="00D614CF"/>
    <w:p w:rsidR="00DC1352" w:rsidRDefault="00DC1352"/>
    <w:p w:rsidR="00DC1352" w:rsidRDefault="00DC1352"/>
    <w:sectPr w:rsidR="00DC1352" w:rsidSect="00372F7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4F4" w:rsidRDefault="00ED24F4" w:rsidP="00EF48EE">
      <w:r>
        <w:separator/>
      </w:r>
    </w:p>
  </w:endnote>
  <w:endnote w:type="continuationSeparator" w:id="0">
    <w:p w:rsidR="00ED24F4" w:rsidRDefault="00ED24F4" w:rsidP="00EF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11D" w:rsidRDefault="0023111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59284"/>
      <w:docPartObj>
        <w:docPartGallery w:val="Page Numbers (Bottom of Page)"/>
        <w:docPartUnique/>
      </w:docPartObj>
    </w:sdtPr>
    <w:sdtEndPr/>
    <w:sdtContent>
      <w:p w:rsidR="00EF48EE" w:rsidRDefault="0023111D">
        <w:pPr>
          <w:pStyle w:val="Pieddepage"/>
        </w:pPr>
        <w:r>
          <w:t xml:space="preserve">© </w:t>
        </w:r>
        <w:r w:rsidR="00EF48EE">
          <w:t>CRCF – Jacques Sornet</w:t>
        </w:r>
        <w:r>
          <w:t xml:space="preserve"> – Validation Pierre Lecocq</w:t>
        </w:r>
        <w:bookmarkStart w:id="0" w:name="_GoBack"/>
        <w:bookmarkEnd w:id="0"/>
        <w:r w:rsidR="00EF48EE">
          <w:t xml:space="preserve">                                         Page : </w:t>
        </w:r>
        <w:r w:rsidR="00372F74">
          <w:fldChar w:fldCharType="begin"/>
        </w:r>
        <w:r w:rsidR="00EF48EE">
          <w:instrText>PAGE   \* MERGEFORMAT</w:instrText>
        </w:r>
        <w:r w:rsidR="00372F74">
          <w:fldChar w:fldCharType="separate"/>
        </w:r>
        <w:r>
          <w:rPr>
            <w:noProof/>
          </w:rPr>
          <w:t>1</w:t>
        </w:r>
        <w:r w:rsidR="00372F74">
          <w:fldChar w:fldCharType="end"/>
        </w:r>
      </w:p>
    </w:sdtContent>
  </w:sdt>
  <w:p w:rsidR="00EF48EE" w:rsidRDefault="00EF48E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11D" w:rsidRDefault="0023111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4F4" w:rsidRDefault="00ED24F4" w:rsidP="00EF48EE">
      <w:r>
        <w:separator/>
      </w:r>
    </w:p>
  </w:footnote>
  <w:footnote w:type="continuationSeparator" w:id="0">
    <w:p w:rsidR="00ED24F4" w:rsidRDefault="00ED24F4" w:rsidP="00EF4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11D" w:rsidRDefault="0023111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11D" w:rsidRDefault="0023111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11D" w:rsidRDefault="0023111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CE7"/>
    <w:rsid w:val="000606ED"/>
    <w:rsid w:val="0023111D"/>
    <w:rsid w:val="00343305"/>
    <w:rsid w:val="00372F74"/>
    <w:rsid w:val="00416A82"/>
    <w:rsid w:val="004D4E04"/>
    <w:rsid w:val="006557DC"/>
    <w:rsid w:val="006F2686"/>
    <w:rsid w:val="00912B0B"/>
    <w:rsid w:val="009C7CE7"/>
    <w:rsid w:val="00D52256"/>
    <w:rsid w:val="00D614CF"/>
    <w:rsid w:val="00DC1352"/>
    <w:rsid w:val="00ED24F4"/>
    <w:rsid w:val="00EF48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CE7"/>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qFormat/>
    <w:rsid w:val="009C7CE7"/>
    <w:rPr>
      <w:b/>
      <w:bCs/>
    </w:rPr>
  </w:style>
  <w:style w:type="character" w:styleId="Lienhypertexte">
    <w:name w:val="Hyperlink"/>
    <w:rsid w:val="009C7CE7"/>
    <w:rPr>
      <w:color w:val="0000FF"/>
      <w:u w:val="single"/>
    </w:rPr>
  </w:style>
  <w:style w:type="paragraph" w:styleId="Textedebulles">
    <w:name w:val="Balloon Text"/>
    <w:basedOn w:val="Normal"/>
    <w:link w:val="TextedebullesCar"/>
    <w:uiPriority w:val="99"/>
    <w:semiHidden/>
    <w:unhideWhenUsed/>
    <w:rsid w:val="009C7CE7"/>
    <w:rPr>
      <w:rFonts w:ascii="Tahoma" w:hAnsi="Tahoma" w:cs="Tahoma"/>
      <w:sz w:val="16"/>
      <w:szCs w:val="16"/>
    </w:rPr>
  </w:style>
  <w:style w:type="character" w:customStyle="1" w:styleId="TextedebullesCar">
    <w:name w:val="Texte de bulles Car"/>
    <w:basedOn w:val="Policepardfaut"/>
    <w:link w:val="Textedebulles"/>
    <w:uiPriority w:val="99"/>
    <w:semiHidden/>
    <w:rsid w:val="009C7CE7"/>
    <w:rPr>
      <w:rFonts w:ascii="Tahoma" w:eastAsia="SimSun" w:hAnsi="Tahoma" w:cs="Tahoma"/>
      <w:sz w:val="16"/>
      <w:szCs w:val="16"/>
      <w:lang w:eastAsia="zh-CN"/>
    </w:rPr>
  </w:style>
  <w:style w:type="paragraph" w:styleId="En-tte">
    <w:name w:val="header"/>
    <w:basedOn w:val="Normal"/>
    <w:link w:val="En-tteCar"/>
    <w:uiPriority w:val="99"/>
    <w:unhideWhenUsed/>
    <w:rsid w:val="00EF48EE"/>
    <w:pPr>
      <w:tabs>
        <w:tab w:val="center" w:pos="4536"/>
        <w:tab w:val="right" w:pos="9072"/>
      </w:tabs>
    </w:pPr>
  </w:style>
  <w:style w:type="character" w:customStyle="1" w:styleId="En-tteCar">
    <w:name w:val="En-tête Car"/>
    <w:basedOn w:val="Policepardfaut"/>
    <w:link w:val="En-tte"/>
    <w:uiPriority w:val="99"/>
    <w:rsid w:val="00EF48EE"/>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EF48EE"/>
    <w:pPr>
      <w:tabs>
        <w:tab w:val="center" w:pos="4536"/>
        <w:tab w:val="right" w:pos="9072"/>
      </w:tabs>
    </w:pPr>
  </w:style>
  <w:style w:type="character" w:customStyle="1" w:styleId="PieddepageCar">
    <w:name w:val="Pied de page Car"/>
    <w:basedOn w:val="Policepardfaut"/>
    <w:link w:val="Pieddepage"/>
    <w:uiPriority w:val="99"/>
    <w:rsid w:val="00EF48EE"/>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DC1352"/>
    <w:rPr>
      <w:sz w:val="16"/>
      <w:szCs w:val="16"/>
    </w:rPr>
  </w:style>
  <w:style w:type="paragraph" w:styleId="Commentaire">
    <w:name w:val="annotation text"/>
    <w:basedOn w:val="Normal"/>
    <w:link w:val="CommentaireCar"/>
    <w:uiPriority w:val="99"/>
    <w:semiHidden/>
    <w:unhideWhenUsed/>
    <w:rsid w:val="00DC1352"/>
    <w:rPr>
      <w:sz w:val="20"/>
      <w:szCs w:val="20"/>
    </w:rPr>
  </w:style>
  <w:style w:type="character" w:customStyle="1" w:styleId="CommentaireCar">
    <w:name w:val="Commentaire Car"/>
    <w:basedOn w:val="Policepardfaut"/>
    <w:link w:val="Commentaire"/>
    <w:uiPriority w:val="99"/>
    <w:semiHidden/>
    <w:rsid w:val="00DC1352"/>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C1352"/>
    <w:rPr>
      <w:b/>
      <w:bCs/>
    </w:rPr>
  </w:style>
  <w:style w:type="character" w:customStyle="1" w:styleId="ObjetducommentaireCar">
    <w:name w:val="Objet du commentaire Car"/>
    <w:basedOn w:val="CommentaireCar"/>
    <w:link w:val="Objetducommentaire"/>
    <w:uiPriority w:val="99"/>
    <w:semiHidden/>
    <w:rsid w:val="00DC1352"/>
    <w:rPr>
      <w:rFonts w:ascii="Times New Roman" w:eastAsia="SimSun" w:hAnsi="Times New Roman" w:cs="Times New Roman"/>
      <w:b/>
      <w:bCs/>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CE7"/>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qFormat/>
    <w:rsid w:val="009C7CE7"/>
    <w:rPr>
      <w:b/>
      <w:bCs/>
    </w:rPr>
  </w:style>
  <w:style w:type="character" w:styleId="Lienhypertexte">
    <w:name w:val="Hyperlink"/>
    <w:rsid w:val="009C7CE7"/>
    <w:rPr>
      <w:color w:val="0000FF"/>
      <w:u w:val="single"/>
    </w:rPr>
  </w:style>
  <w:style w:type="paragraph" w:styleId="Textedebulles">
    <w:name w:val="Balloon Text"/>
    <w:basedOn w:val="Normal"/>
    <w:link w:val="TextedebullesCar"/>
    <w:uiPriority w:val="99"/>
    <w:semiHidden/>
    <w:unhideWhenUsed/>
    <w:rsid w:val="009C7CE7"/>
    <w:rPr>
      <w:rFonts w:ascii="Tahoma" w:hAnsi="Tahoma" w:cs="Tahoma"/>
      <w:sz w:val="16"/>
      <w:szCs w:val="16"/>
    </w:rPr>
  </w:style>
  <w:style w:type="character" w:customStyle="1" w:styleId="TextedebullesCar">
    <w:name w:val="Texte de bulles Car"/>
    <w:basedOn w:val="Policepardfaut"/>
    <w:link w:val="Textedebulles"/>
    <w:uiPriority w:val="99"/>
    <w:semiHidden/>
    <w:rsid w:val="009C7CE7"/>
    <w:rPr>
      <w:rFonts w:ascii="Tahoma" w:eastAsia="SimSun" w:hAnsi="Tahoma" w:cs="Tahoma"/>
      <w:sz w:val="16"/>
      <w:szCs w:val="16"/>
      <w:lang w:eastAsia="zh-CN"/>
    </w:rPr>
  </w:style>
  <w:style w:type="paragraph" w:styleId="En-tte">
    <w:name w:val="header"/>
    <w:basedOn w:val="Normal"/>
    <w:link w:val="En-tteCar"/>
    <w:uiPriority w:val="99"/>
    <w:unhideWhenUsed/>
    <w:rsid w:val="00EF48EE"/>
    <w:pPr>
      <w:tabs>
        <w:tab w:val="center" w:pos="4536"/>
        <w:tab w:val="right" w:pos="9072"/>
      </w:tabs>
    </w:pPr>
  </w:style>
  <w:style w:type="character" w:customStyle="1" w:styleId="En-tteCar">
    <w:name w:val="En-tête Car"/>
    <w:basedOn w:val="Policepardfaut"/>
    <w:link w:val="En-tte"/>
    <w:uiPriority w:val="99"/>
    <w:rsid w:val="00EF48EE"/>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EF48EE"/>
    <w:pPr>
      <w:tabs>
        <w:tab w:val="center" w:pos="4536"/>
        <w:tab w:val="right" w:pos="9072"/>
      </w:tabs>
    </w:pPr>
  </w:style>
  <w:style w:type="character" w:customStyle="1" w:styleId="PieddepageCar">
    <w:name w:val="Pied de page Car"/>
    <w:basedOn w:val="Policepardfaut"/>
    <w:link w:val="Pieddepage"/>
    <w:uiPriority w:val="99"/>
    <w:rsid w:val="00EF48EE"/>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DC1352"/>
    <w:rPr>
      <w:sz w:val="16"/>
      <w:szCs w:val="16"/>
    </w:rPr>
  </w:style>
  <w:style w:type="paragraph" w:styleId="Commentaire">
    <w:name w:val="annotation text"/>
    <w:basedOn w:val="Normal"/>
    <w:link w:val="CommentaireCar"/>
    <w:uiPriority w:val="99"/>
    <w:semiHidden/>
    <w:unhideWhenUsed/>
    <w:rsid w:val="00DC1352"/>
    <w:rPr>
      <w:sz w:val="20"/>
      <w:szCs w:val="20"/>
    </w:rPr>
  </w:style>
  <w:style w:type="character" w:customStyle="1" w:styleId="CommentaireCar">
    <w:name w:val="Commentaire Car"/>
    <w:basedOn w:val="Policepardfaut"/>
    <w:link w:val="Commentaire"/>
    <w:uiPriority w:val="99"/>
    <w:semiHidden/>
    <w:rsid w:val="00DC1352"/>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C1352"/>
    <w:rPr>
      <w:b/>
      <w:bCs/>
    </w:rPr>
  </w:style>
  <w:style w:type="character" w:customStyle="1" w:styleId="ObjetducommentaireCar">
    <w:name w:val="Objet du commentaire Car"/>
    <w:basedOn w:val="CommentaireCar"/>
    <w:link w:val="Objetducommentaire"/>
    <w:uiPriority w:val="99"/>
    <w:semiHidden/>
    <w:rsid w:val="00DC1352"/>
    <w:rPr>
      <w:rFonts w:ascii="Times New Roman" w:eastAsia="SimSu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geo.com/csr-rating-agency/fr/methodologie/criteres-de-recherche/37-criteres-d-analyse.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igeo.com"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vigeo.com"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2615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4</cp:revision>
  <dcterms:created xsi:type="dcterms:W3CDTF">2012-05-08T15:56:00Z</dcterms:created>
  <dcterms:modified xsi:type="dcterms:W3CDTF">2012-05-08T16:36:00Z</dcterms:modified>
</cp:coreProperties>
</file>