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AE" w:rsidRPr="00DA542C" w:rsidRDefault="007E45AE" w:rsidP="00DA542C">
      <w:pPr>
        <w:pStyle w:val="Titre1"/>
        <w:jc w:val="center"/>
        <w:rPr>
          <w:rFonts w:ascii="Times New Roman" w:hAnsi="Times New Roman" w:cs="Times New Roman"/>
          <w:bCs w:val="0"/>
          <w:sz w:val="22"/>
          <w:szCs w:val="22"/>
        </w:rPr>
      </w:pPr>
      <w:r w:rsidRPr="00DA542C">
        <w:rPr>
          <w:rFonts w:ascii="Times New Roman" w:hAnsi="Times New Roman" w:cs="Times New Roman"/>
          <w:bCs w:val="0"/>
          <w:sz w:val="22"/>
          <w:szCs w:val="22"/>
        </w:rPr>
        <w:t xml:space="preserve">Les fonctions du langage </w:t>
      </w:r>
      <w:r w:rsidR="008A06A5">
        <w:rPr>
          <w:rFonts w:ascii="Times New Roman" w:hAnsi="Times New Roman" w:cs="Times New Roman"/>
          <w:bCs w:val="0"/>
          <w:sz w:val="22"/>
          <w:szCs w:val="22"/>
        </w:rPr>
        <w:t>–</w:t>
      </w:r>
      <w:r w:rsidRPr="00DA542C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 w:rsidR="008A06A5">
        <w:rPr>
          <w:rFonts w:ascii="Times New Roman" w:hAnsi="Times New Roman" w:cs="Times New Roman"/>
          <w:bCs w:val="0"/>
          <w:sz w:val="22"/>
          <w:szCs w:val="22"/>
        </w:rPr>
        <w:t xml:space="preserve">d’après </w:t>
      </w:r>
      <w:r w:rsidRPr="00DA542C">
        <w:rPr>
          <w:rFonts w:ascii="Times New Roman" w:hAnsi="Times New Roman" w:cs="Times New Roman"/>
          <w:bCs w:val="0"/>
          <w:sz w:val="22"/>
          <w:szCs w:val="22"/>
        </w:rPr>
        <w:t>Louis Hébert Université du Québec à Rimouski</w:t>
      </w:r>
    </w:p>
    <w:p w:rsidR="007E45AE" w:rsidRPr="000516BB" w:rsidRDefault="007E45AE" w:rsidP="005415C1">
      <w:pPr>
        <w:jc w:val="center"/>
        <w:rPr>
          <w:i/>
          <w:iCs/>
          <w:sz w:val="22"/>
          <w:szCs w:val="22"/>
        </w:rPr>
      </w:pPr>
      <w:r w:rsidRPr="000516BB">
        <w:rPr>
          <w:i/>
          <w:iCs/>
          <w:sz w:val="22"/>
          <w:szCs w:val="22"/>
        </w:rPr>
        <w:t>(</w:t>
      </w:r>
      <w:proofErr w:type="gramStart"/>
      <w:r w:rsidRPr="000516BB">
        <w:rPr>
          <w:i/>
          <w:iCs/>
          <w:sz w:val="22"/>
          <w:szCs w:val="22"/>
        </w:rPr>
        <w:t>extrait</w:t>
      </w:r>
      <w:proofErr w:type="gramEnd"/>
      <w:r w:rsidRPr="000516BB">
        <w:rPr>
          <w:i/>
          <w:iCs/>
          <w:sz w:val="22"/>
          <w:szCs w:val="22"/>
        </w:rPr>
        <w:t xml:space="preserve"> du site </w:t>
      </w:r>
      <w:hyperlink r:id="rId7" w:history="1">
        <w:r w:rsidRPr="000516BB">
          <w:rPr>
            <w:rStyle w:val="Lienhypertexte"/>
            <w:i/>
            <w:iCs/>
            <w:sz w:val="22"/>
            <w:szCs w:val="22"/>
          </w:rPr>
          <w:t>http://www.signosemio.com/jakobson/fonctions.asp</w:t>
        </w:r>
      </w:hyperlink>
      <w:r w:rsidRPr="000516BB">
        <w:rPr>
          <w:i/>
          <w:iCs/>
          <w:sz w:val="22"/>
          <w:szCs w:val="22"/>
        </w:rPr>
        <w:t>)</w:t>
      </w:r>
    </w:p>
    <w:p w:rsidR="007E45AE" w:rsidRPr="000516BB" w:rsidRDefault="007E45AE" w:rsidP="007E45AE">
      <w:pPr>
        <w:pStyle w:val="NormalWeb"/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fr-FR"/>
        </w:rPr>
        <w:drawing>
          <wp:inline distT="0" distB="0" distL="0" distR="0">
            <wp:extent cx="2819400" cy="3604260"/>
            <wp:effectExtent l="0" t="0" r="0" b="0"/>
            <wp:docPr id="1" name="Image 1" descr="t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5AE" w:rsidRPr="000516BB" w:rsidRDefault="008A06A5" w:rsidP="007E45AE">
      <w:pPr>
        <w:pStyle w:val="NormalWeb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 xml:space="preserve">Cette </w:t>
      </w:r>
      <w:r w:rsidR="007E45AE" w:rsidRPr="000516BB">
        <w:rPr>
          <w:sz w:val="22"/>
          <w:szCs w:val="22"/>
        </w:rPr>
        <w:t xml:space="preserve">image publicitaire s'inscrit dans une série de campagnes publicitaires lancées en 1989 par la </w:t>
      </w:r>
      <w:r w:rsidR="007E45AE" w:rsidRPr="000516BB">
        <w:rPr>
          <w:rStyle w:val="Accentuation"/>
          <w:sz w:val="22"/>
          <w:szCs w:val="22"/>
        </w:rPr>
        <w:t>Transport Accident Commission</w:t>
      </w:r>
      <w:r w:rsidR="007E45AE" w:rsidRPr="000516BB">
        <w:rPr>
          <w:sz w:val="22"/>
          <w:szCs w:val="22"/>
        </w:rPr>
        <w:t xml:space="preserve"> (</w:t>
      </w:r>
      <w:r w:rsidR="007E45AE" w:rsidRPr="000516BB">
        <w:rPr>
          <w:rStyle w:val="Accentuation"/>
          <w:sz w:val="22"/>
          <w:szCs w:val="22"/>
        </w:rPr>
        <w:t>TAC</w:t>
      </w:r>
      <w:r w:rsidR="007E45AE" w:rsidRPr="000516BB">
        <w:rPr>
          <w:sz w:val="22"/>
          <w:szCs w:val="22"/>
        </w:rPr>
        <w:t xml:space="preserve">) d'Australie. Le slogan n'est pas parfaitement traduisible : « Si tu bois, puis conduis, tu es un sacré idiot » ne rend pas les jeux de mots </w:t>
      </w:r>
      <w:r w:rsidR="005415C1">
        <w:rPr>
          <w:sz w:val="22"/>
          <w:szCs w:val="22"/>
        </w:rPr>
        <w:t xml:space="preserve">possibles </w:t>
      </w:r>
      <w:r w:rsidR="007E45AE" w:rsidRPr="000516BB">
        <w:rPr>
          <w:sz w:val="22"/>
          <w:szCs w:val="22"/>
        </w:rPr>
        <w:t>sur « </w:t>
      </w:r>
      <w:r w:rsidR="007E45AE" w:rsidRPr="000516BB">
        <w:rPr>
          <w:rStyle w:val="Accentuation"/>
          <w:sz w:val="22"/>
          <w:szCs w:val="22"/>
        </w:rPr>
        <w:t>bloody</w:t>
      </w:r>
      <w:r w:rsidR="007E45AE" w:rsidRPr="000516BB">
        <w:rPr>
          <w:sz w:val="22"/>
          <w:szCs w:val="22"/>
        </w:rPr>
        <w:t> ».</w:t>
      </w:r>
    </w:p>
    <w:p w:rsidR="005415C1" w:rsidRDefault="005415C1" w:rsidP="007E45AE">
      <w:pPr>
        <w:rPr>
          <w:b/>
          <w:bCs/>
          <w:sz w:val="22"/>
          <w:szCs w:val="22"/>
        </w:rPr>
      </w:pPr>
    </w:p>
    <w:p w:rsidR="007E45AE" w:rsidRPr="000516BB" w:rsidRDefault="007E45AE" w:rsidP="007E45AE">
      <w:pPr>
        <w:rPr>
          <w:b/>
          <w:bCs/>
          <w:sz w:val="22"/>
          <w:szCs w:val="22"/>
        </w:rPr>
      </w:pPr>
      <w:r w:rsidRPr="000516BB">
        <w:rPr>
          <w:b/>
          <w:bCs/>
          <w:sz w:val="22"/>
          <w:szCs w:val="22"/>
        </w:rPr>
        <w:t>Analyser ce message publicitaire sous l’angle de l’attention, de la persuasion et du symbolisme.</w:t>
      </w:r>
    </w:p>
    <w:p w:rsidR="00D614CF" w:rsidRDefault="00D614CF"/>
    <w:p w:rsidR="009519DC" w:rsidRDefault="009519DC" w:rsidP="00DA542C">
      <w:pPr>
        <w:jc w:val="center"/>
        <w:rPr>
          <w:rFonts w:eastAsia="Times New Roman"/>
          <w:b/>
          <w:bCs/>
          <w:lang w:eastAsia="en-US"/>
        </w:rPr>
      </w:pPr>
    </w:p>
    <w:p w:rsidR="009519DC" w:rsidRDefault="009519DC" w:rsidP="00DA542C">
      <w:pPr>
        <w:jc w:val="center"/>
        <w:rPr>
          <w:rFonts w:eastAsia="Times New Roman"/>
          <w:b/>
          <w:bCs/>
          <w:lang w:eastAsia="en-US"/>
        </w:rPr>
      </w:pPr>
    </w:p>
    <w:p w:rsidR="00DA542C" w:rsidRPr="00DA542C" w:rsidRDefault="00DA542C" w:rsidP="00DA542C">
      <w:pPr>
        <w:jc w:val="center"/>
        <w:rPr>
          <w:rFonts w:eastAsia="Times New Roman"/>
          <w:b/>
          <w:bCs/>
          <w:lang w:eastAsia="en-US"/>
        </w:rPr>
      </w:pPr>
      <w:r w:rsidRPr="00DA542C">
        <w:rPr>
          <w:rFonts w:eastAsia="Times New Roman"/>
          <w:b/>
          <w:bCs/>
          <w:lang w:eastAsia="en-US"/>
        </w:rPr>
        <w:t>Eléments de corrigé</w:t>
      </w:r>
    </w:p>
    <w:p w:rsidR="00DA542C" w:rsidRPr="00DA542C" w:rsidRDefault="00DA542C" w:rsidP="007E45AE">
      <w:pPr>
        <w:rPr>
          <w:rFonts w:eastAsia="Times New Roman"/>
          <w:b/>
          <w:bCs/>
          <w:lang w:eastAsia="en-US"/>
        </w:rPr>
      </w:pPr>
    </w:p>
    <w:p w:rsidR="007E45AE" w:rsidRPr="00DA542C" w:rsidRDefault="007E45AE" w:rsidP="007E45AE">
      <w:pPr>
        <w:spacing w:before="100" w:beforeAutospacing="1" w:after="100" w:afterAutospacing="1"/>
        <w:rPr>
          <w:rFonts w:eastAsia="MS Mincho"/>
          <w:lang w:eastAsia="ja-JP"/>
        </w:rPr>
      </w:pPr>
      <w:r w:rsidRPr="00DA542C">
        <w:rPr>
          <w:rFonts w:eastAsia="MS Mincho"/>
          <w:lang w:eastAsia="ja-JP"/>
        </w:rPr>
        <w:t>Préalable : noter le message implicitement culturel (l’alcool n’est pas cité).</w:t>
      </w:r>
    </w:p>
    <w:p w:rsidR="007E45AE" w:rsidRPr="00DA542C" w:rsidRDefault="009519DC" w:rsidP="008563AE">
      <w:pPr>
        <w:spacing w:before="100" w:beforeAutospacing="1"/>
        <w:rPr>
          <w:rFonts w:eastAsia="MS Mincho"/>
          <w:lang w:eastAsia="ja-JP"/>
        </w:rPr>
      </w:pPr>
      <w:r>
        <w:rPr>
          <w:rFonts w:eastAsia="MS Mincho"/>
          <w:lang w:eastAsia="ja-JP"/>
        </w:rPr>
        <w:t>En résumé</w:t>
      </w:r>
      <w:r w:rsidR="007E45AE" w:rsidRPr="00DA542C">
        <w:rPr>
          <w:rFonts w:eastAsia="MS Mincho"/>
          <w:lang w:eastAsia="ja-JP"/>
        </w:rPr>
        <w:t>, on dira que le message publicitaire doit, dans trois phases successives : (1) attirer l'attention, (2) convaincre, par la raison ou l'émotion</w:t>
      </w:r>
      <w:r w:rsidR="008563AE">
        <w:rPr>
          <w:rFonts w:eastAsia="MS Mincho"/>
          <w:lang w:eastAsia="ja-JP"/>
        </w:rPr>
        <w:t xml:space="preserve">  et (3) faire passer à l'action</w:t>
      </w:r>
      <w:r w:rsidR="007E45AE" w:rsidRPr="00DA542C">
        <w:rPr>
          <w:rFonts w:eastAsia="MS Mincho"/>
          <w:lang w:eastAsia="ja-JP"/>
        </w:rPr>
        <w:t>. Le troisième objectif est évidemment le plus important et les autres lui sont subordonnés.</w:t>
      </w:r>
    </w:p>
    <w:p w:rsidR="008563AE" w:rsidRDefault="007E45AE" w:rsidP="007E45AE">
      <w:pPr>
        <w:spacing w:before="100" w:beforeAutospacing="1" w:after="100" w:afterAutospacing="1"/>
        <w:rPr>
          <w:rFonts w:eastAsia="MS Mincho"/>
          <w:lang w:eastAsia="ja-JP"/>
        </w:rPr>
      </w:pPr>
      <w:r w:rsidRPr="00DA542C">
        <w:rPr>
          <w:rFonts w:eastAsia="MS Mincho"/>
          <w:lang w:eastAsia="ja-JP"/>
        </w:rPr>
        <w:t>Deux actions, boire et conduire, sont conjuguées : on s'attaque</w:t>
      </w:r>
      <w:r w:rsidR="001318D7">
        <w:rPr>
          <w:rFonts w:eastAsia="MS Mincho"/>
          <w:lang w:eastAsia="ja-JP"/>
        </w:rPr>
        <w:t>,</w:t>
      </w:r>
      <w:r w:rsidRPr="00DA542C">
        <w:rPr>
          <w:rFonts w:eastAsia="MS Mincho"/>
          <w:lang w:eastAsia="ja-JP"/>
        </w:rPr>
        <w:t xml:space="preserve"> non pas au boire-et-conduire</w:t>
      </w:r>
      <w:r w:rsidR="001318D7">
        <w:rPr>
          <w:rFonts w:eastAsia="MS Mincho"/>
          <w:lang w:eastAsia="ja-JP"/>
        </w:rPr>
        <w:t>,</w:t>
      </w:r>
      <w:r w:rsidRPr="00DA542C">
        <w:rPr>
          <w:rFonts w:eastAsia="MS Mincho"/>
          <w:lang w:eastAsia="ja-JP"/>
        </w:rPr>
        <w:t xml:space="preserve"> mais à l'action, plus banalisée, de boire-puis-conduire. Trois scénarios possibles </w:t>
      </w:r>
      <w:r w:rsidR="009519DC">
        <w:rPr>
          <w:rFonts w:eastAsia="MS Mincho"/>
          <w:lang w:eastAsia="ja-JP"/>
        </w:rPr>
        <w:t xml:space="preserve">concernent </w:t>
      </w:r>
      <w:r w:rsidRPr="00DA542C">
        <w:rPr>
          <w:rFonts w:eastAsia="MS Mincho"/>
          <w:lang w:eastAsia="ja-JP"/>
        </w:rPr>
        <w:t xml:space="preserve">le destinataire </w:t>
      </w:r>
      <w:r w:rsidR="008563AE">
        <w:rPr>
          <w:rFonts w:eastAsia="MS Mincho"/>
          <w:lang w:eastAsia="ja-JP"/>
        </w:rPr>
        <w:t>du message</w:t>
      </w:r>
      <w:r w:rsidRPr="00DA542C">
        <w:rPr>
          <w:rFonts w:eastAsia="MS Mincho"/>
          <w:lang w:eastAsia="ja-JP"/>
        </w:rPr>
        <w:t xml:space="preserve"> : (1) ne pas boire puis conduire, (2) boire puis ne pas conduire, (3) boire puis conduire. </w:t>
      </w:r>
    </w:p>
    <w:p w:rsidR="007E45AE" w:rsidRPr="00DA542C" w:rsidRDefault="007E45AE" w:rsidP="007E45AE">
      <w:pPr>
        <w:spacing w:before="100" w:beforeAutospacing="1" w:after="100" w:afterAutospacing="1"/>
        <w:rPr>
          <w:rFonts w:eastAsia="MS Mincho"/>
          <w:lang w:eastAsia="ja-JP"/>
        </w:rPr>
      </w:pPr>
      <w:r w:rsidRPr="00DA542C">
        <w:rPr>
          <w:rFonts w:eastAsia="MS Mincho"/>
          <w:lang w:eastAsia="ja-JP"/>
        </w:rPr>
        <w:t>Le message publicitaire vise évidemment à écarter ce troisième scénario. Pour ce faire, il en montre de manière frappante (fonctions émotive et poétique) la conséquence funeste possible : la mort du destinataire</w:t>
      </w:r>
      <w:r w:rsidR="008563AE">
        <w:rPr>
          <w:rFonts w:eastAsia="MS Mincho"/>
          <w:lang w:eastAsia="ja-JP"/>
        </w:rPr>
        <w:t xml:space="preserve"> (image éthérée, floue</w:t>
      </w:r>
      <w:r w:rsidR="009519DC">
        <w:rPr>
          <w:rFonts w:eastAsia="MS Mincho"/>
          <w:lang w:eastAsia="ja-JP"/>
        </w:rPr>
        <w:t>, forme de cercueil du récipient</w:t>
      </w:r>
      <w:r w:rsidR="008563AE">
        <w:rPr>
          <w:rFonts w:eastAsia="MS Mincho"/>
          <w:lang w:eastAsia="ja-JP"/>
        </w:rPr>
        <w:t>)</w:t>
      </w:r>
      <w:r w:rsidRPr="00DA542C">
        <w:rPr>
          <w:rFonts w:eastAsia="MS Mincho"/>
          <w:lang w:eastAsia="ja-JP"/>
        </w:rPr>
        <w:t xml:space="preserve">. </w:t>
      </w:r>
      <w:r w:rsidR="009519DC">
        <w:rPr>
          <w:rFonts w:eastAsia="MS Mincho"/>
          <w:lang w:eastAsia="ja-JP"/>
        </w:rPr>
        <w:t xml:space="preserve">En cas </w:t>
      </w:r>
      <w:r w:rsidR="009519DC">
        <w:rPr>
          <w:rFonts w:eastAsia="MS Mincho"/>
          <w:lang w:eastAsia="ja-JP"/>
        </w:rPr>
        <w:lastRenderedPageBreak/>
        <w:t xml:space="preserve">de </w:t>
      </w:r>
      <w:r w:rsidRPr="00DA542C">
        <w:rPr>
          <w:rFonts w:eastAsia="MS Mincho"/>
          <w:lang w:eastAsia="ja-JP"/>
        </w:rPr>
        <w:t>non-respect de la consigne, du contrat contenu dans cette publicité, cette mort est la punition (ou du moins la conséquence), tout comme le fait d'être qualifié d'« idiot » en est la punition symbolique.</w:t>
      </w:r>
    </w:p>
    <w:p w:rsidR="008563AE" w:rsidRDefault="007E45AE" w:rsidP="007E45AE">
      <w:pPr>
        <w:spacing w:before="100" w:beforeAutospacing="1" w:after="100" w:afterAutospacing="1"/>
        <w:rPr>
          <w:rFonts w:eastAsia="MS Mincho"/>
          <w:lang w:eastAsia="ja-JP"/>
        </w:rPr>
      </w:pPr>
      <w:r w:rsidRPr="00DA542C">
        <w:rPr>
          <w:rFonts w:eastAsia="MS Mincho"/>
          <w:lang w:eastAsia="ja-JP"/>
        </w:rPr>
        <w:t>Cette mort est présentée comme hautement évitable puisqu'elle n'est destinée qu'aux « </w:t>
      </w:r>
      <w:r w:rsidRPr="00DA542C">
        <w:rPr>
          <w:rFonts w:eastAsia="MS Mincho"/>
          <w:i/>
          <w:iCs/>
          <w:lang w:eastAsia="ja-JP"/>
        </w:rPr>
        <w:t>bloody idiots</w:t>
      </w:r>
      <w:r w:rsidRPr="00DA542C">
        <w:rPr>
          <w:rFonts w:eastAsia="MS Mincho"/>
          <w:lang w:eastAsia="ja-JP"/>
        </w:rPr>
        <w:t> » auxquels aucun destinataire le moindrement intelligent ne voudrait s'associer. Le « </w:t>
      </w:r>
      <w:r w:rsidRPr="00DA542C">
        <w:rPr>
          <w:rFonts w:eastAsia="MS Mincho"/>
          <w:i/>
          <w:iCs/>
          <w:lang w:eastAsia="ja-JP"/>
        </w:rPr>
        <w:t>bloody</w:t>
      </w:r>
      <w:r w:rsidRPr="00DA542C">
        <w:rPr>
          <w:rFonts w:eastAsia="MS Mincho"/>
          <w:lang w:eastAsia="ja-JP"/>
        </w:rPr>
        <w:t> » marque à la fois l'intensité de la catégorisation dans la classe des idiots mais également de l'émotion du destinat</w:t>
      </w:r>
      <w:r w:rsidR="009519DC">
        <w:rPr>
          <w:rFonts w:eastAsia="MS Mincho"/>
          <w:lang w:eastAsia="ja-JP"/>
        </w:rPr>
        <w:t>aire du message</w:t>
      </w:r>
      <w:r w:rsidRPr="00DA542C">
        <w:rPr>
          <w:rFonts w:eastAsia="MS Mincho"/>
          <w:lang w:eastAsia="ja-JP"/>
        </w:rPr>
        <w:t xml:space="preserve">. </w:t>
      </w:r>
      <w:r w:rsidR="008563AE">
        <w:rPr>
          <w:rFonts w:eastAsia="MS Mincho"/>
          <w:lang w:eastAsia="ja-JP"/>
        </w:rPr>
        <w:t>L</w:t>
      </w:r>
      <w:r w:rsidRPr="00DA542C">
        <w:rPr>
          <w:rFonts w:eastAsia="MS Mincho"/>
          <w:lang w:eastAsia="ja-JP"/>
        </w:rPr>
        <w:t>e « </w:t>
      </w:r>
      <w:r w:rsidRPr="00DA542C">
        <w:rPr>
          <w:rFonts w:eastAsia="MS Mincho"/>
          <w:i/>
          <w:iCs/>
          <w:lang w:eastAsia="ja-JP"/>
        </w:rPr>
        <w:t>bloody</w:t>
      </w:r>
      <w:r w:rsidRPr="00DA542C">
        <w:rPr>
          <w:rFonts w:eastAsia="MS Mincho"/>
          <w:lang w:eastAsia="ja-JP"/>
        </w:rPr>
        <w:t> » s'avère</w:t>
      </w:r>
      <w:r w:rsidR="008563AE">
        <w:rPr>
          <w:rFonts w:eastAsia="MS Mincho"/>
          <w:lang w:eastAsia="ja-JP"/>
        </w:rPr>
        <w:t xml:space="preserve"> un mot polysémique et, par-</w:t>
      </w:r>
      <w:r w:rsidRPr="00DA542C">
        <w:rPr>
          <w:rFonts w:eastAsia="MS Mincho"/>
          <w:lang w:eastAsia="ja-JP"/>
        </w:rPr>
        <w:t>là, insiste ici sur lui-même (fonction poétique</w:t>
      </w:r>
      <w:r w:rsidR="001318D7">
        <w:rPr>
          <w:rFonts w:eastAsia="MS Mincho"/>
          <w:lang w:eastAsia="ja-JP"/>
        </w:rPr>
        <w:t xml:space="preserve"> au sens de Jakobson</w:t>
      </w:r>
      <w:r w:rsidRPr="00DA542C">
        <w:rPr>
          <w:rFonts w:eastAsia="MS Mincho"/>
          <w:lang w:eastAsia="ja-JP"/>
        </w:rPr>
        <w:t>). Il renvoie au sang (« </w:t>
      </w:r>
      <w:proofErr w:type="spellStart"/>
      <w:r w:rsidRPr="00DA542C">
        <w:rPr>
          <w:rFonts w:eastAsia="MS Mincho"/>
          <w:i/>
          <w:iCs/>
          <w:lang w:eastAsia="ja-JP"/>
        </w:rPr>
        <w:t>blood</w:t>
      </w:r>
      <w:proofErr w:type="spellEnd"/>
      <w:r w:rsidRPr="00DA542C">
        <w:rPr>
          <w:rFonts w:eastAsia="MS Mincho"/>
          <w:lang w:eastAsia="ja-JP"/>
        </w:rPr>
        <w:t> »), le sang qui nous maculera, mais aussi le sang qui révèle notre alcoolémie (taux d'alcool dans le sang)</w:t>
      </w:r>
      <w:r w:rsidR="009519DC">
        <w:rPr>
          <w:rFonts w:eastAsia="MS Mincho"/>
          <w:lang w:eastAsia="ja-JP"/>
        </w:rPr>
        <w:t>, ou le « sang » ou l’énergie dans l’alcool pour certains</w:t>
      </w:r>
      <w:r w:rsidRPr="00DA542C">
        <w:rPr>
          <w:rFonts w:eastAsia="MS Mincho"/>
          <w:lang w:eastAsia="ja-JP"/>
        </w:rPr>
        <w:t xml:space="preserve">. </w:t>
      </w:r>
    </w:p>
    <w:p w:rsidR="007E45AE" w:rsidRPr="00DA542C" w:rsidRDefault="007E45AE" w:rsidP="007E45AE">
      <w:pPr>
        <w:spacing w:before="100" w:beforeAutospacing="1" w:after="100" w:afterAutospacing="1"/>
        <w:rPr>
          <w:rFonts w:eastAsia="MS Mincho"/>
          <w:lang w:eastAsia="ja-JP"/>
        </w:rPr>
      </w:pPr>
      <w:r w:rsidRPr="00DA542C">
        <w:rPr>
          <w:rFonts w:eastAsia="MS Mincho"/>
          <w:lang w:eastAsia="ja-JP"/>
        </w:rPr>
        <w:t>Par ailleurs, « </w:t>
      </w:r>
      <w:r w:rsidRPr="00DA542C">
        <w:rPr>
          <w:rFonts w:eastAsia="MS Mincho"/>
          <w:i/>
          <w:iCs/>
          <w:lang w:eastAsia="ja-JP"/>
        </w:rPr>
        <w:t>bloody</w:t>
      </w:r>
      <w:r w:rsidRPr="00DA542C">
        <w:rPr>
          <w:rFonts w:eastAsia="MS Mincho"/>
          <w:lang w:eastAsia="ja-JP"/>
        </w:rPr>
        <w:t xml:space="preserve"> » est un terme qui entre dans le nom de certaines boissons (bloody Mary, bloody Caesar). </w:t>
      </w:r>
    </w:p>
    <w:p w:rsidR="007E45AE" w:rsidRDefault="009519DC">
      <w:r>
        <w:t xml:space="preserve">Finalement, ce message </w:t>
      </w:r>
      <w:bookmarkStart w:id="0" w:name="_GoBack"/>
      <w:bookmarkEnd w:id="0"/>
      <w:r w:rsidR="00C95B29">
        <w:t>:</w:t>
      </w:r>
    </w:p>
    <w:p w:rsidR="00C95B29" w:rsidRDefault="00C95B29"/>
    <w:p w:rsidR="00C95B29" w:rsidRPr="00C95B29" w:rsidRDefault="00C95B29">
      <w:pPr>
        <w:rPr>
          <w:b/>
        </w:rPr>
      </w:pPr>
      <w:r w:rsidRPr="00C95B29">
        <w:rPr>
          <w:b/>
        </w:rPr>
        <w:t>Attire l’attention</w:t>
      </w:r>
    </w:p>
    <w:p w:rsidR="00C95B29" w:rsidRDefault="00C95B29"/>
    <w:p w:rsidR="00C95B29" w:rsidRDefault="00C132DC">
      <w:r>
        <w:t>Luminosité, couleur, slogan court.</w:t>
      </w:r>
    </w:p>
    <w:p w:rsidR="00C132DC" w:rsidRDefault="00C132DC"/>
    <w:p w:rsidR="00C95B29" w:rsidRPr="00C95B29" w:rsidRDefault="009519DC">
      <w:pPr>
        <w:rPr>
          <w:b/>
        </w:rPr>
      </w:pPr>
      <w:r>
        <w:rPr>
          <w:b/>
        </w:rPr>
        <w:t>Utilise des s</w:t>
      </w:r>
      <w:r w:rsidR="00C95B29" w:rsidRPr="00C95B29">
        <w:rPr>
          <w:b/>
        </w:rPr>
        <w:t>ymbolisme</w:t>
      </w:r>
      <w:r>
        <w:rPr>
          <w:b/>
        </w:rPr>
        <w:t>s</w:t>
      </w:r>
    </w:p>
    <w:p w:rsidR="00C95B29" w:rsidRDefault="00C95B29"/>
    <w:p w:rsidR="00C95B29" w:rsidRDefault="00C132DC">
      <w:r>
        <w:t>Couleurs froides, aspect éthéré, flou évoquant la mort ou l’état comateux suivant un accident. Aucune référence explicite à l’alcool.</w:t>
      </w:r>
    </w:p>
    <w:p w:rsidR="00C132DC" w:rsidRDefault="00C132DC"/>
    <w:p w:rsidR="00C95B29" w:rsidRPr="00C95B29" w:rsidRDefault="009519DC">
      <w:pPr>
        <w:rPr>
          <w:b/>
        </w:rPr>
      </w:pPr>
      <w:r>
        <w:rPr>
          <w:b/>
        </w:rPr>
        <w:t>P</w:t>
      </w:r>
      <w:r w:rsidR="00C95B29" w:rsidRPr="00C95B29">
        <w:rPr>
          <w:b/>
        </w:rPr>
        <w:t>ersua</w:t>
      </w:r>
      <w:r>
        <w:rPr>
          <w:b/>
        </w:rPr>
        <w:t>de</w:t>
      </w:r>
    </w:p>
    <w:p w:rsidR="00C95B29" w:rsidRDefault="00C95B29"/>
    <w:p w:rsidR="00C95B29" w:rsidRDefault="00C132DC">
      <w:r>
        <w:t>Par l’émotion (ressenti visuel), par la catégorisation (idiot), par l’évocation du sang associée au nom de certains breuvages, par la mise en évidence des choix possibles et des enjeux.</w:t>
      </w:r>
    </w:p>
    <w:p w:rsidR="004E2B69" w:rsidRDefault="004E2B69"/>
    <w:p w:rsidR="004E2B69" w:rsidRDefault="004E2B69"/>
    <w:p w:rsidR="004E2B69" w:rsidRDefault="004E2B69"/>
    <w:p w:rsidR="004E2B69" w:rsidRDefault="004E2B69"/>
    <w:p w:rsidR="003B2185" w:rsidRPr="00DA542C" w:rsidRDefault="003B2185" w:rsidP="009519DC"/>
    <w:sectPr w:rsidR="003B2185" w:rsidRPr="00DA542C" w:rsidSect="000260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DE4" w:rsidRDefault="00A93DE4" w:rsidP="008A06A5">
      <w:r>
        <w:separator/>
      </w:r>
    </w:p>
  </w:endnote>
  <w:endnote w:type="continuationSeparator" w:id="0">
    <w:p w:rsidR="00A93DE4" w:rsidRDefault="00A93DE4" w:rsidP="008A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40" w:rsidRDefault="0052324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972371"/>
      <w:docPartObj>
        <w:docPartGallery w:val="Page Numbers (Bottom of Page)"/>
        <w:docPartUnique/>
      </w:docPartObj>
    </w:sdtPr>
    <w:sdtEndPr/>
    <w:sdtContent>
      <w:p w:rsidR="008A06A5" w:rsidRDefault="00523240">
        <w:pPr>
          <w:pStyle w:val="Pieddepage"/>
        </w:pPr>
        <w:r>
          <w:t xml:space="preserve">© </w:t>
        </w:r>
        <w:r w:rsidR="008A06A5">
          <w:t xml:space="preserve">CRCF – Jacques Sornet </w:t>
        </w:r>
        <w:r>
          <w:t>– Validation Pierre Lecocq</w:t>
        </w:r>
        <w:r w:rsidR="008A06A5">
          <w:t xml:space="preserve">                           Page : </w:t>
        </w:r>
        <w:r w:rsidR="00977709">
          <w:fldChar w:fldCharType="begin"/>
        </w:r>
        <w:r w:rsidR="008A06A5">
          <w:instrText>PAGE   \* MERGEFORMAT</w:instrText>
        </w:r>
        <w:r w:rsidR="00977709">
          <w:fldChar w:fldCharType="separate"/>
        </w:r>
        <w:r w:rsidR="00B566CC">
          <w:rPr>
            <w:noProof/>
          </w:rPr>
          <w:t>2</w:t>
        </w:r>
        <w:r w:rsidR="00977709">
          <w:fldChar w:fldCharType="end"/>
        </w:r>
      </w:p>
    </w:sdtContent>
  </w:sdt>
  <w:p w:rsidR="008A06A5" w:rsidRDefault="008A06A5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40" w:rsidRDefault="0052324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DE4" w:rsidRDefault="00A93DE4" w:rsidP="008A06A5">
      <w:r>
        <w:separator/>
      </w:r>
    </w:p>
  </w:footnote>
  <w:footnote w:type="continuationSeparator" w:id="0">
    <w:p w:rsidR="00A93DE4" w:rsidRDefault="00A93DE4" w:rsidP="008A0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40" w:rsidRDefault="0052324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40" w:rsidRDefault="0052324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240" w:rsidRDefault="0052324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AE"/>
    <w:rsid w:val="0002609D"/>
    <w:rsid w:val="001318D7"/>
    <w:rsid w:val="003B2185"/>
    <w:rsid w:val="004926F1"/>
    <w:rsid w:val="004E2B69"/>
    <w:rsid w:val="004E48BA"/>
    <w:rsid w:val="00523240"/>
    <w:rsid w:val="005415C1"/>
    <w:rsid w:val="00547938"/>
    <w:rsid w:val="0066734E"/>
    <w:rsid w:val="007E45AE"/>
    <w:rsid w:val="008563AE"/>
    <w:rsid w:val="008954DB"/>
    <w:rsid w:val="008A06A5"/>
    <w:rsid w:val="009519DC"/>
    <w:rsid w:val="00977709"/>
    <w:rsid w:val="00A93DE4"/>
    <w:rsid w:val="00AA573F"/>
    <w:rsid w:val="00B3080C"/>
    <w:rsid w:val="00B566CC"/>
    <w:rsid w:val="00C132DC"/>
    <w:rsid w:val="00C95B29"/>
    <w:rsid w:val="00CA2BB7"/>
    <w:rsid w:val="00D614CF"/>
    <w:rsid w:val="00DA542C"/>
    <w:rsid w:val="00EB74CB"/>
    <w:rsid w:val="00F6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re1">
    <w:name w:val="heading 1"/>
    <w:basedOn w:val="Normal"/>
    <w:next w:val="Normal"/>
    <w:link w:val="Titre1Car"/>
    <w:qFormat/>
    <w:rsid w:val="007E45AE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E45AE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NormalWeb">
    <w:name w:val="Normal (Web)"/>
    <w:basedOn w:val="Normal"/>
    <w:rsid w:val="007E45AE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ccentuation">
    <w:name w:val="Emphasis"/>
    <w:qFormat/>
    <w:rsid w:val="007E45AE"/>
    <w:rPr>
      <w:i/>
      <w:iCs/>
    </w:rPr>
  </w:style>
  <w:style w:type="character" w:styleId="Lienhypertexte">
    <w:name w:val="Hyperlink"/>
    <w:rsid w:val="007E45A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45A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45AE"/>
    <w:rPr>
      <w:rFonts w:ascii="Tahoma" w:eastAsia="SimSun" w:hAnsi="Tahoma" w:cs="Tahoma"/>
      <w:sz w:val="16"/>
      <w:szCs w:val="16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8A06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A06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8A06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A06A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1318D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18D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18D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18D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18D7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A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re1">
    <w:name w:val="heading 1"/>
    <w:basedOn w:val="Normal"/>
    <w:next w:val="Normal"/>
    <w:link w:val="Titre1Car"/>
    <w:qFormat/>
    <w:rsid w:val="007E45AE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E45AE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NormalWeb">
    <w:name w:val="Normal (Web)"/>
    <w:basedOn w:val="Normal"/>
    <w:rsid w:val="007E45AE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ccentuation">
    <w:name w:val="Emphasis"/>
    <w:qFormat/>
    <w:rsid w:val="007E45AE"/>
    <w:rPr>
      <w:i/>
      <w:iCs/>
    </w:rPr>
  </w:style>
  <w:style w:type="character" w:styleId="Lienhypertexte">
    <w:name w:val="Hyperlink"/>
    <w:rsid w:val="007E45AE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45A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45AE"/>
    <w:rPr>
      <w:rFonts w:ascii="Tahoma" w:eastAsia="SimSun" w:hAnsi="Tahoma" w:cs="Tahoma"/>
      <w:sz w:val="16"/>
      <w:szCs w:val="16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8A06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A06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8A06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A06A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1318D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318D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318D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318D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318D7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ignosemio.com/jakobson/fonctions.asp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8</cp:revision>
  <dcterms:created xsi:type="dcterms:W3CDTF">2012-04-30T16:59:00Z</dcterms:created>
  <dcterms:modified xsi:type="dcterms:W3CDTF">2012-05-16T10:19:00Z</dcterms:modified>
</cp:coreProperties>
</file>